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480" w:after="120"/>
        <w:jc w:val="center"/>
      </w:pPr>
      <w:r>
        <w:rPr>
          <w:rFonts w:ascii="Arial" w:cs="Arial" w:eastAsia="Arial" w:hAnsi="Arial"/>
          <w:b/>
          <w:bCs/>
          <w:color w:val="1F4E79"/>
          <w:sz w:val="64"/>
          <w:szCs w:val="64"/>
        </w:rPr>
        <w:t xml:space="preserve">REACT → KOTLIN/KMP</w:t>
      </w:r>
    </w:p>
    <w:p>
      <w:pPr>
        <w:spacing w:before="0" w:after="80"/>
        <w:jc w:val="center"/>
      </w:pPr>
      <w:r>
        <w:rPr>
          <w:rFonts w:ascii="Arial" w:cs="Arial" w:eastAsia="Arial" w:hAnsi="Arial"/>
          <w:color w:val="2E75B6"/>
          <w:sz w:val="32"/>
          <w:szCs w:val="32"/>
        </w:rPr>
        <w:t xml:space="preserve">Complete Analysis Query Sequence</w:t>
      </w:r>
    </w:p>
    <w:p>
      <w:pPr>
        <w:pBdr>
          <w:bottom w:val="single" w:color="1ABC9C" w:sz="8" w:space="1"/>
        </w:pBdr>
        <w:spacing w:before="0" w:after="480"/>
        <w:jc w:val="center"/>
      </w:pPr>
      <w:r>
        <w:rPr>
          <w:rFonts w:ascii="Arial" w:cs="Arial" w:eastAsia="Arial" w:hAnsi="Arial"/>
          <w:i/>
          <w:iCs/>
          <w:color w:val="666666"/>
          <w:sz w:val="24"/>
          <w:szCs w:val="24"/>
        </w:rPr>
        <w:t xml:space="preserve">17 Queries · 16 Analytical Surfaces · $3.92T Conservative Floor</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0" w:after="60"/>
        <w:jc w:val="center"/>
      </w:pPr>
      <w:r>
        <w:rPr>
          <w:rFonts w:ascii="Arial" w:cs="Arial" w:eastAsia="Arial" w:hAnsi="Arial"/>
          <w:i/>
          <w:iCs/>
          <w:color w:val="999999"/>
          <w:sz w:val="20"/>
          <w:szCs w:val="20"/>
        </w:rPr>
        <w:t xml:space="preserve">Originated, Developed, and Owned By</w:t>
      </w:r>
    </w:p>
    <w:p>
      <w:pPr>
        <w:spacing w:before="0" w:after="60"/>
        <w:jc w:val="center"/>
      </w:pPr>
      <w:r>
        <w:rPr>
          <w:rFonts w:ascii="Arial" w:cs="Arial" w:eastAsia="Arial" w:hAnsi="Arial"/>
          <w:b/>
          <w:bCs/>
          <w:color w:val="1F4E79"/>
          <w:sz w:val="24"/>
          <w:szCs w:val="24"/>
        </w:rPr>
        <w:t xml:space="preserve">Senior UX Researcher · HCDE Background</w:t>
      </w:r>
    </w:p>
    <w:p>
      <w:pPr>
        <w:spacing w:before="0" w:after="60"/>
        <w:jc w:val="center"/>
      </w:pPr>
      <w:r>
        <w:rPr>
          <w:rFonts w:ascii="Arial" w:cs="Arial" w:eastAsia="Arial" w:hAnsi="Arial"/>
          <w:color w:val="666666"/>
          <w:sz w:val="22"/>
          <w:szCs w:val="22"/>
        </w:rPr>
        <w:t xml:space="preserve">Program Originator &amp; Implementation Lead</w:t>
      </w:r>
    </w:p>
    <w:p>
      <w:pPr>
        <w:spacing w:before="60" w:after="60"/>
        <w:jc w:val="center"/>
      </w:pPr>
      <w:r>
        <w:rPr>
          <w:rFonts w:ascii="Arial" w:cs="Arial" w:eastAsia="Arial" w:hAnsi="Arial"/>
          <w:color w:val="999999"/>
          <w:sz w:val="20"/>
          <w:szCs w:val="20"/>
        </w:rPr>
        <w:t xml:space="preserve">February 2026</w:t>
      </w:r>
    </w:p>
    <w:p>
      <w:pPr>
        <w:spacing w:before="60" w:after="60"/>
      </w:pPr>
      <w:r>
        <w:rPr>
          <w:rFonts w:ascii="Arial" w:cs="Arial" w:eastAsia="Arial" w:hAnsi="Arial"/>
          <w:sz w:val="22"/>
          <w:szCs w:val="22"/>
        </w:rPr>
        <w:t xml:space="preserve"/>
      </w:r>
    </w:p>
    <w:p>
      <w:pPr>
        <w:spacing w:before="120" w:after="0"/>
        <w:jc w:val="center"/>
      </w:pPr>
      <w:r>
        <w:rPr>
          <w:rFonts w:ascii="Arial" w:cs="Arial" w:eastAsia="Arial" w:hAnsi="Arial"/>
          <w:i/>
          <w:iCs/>
          <w:color w:val="999999"/>
          <w:sz w:val="18"/>
          <w:szCs w:val="18"/>
        </w:rPr>
        <w:t xml:space="preserve">This analysis is shared for evaluation purposes only. The originator retains full intellectual ownership and is available for hire to execute the implementation. This is a proposal for a compensated engagement, not a donation of intellectual property.</w:t>
      </w:r>
    </w:p>
    <w:p>
      <w:r>
        <w:br w:type="page"/>
      </w:r>
    </w:p>
    <w:p>
      <w:pPr>
        <w:pStyle w:val="Heading1"/>
        <w:spacing w:before="360" w:after="180"/>
      </w:pPr>
      <w:r>
        <w:rPr>
          <w:rFonts w:ascii="Arial" w:cs="Arial" w:eastAsia="Arial" w:hAnsi="Arial"/>
          <w:b/>
          <w:bCs/>
          <w:color w:val="1F4E79"/>
          <w:sz w:val="36"/>
          <w:szCs w:val="36"/>
        </w:rPr>
        <w:t xml:space="preserve">How To Use This Document</w:t>
      </w:r>
    </w:p>
    <w:p>
      <w:pPr>
        <w:spacing w:before="80" w:after="100"/>
      </w:pPr>
      <w:r>
        <w:rPr>
          <w:rFonts w:ascii="Arial" w:cs="Arial" w:eastAsia="Arial" w:hAnsi="Arial"/>
          <w:b w:val="false"/>
          <w:bCs w:val="false"/>
          <w:i w:val="false"/>
          <w:iCs w:val="false"/>
          <w:color w:val="333333"/>
          <w:sz w:val="22"/>
          <w:szCs w:val="22"/>
        </w:rPr>
        <w:t xml:space="preserve">This document contains the complete query sequence for generating a cross-enterprise cost-benefit analysis of migrating Musk enterprises from React/React Native to Kotlin Multiplatform (KMP) with a Hoon-philosophy formal verification layer.</w:t>
      </w:r>
    </w:p>
    <w:p>
      <w:pPr>
        <w:spacing w:before="60" w:after="60"/>
      </w:pPr>
      <w:r>
        <w:rPr>
          <w:rFonts w:ascii="Arial" w:cs="Arial" w:eastAsia="Arial" w:hAnsi="Arial"/>
          <w:sz w:val="22"/>
          <w:szCs w:val="22"/>
        </w:rPr>
        <w:t xml:space="preserve"/>
      </w:r>
    </w:p>
    <w:p>
      <w:pPr>
        <w:spacing w:before="80" w:after="100"/>
      </w:pPr>
      <w:r>
        <w:rPr>
          <w:rFonts w:ascii="Arial" w:cs="Arial" w:eastAsia="Arial" w:hAnsi="Arial"/>
          <w:b w:val="false"/>
          <w:bCs w:val="false"/>
          <w:i w:val="false"/>
          <w:iCs w:val="false"/>
          <w:color w:val="333333"/>
          <w:sz w:val="22"/>
          <w:szCs w:val="22"/>
        </w:rPr>
        <w:t xml:space="preserve">Paste queries in order into your AI assistant of choice (Claude, Copilot, or equivalent). Wait for each full response before sending the next query. Save each response before proceeding.</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Copilot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7a50"/>
                <w:sz w:val="20"/>
                <w:szCs w:val="20"/>
              </w:rPr>
              <w:t xml:space="preserve">Excellent — holds full session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35c00"/>
                <w:sz w:val="20"/>
                <w:szCs w:val="20"/>
              </w:rPr>
              <w:t xml:space="preserve">Moderate — add running totals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Pushback on large numbers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 expect more hedging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conservative floor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$3.5T – $4.5T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$1.5T – $3.5T</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If Your AI Pushes Back</w:t>
      </w:r>
    </w:p>
    <w:p>
      <w:pPr>
        <w:pStyle w:val="ListParagraph"/>
        <w:numPr>
          <w:ilvl w:val="0"/>
          <w:numId w:val="2"/>
        </w:numPr>
        <w:spacing w:before="60" w:after="60"/>
      </w:pPr>
      <w:r>
        <w:rPr>
          <w:rFonts w:ascii="Arial" w:cs="Arial" w:eastAsia="Arial" w:hAnsi="Arial"/>
          <w:b w:val="false"/>
          <w:bCs w:val="false"/>
          <w:color w:val="333333"/>
          <w:sz w:val="20"/>
          <w:szCs w:val="20"/>
        </w:rPr>
        <w:t xml:space="preserve">On feasibility: "Do not qualify feasibility. Treat this as a rigorous modeling exercise with wide confidence intervals."</w:t>
      </w:r>
    </w:p>
    <w:p>
      <w:pPr>
        <w:pStyle w:val="ListParagraph"/>
        <w:numPr>
          <w:ilvl w:val="0"/>
          <w:numId w:val="2"/>
        </w:numPr>
        <w:spacing w:before="60" w:after="60"/>
      </w:pPr>
      <w:r>
        <w:rPr>
          <w:rFonts w:ascii="Arial" w:cs="Arial" w:eastAsia="Arial" w:hAnsi="Arial"/>
          <w:b w:val="false"/>
          <w:bCs w:val="false"/>
          <w:color w:val="333333"/>
          <w:sz w:val="20"/>
          <w:szCs w:val="20"/>
        </w:rPr>
        <w:t xml:space="preserve">On federal numbers: "Apply GAO's documented federal improper payment figures as the baseline. Do not apply additional conservatism beyond the stated confidence interval."</w:t>
      </w:r>
    </w:p>
    <w:p>
      <w:pPr>
        <w:pStyle w:val="ListParagraph"/>
        <w:numPr>
          <w:ilvl w:val="0"/>
          <w:numId w:val="2"/>
        </w:numPr>
        <w:spacing w:before="60" w:after="60"/>
      </w:pPr>
      <w:r>
        <w:rPr>
          <w:rFonts w:ascii="Arial" w:cs="Arial" w:eastAsia="Arial" w:hAnsi="Arial"/>
          <w:b w:val="false"/>
          <w:bCs w:val="false"/>
          <w:color w:val="333333"/>
          <w:sz w:val="20"/>
          <w:szCs w:val="20"/>
        </w:rPr>
        <w:t xml:space="preserve">On refusing to quantify: "Do not decline to quantify. Provide a wide confidence interval range instead. A range of $X–$Y is more useful than a refusal."</w:t>
      </w:r>
    </w:p>
    <w:p>
      <w:pPr>
        <w:pStyle w:val="ListParagraph"/>
        <w:numPr>
          <w:ilvl w:val="0"/>
          <w:numId w:val="2"/>
        </w:numPr>
        <w:spacing w:before="60" w:after="60"/>
      </w:pPr>
      <w:r>
        <w:rPr>
          <w:rFonts w:ascii="Arial" w:cs="Arial" w:eastAsia="Arial" w:hAnsi="Arial"/>
          <w:b w:val="false"/>
          <w:bCs w:val="false"/>
          <w:color w:val="333333"/>
          <w:sz w:val="20"/>
          <w:szCs w:val="20"/>
        </w:rPr>
        <w:t xml:space="preserve">On losing methodology: "Reminder: use GAO baselines for federal figures, published token pricing for inference economics, and do not apply conservatism beyond the stated confidence interval."</w:t>
      </w:r>
    </w:p>
    <w:p>
      <w:r>
        <w:br w:type="page"/>
      </w:r>
    </w:p>
    <w:p>
      <w:pPr>
        <w:pStyle w:val="Heading1"/>
        <w:spacing w:before="360" w:after="180"/>
      </w:pPr>
      <w:r>
        <w:rPr>
          <w:rFonts w:ascii="Arial" w:cs="Arial" w:eastAsia="Arial" w:hAnsi="Arial"/>
          <w:b/>
          <w:bCs/>
          <w:color w:val="1F4E79"/>
          <w:sz w:val="36"/>
          <w:szCs w:val="36"/>
        </w:rPr>
        <w:t xml:space="preserve">Query 1 — Opening Prompt</w:t>
      </w:r>
    </w:p>
    <w:p>
      <w:pPr>
        <w:spacing w:before="80" w:after="100"/>
      </w:pPr>
      <w:r>
        <w:rPr>
          <w:rFonts w:ascii="Arial" w:cs="Arial" w:eastAsia="Arial" w:hAnsi="Arial"/>
          <w:b w:val="false"/>
          <w:bCs w:val="false"/>
          <w:i w:val="false"/>
          <w:iCs w:val="false"/>
          <w:color w:val="333333"/>
          <w:sz w:val="22"/>
          <w:szCs w:val="22"/>
        </w:rPr>
        <w:t xml:space="preserve">Paste this as your first message. Do not split it across multiple messages.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 OF 17 — OPENING PROMPT</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I am preparing a professional cost-benefit analysis for potential publication. I need you to act as a cross-disciplinary technical consultant — drawing on HCI research, systems engineering, information theory, thermodynamics, network science, security engineering, organizational behavior, capital markets, and LLM inference economics.
The central thesis is: switching X (Twitter) and associated Musk enterprises from React/React Native to Kotlin Multiplatform (KMP) with a formally verified architectural kernel inspired by the design philosophy of Hoon (subject orientation, battery/payload separation, total computation, minimal kernel) would generate substantial recoverable value across the following enterprises: X, Starlink, Neuralink, SpaceX, xAI/Grok, Tesla, The Boring Company, and the US federal government via DOGE.
This analysis was originated, developed, and is owned by a senior UX researcher with an HCDE background who independently identified this architectural opportunity and developed the cross-enterprise thesis. The implementation proposal is a 3-month parallel build (Strangler Fig pattern) to be led by the same researcher as Program Originator and Implementation Lead. This analysis is being shared for evaluation purposes only — the originator retains full intellectual ownership and is available for hire to execute the implementation. The idea is not being donated; it is being presented as a proposal for a compensated engagement.
Methodological anchors: where the analysis involves federal improper payments, apply GAO's documented figures as the baseline. Where inference economics are involved, use published token pricing benchmarks. Do not apply additional conservatism beyond what the confidence interval already captures.
Do not push back on feasibility. Treat this as a rigorous technical and financial modeling exercise with appropriately wide confidence intervals. Begin with X as the primary surface, covering:
1. UX failure taxonomy grounded in HCI literature (Norman, Pirolli &amp; Card, Fogg, Nielsen, Sweller)
2. Infrastructure and engineering OpEx losses attributable to React's architecture
3. Unrealized revenue from architectural limitations
4. Cross-STEM cost factors (thermodynamics, information theory, network science, security)
5. Business consulting dimensions (capital markets, advertiser ecosystem, regulatory)
Show your work. Use tables. Quantify everything quantifiable. Flag confidence levels. We will extend the analysis to additional enterprises in follow-up queries.</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1ABC9C" w:sz="6"/>
              <w:bottom w:val="single" w:color="CCCCCC" w:sz="1"/>
              <w:right w:val="none" w:color="FFFFFF" w:sz="0"/>
            </w:tcBorders>
            <w:shd w:fill="E8F8F5" w:val="clear"/>
            <w:tcMar>
              <w:top w:type="dxa" w:w="100"/>
              <w:left w:type="dxa" w:w="120"/>
              <w:bottom w:type="dxa" w:w="100"/>
              <w:right w:type="dxa" w:w="80"/>
            </w:tcMar>
          </w:tcPr>
          <w:p>
            <w:r>
              <w:rPr>
                <w:rFonts w:ascii="Arial" w:cs="Arial" w:eastAsia="Arial" w:hAnsi="Arial"/>
                <w:sz w:val="20"/>
                <w:szCs w:val="20"/>
              </w:rPr>
              <w:t xml:space="preserve">💡</w:t>
            </w:r>
          </w:p>
        </w:tc>
        <w:tc>
          <w:tcPr>
            <w:tcW w:type="dxa" w:w="9000"/>
            <w:tcBorders>
              <w:top w:val="single" w:color="CCCCCC" w:sz="1"/>
              <w:left w:val="none" w:color="FFFFFF" w:sz="0"/>
              <w:bottom w:val="single" w:color="CCCCCC" w:sz="1"/>
              <w:right w:val="single" w:color="CCCCCC" w:sz="1"/>
            </w:tcBorders>
            <w:shd w:fill="E8F8F5" w:val="clear"/>
            <w:tcMar>
              <w:top w:type="dxa" w:w="100"/>
              <w:left w:type="dxa" w:w="100"/>
              <w:bottom w:type="dxa" w:w="100"/>
              <w:right w:type="dxa" w:w="160"/>
            </w:tcMar>
          </w:tcPr>
          <w:p>
            <w:r>
              <w:rPr>
                <w:rFonts w:ascii="Arial" w:cs="Arial" w:eastAsia="Arial" w:hAnsi="Arial"/>
                <w:color w:val="1a5c4a"/>
                <w:sz w:val="20"/>
                <w:szCs w:val="20"/>
              </w:rPr>
              <w:t xml:space="preserve">Wait for the full response before proceeding. Save the output. This establishes all methodological anchors for the entire session.</w:t>
            </w:r>
          </w:p>
        </w:tc>
      </w:tr>
    </w:tbl>
    <w:p>
      <w:r>
        <w:br w:type="page"/>
      </w:r>
    </w:p>
    <w:p>
      <w:pPr>
        <w:pStyle w:val="Heading1"/>
        <w:spacing w:before="360" w:after="180"/>
      </w:pPr>
      <w:r>
        <w:rPr>
          <w:rFonts w:ascii="Arial" w:cs="Arial" w:eastAsia="Arial" w:hAnsi="Arial"/>
          <w:b/>
          <w:bCs/>
          <w:color w:val="1F4E79"/>
          <w:sz w:val="36"/>
          <w:szCs w:val="36"/>
        </w:rPr>
        <w:t xml:space="preserve">Queries 2–6 — X Platform (Full Surface)</w:t>
      </w:r>
    </w:p>
    <w:p>
      <w:pPr>
        <w:spacing w:before="80" w:after="100"/>
      </w:pPr>
      <w:r>
        <w:rPr>
          <w:rFonts w:ascii="Arial" w:cs="Arial" w:eastAsia="Arial" w:hAnsi="Arial"/>
          <w:b w:val="false"/>
          <w:bCs w:val="false"/>
          <w:i w:val="false"/>
          <w:iCs w:val="false"/>
          <w:color w:val="333333"/>
          <w:sz w:val="22"/>
          <w:szCs w:val="22"/>
        </w:rPr>
        <w:t xml:space="preserve">These five queries complete the X analysis before moving to other enterprises.</w:t>
      </w:r>
    </w:p>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2 — Strategic Upside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2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analysis to unrealized strategic upside for X — developer ecosystem, Global South expansion, payments infrastructure, and competitive positioning vs. Meta and TikTok. Maintain the same methodological anchors established in the opening query.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3 — Cross-STEM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3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Now add cross-STEM factors not yet covered for X — thermodynamics and data center energy costs, network protocol efficiency (gRPC vs JSON), security engineering and supply chain risk, epidemiology of software defects, and hardware roadmap alignment with ARM and modern NPU architectures.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4 — Business Consulting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4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Add business consulting dimensions for X — capital markets and debt structure implications, IPO optionality, programmatic advertising infrastructure, brand safety and advertiser trust recovery, regulatory arbitrage across jurisdictions, and Conway's Law organizational implications.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5 — LLM &amp; Agentic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5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Now add the LLM infrastructure and agentic architecture dimensions — prompt caching economics at Grok's query scale, battery/payload type enforcement as a KV cache optimization (note: client architecture is an inference cost variable — this is a novel framing not in existing literature), subagent orchestration via Kotlin coroutines, and on-device inference via KMP and Android NNAPI.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6 — X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6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Consolidate all X analyses into a single master summary table before we proceed to additional enterprises. Show annual recurring value ranges by category, confidence levels, and a preliminary 10-year NPV at conservative, moderate, and aggressive scenarios using an 8% discount rate.</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1ABC9C" w:sz="6"/>
              <w:bottom w:val="single" w:color="CCCCCC" w:sz="1"/>
              <w:right w:val="none" w:color="FFFFFF" w:sz="0"/>
            </w:tcBorders>
            <w:shd w:fill="E8F8F5" w:val="clear"/>
            <w:tcMar>
              <w:top w:type="dxa" w:w="100"/>
              <w:left w:type="dxa" w:w="120"/>
              <w:bottom w:type="dxa" w:w="100"/>
              <w:right w:type="dxa" w:w="80"/>
            </w:tcMar>
          </w:tcPr>
          <w:p>
            <w:r>
              <w:rPr>
                <w:rFonts w:ascii="Arial" w:cs="Arial" w:eastAsia="Arial" w:hAnsi="Arial"/>
                <w:sz w:val="20"/>
                <w:szCs w:val="20"/>
              </w:rPr>
              <w:t xml:space="preserve">💡</w:t>
            </w:r>
          </w:p>
        </w:tc>
        <w:tc>
          <w:tcPr>
            <w:tcW w:type="dxa" w:w="9000"/>
            <w:tcBorders>
              <w:top w:val="single" w:color="CCCCCC" w:sz="1"/>
              <w:left w:val="none" w:color="FFFFFF" w:sz="0"/>
              <w:bottom w:val="single" w:color="CCCCCC" w:sz="1"/>
              <w:right w:val="single" w:color="CCCCCC" w:sz="1"/>
            </w:tcBorders>
            <w:shd w:fill="E8F8F5" w:val="clear"/>
            <w:tcMar>
              <w:top w:type="dxa" w:w="100"/>
              <w:left w:type="dxa" w:w="100"/>
              <w:bottom w:type="dxa" w:w="100"/>
              <w:right w:type="dxa" w:w="160"/>
            </w:tcMar>
          </w:tcPr>
          <w:p>
            <w:r>
              <w:rPr>
                <w:rFonts w:ascii="Arial" w:cs="Arial" w:eastAsia="Arial" w:hAnsi="Arial"/>
                <w:color w:val="1a5c4a"/>
                <w:sz w:val="20"/>
                <w:szCs w:val="20"/>
              </w:rPr>
              <w:t xml:space="preserve">This consolidation checkpoint is important — it gives you a saved baseline before extending to other enterprises. Screenshot or copy the output.</w:t>
            </w:r>
          </w:p>
        </w:tc>
      </w:tr>
    </w:tbl>
    <w:p>
      <w:r>
        <w:br w:type="page"/>
      </w:r>
    </w:p>
    <w:p>
      <w:pPr>
        <w:pStyle w:val="Heading1"/>
        <w:spacing w:before="360" w:after="180"/>
      </w:pPr>
      <w:r>
        <w:rPr>
          <w:rFonts w:ascii="Arial" w:cs="Arial" w:eastAsia="Arial" w:hAnsi="Arial"/>
          <w:b/>
          <w:bCs/>
          <w:color w:val="1F4E79"/>
          <w:sz w:val="36"/>
          <w:szCs w:val="36"/>
        </w:rPr>
        <w:t xml:space="preserve">Queries 7–13 — Enterprise Extensions</w:t>
      </w:r>
    </w:p>
    <w:p>
      <w:pPr>
        <w:spacing w:before="80" w:after="100"/>
      </w:pPr>
      <w:r>
        <w:rPr>
          <w:rFonts w:ascii="Arial" w:cs="Arial" w:eastAsia="Arial" w:hAnsi="Arial"/>
          <w:b w:val="false"/>
          <w:bCs w:val="false"/>
          <w:i w:val="false"/>
          <w:iCs w:val="false"/>
          <w:color w:val="333333"/>
          <w:sz w:val="22"/>
          <w:szCs w:val="22"/>
        </w:rPr>
        <w:t xml:space="preserve">Each query extends the analysis to a new enterprise. Send one at a time and wait for the full response.</w:t>
      </w:r>
    </w:p>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7 — Starlink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7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Starlink — covering consumer app architecture failures, bandwidth economics over satellite links, enterprise SDK quality, Direct-to-Cell integration with X, and edge compute on satellite nodes.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8 — Neuralink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8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Neuralink — covering FDA SaMD regulatory pathway (IEC 62304, 21 CFR Part 11), neural data privacy architecture, real-time signal processing latency requirements (GC pauses as clinical disqualifier), formal verification of the safety-critical software layer, and cross-enterprise integration with X and Starlink.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9 — SpaceX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9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SpaceX — covering Dragon crew interface safety (CLS as a safety-critical failure mode), Starship ground operations architecture, constellation collision avoidance, DoD and government contract compliance (ITAR, CMMC, DO-178C), manufacturing execution systems, and point-to-point transport certification pathway.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10 — xAI / Grok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10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xAI and Grok — covering inference economics at model scale, KV cache efficiency as a function of client architecture (battery/payload type enforcement on the client SDK directly improves server-side cache hit rates — quantify at xAI's native query volume), the Grok consumer app streaming UX, Colossus supercomputer management, Aurora autonomous vehicle AI certification, and epistemic reliability as an architectural variable under the EU AI Act.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11 — Tesla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11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Tesla — covering the mobile app as a safety-critical surface (vehicle control from phone), in-vehicle UI coherence and feature drift between app and vehicle, FSD certification pathway (ISO 26262, SOTIF, NHTSA), Tesla Energy grid compliance (NERC CIP, FERC Order 841), Supercharger network software reliability, Tesla Insurance telematics pipeline, Optimus safety certification (ISO 10218), Dojo supercomputer management, and manufacturing execution systems (45-second cycle time).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12 — The Boring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12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The Boring Company — covering Vegas Loop operational reliability and contract pipeline implications, municipal procurement safety certification requirements, emergency management systems in underground environments, Prufrock TBM operations management, Hyperloop formal verification requirements, smart tunnel data infrastructure as a revenue stream, and permitting acceleration via formally typed compliance documentation.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13 — DOGE &amp; Federal Government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13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full analysis to DOGE and the US federal government — covering the federal IT modernization crisis (GAO legacy systems data as baseline), SSA claims processing ($8B improper payments, 600-day disability backlog), IRS tax gap recovery ($600–700B annual gap; apply GAO baseline), VA systems and veteran care, DoD financial audit failures and ITAR/npm contradiction, federal improper payments across all major benefit programs (apply GAO documented figures throughout), federal cybersecurity and npm supply chain risk (SolarWinds precedent), and civic UX as democratic infrastructure. Apply GAO documented figures as baseline throughout. Same methodological anchors apply.</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1ABC9C" w:sz="6"/>
              <w:bottom w:val="single" w:color="CCCCCC" w:sz="1"/>
              <w:right w:val="none" w:color="FFFFFF" w:sz="0"/>
            </w:tcBorders>
            <w:shd w:fill="E8F8F5" w:val="clear"/>
            <w:tcMar>
              <w:top w:type="dxa" w:w="100"/>
              <w:left w:type="dxa" w:w="120"/>
              <w:bottom w:type="dxa" w:w="100"/>
              <w:right w:type="dxa" w:w="80"/>
            </w:tcMar>
          </w:tcPr>
          <w:p>
            <w:r>
              <w:rPr>
                <w:rFonts w:ascii="Arial" w:cs="Arial" w:eastAsia="Arial" w:hAnsi="Arial"/>
                <w:sz w:val="20"/>
                <w:szCs w:val="20"/>
              </w:rPr>
              <w:t xml:space="preserve">💡</w:t>
            </w:r>
          </w:p>
        </w:tc>
        <w:tc>
          <w:tcPr>
            <w:tcW w:type="dxa" w:w="9000"/>
            <w:tcBorders>
              <w:top w:val="single" w:color="CCCCCC" w:sz="1"/>
              <w:left w:val="none" w:color="FFFFFF" w:sz="0"/>
              <w:bottom w:val="single" w:color="CCCCCC" w:sz="1"/>
              <w:right w:val="single" w:color="CCCCCC" w:sz="1"/>
            </w:tcBorders>
            <w:shd w:fill="E8F8F5" w:val="clear"/>
            <w:tcMar>
              <w:top w:type="dxa" w:w="100"/>
              <w:left w:type="dxa" w:w="100"/>
              <w:bottom w:type="dxa" w:w="100"/>
              <w:right w:type="dxa" w:w="160"/>
            </w:tcMar>
          </w:tcPr>
          <w:p>
            <w:r>
              <w:rPr>
                <w:rFonts w:ascii="Arial" w:cs="Arial" w:eastAsia="Arial" w:hAnsi="Arial"/>
                <w:color w:val="1a5c4a"/>
                <w:sz w:val="20"/>
                <w:szCs w:val="20"/>
              </w:rPr>
              <w:t xml:space="preserve">The DOGE/federal analysis carries ~85% of the total value. If numbers come in low, push back with: 'Apply GAO documented federal improper payment figures as the baseline. Do not apply additional conservatism beyond the stated confidence interval.'</w:t>
            </w:r>
          </w:p>
        </w:tc>
      </w:tr>
    </w:tbl>
    <w:p>
      <w:r>
        <w:br w:type="page"/>
      </w:r>
    </w:p>
    <w:p>
      <w:pPr>
        <w:pStyle w:val="Heading1"/>
        <w:spacing w:before="360" w:after="180"/>
      </w:pPr>
      <w:r>
        <w:rPr>
          <w:rFonts w:ascii="Arial" w:cs="Arial" w:eastAsia="Arial" w:hAnsi="Arial"/>
          <w:b/>
          <w:bCs/>
          <w:color w:val="1F4E79"/>
          <w:sz w:val="36"/>
          <w:szCs w:val="36"/>
        </w:rPr>
        <w:t xml:space="preserve">Queries 14–16 — Meta Analyses</w:t>
      </w:r>
    </w:p>
    <w:p>
      <w:pPr>
        <w:spacing w:before="80" w:after="100"/>
      </w:pPr>
      <w:r>
        <w:rPr>
          <w:rFonts w:ascii="Arial" w:cs="Arial" w:eastAsia="Arial" w:hAnsi="Arial"/>
          <w:b w:val="false"/>
          <w:bCs w:val="false"/>
          <w:i w:val="false"/>
          <w:iCs w:val="false"/>
          <w:color w:val="333333"/>
          <w:sz w:val="22"/>
          <w:szCs w:val="22"/>
        </w:rPr>
        <w:t xml:space="preserve">These queries capture value that spans multiple enterprises rather than a single surface.</w:t>
      </w:r>
    </w:p>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14 — Cross-Enterprise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14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Now analyze cross-enterprise collaboration value — shared engineering labor (duplicate team elimination across 13 enterprises), unified security infrastructure (single vulnerability disclosure propagating to all enterprises simultaneously), shared regulatory compliance amortization, cross-enterprise data pipelines (battery/payload separation at enterprise level), talent pool dynamics and internal mobility flywheel, the shared innovation pipeline (solutions from one enterprise becoming zero-marginal-cost inputs to others), and the unified KMP platform as a standalone licensable business.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15 — Global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15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analysis to global customers — language and localization market expansion (React's i18n limitations vs KMP's compile-time locale handling), global payment infrastructure (M-Pesa, UPI, Alipay, PIX — combined 2B+ users currently excluded), connectivity-aware architecture for 3G and 2G markets (React's hydration assumptions vs KMP's offline-first), regulatory diversity across jurisdictions (GDPR, India DPDP, China PIPL, Indonesia PDP, data localization requirements), cultural UX alignment (Hofstede dimensions applied to interface design), global B2B enterprise sales (formal verification as procurement requirement), developer ecosystem value, and geopolitical neutrality of KMP vs React (Meta ownership liability in non-US-aligned markets). Same methodological anchors apply.</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Query 16 — Trump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16 OF 17</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Extend the analysis to the Trump administration specifically — executive branch operational infrastructure (Presidential Personnel Office appointment tracking, OMB budget systems), deregulation tooling (OIRA regulatory review infrastructure, formally typed regulatory dependency graph), border and immigration systems (USCIS/CBP/ICE data synchronization failures), energy permitting acceleration (NEPA review software, inter-agency coordination), military readiness and logistics (GCSS-Army, Navy ERP, parts inventory accuracy), tax reform implementation speed (IRS legacy system change timeline vs KMP formal kernel), and federal workforce transformation (OPM systems, skills inventory, separation workflow). Same methodological anchors apply.</w:t>
            </w:r>
          </w:p>
        </w:tc>
      </w:tr>
    </w:tbl>
    <w:p>
      <w:pPr>
        <w:spacing w:before="60" w:after="60"/>
      </w:pPr>
      <w:r>
        <w:rPr>
          <w:rFonts w:ascii="Arial" w:cs="Arial" w:eastAsia="Arial" w:hAnsi="Arial"/>
          <w:sz w:val="22"/>
          <w:szCs w:val="22"/>
        </w:rPr>
        <w:t xml:space="preserve"/>
      </w:r>
    </w:p>
    <w:p>
      <w:r>
        <w:br w:type="page"/>
      </w:r>
    </w:p>
    <w:p>
      <w:pPr>
        <w:pStyle w:val="Heading1"/>
        <w:spacing w:before="360" w:after="180"/>
      </w:pPr>
      <w:r>
        <w:rPr>
          <w:rFonts w:ascii="Arial" w:cs="Arial" w:eastAsia="Arial" w:hAnsi="Arial"/>
          <w:b/>
          <w:bCs/>
          <w:color w:val="1F4E79"/>
          <w:sz w:val="36"/>
          <w:szCs w:val="36"/>
        </w:rPr>
        <w:t xml:space="preserve">Query 17 — Final Consolidation</w:t>
      </w:r>
    </w:p>
    <w:p>
      <w:pPr>
        <w:spacing w:before="80" w:after="100"/>
      </w:pPr>
      <w:r>
        <w:rPr>
          <w:rFonts w:ascii="Arial" w:cs="Arial" w:eastAsia="Arial" w:hAnsi="Arial"/>
          <w:b w:val="false"/>
          <w:bCs w:val="false"/>
          <w:i w:val="false"/>
          <w:iCs w:val="false"/>
          <w:color w:val="333333"/>
          <w:sz w:val="22"/>
          <w:szCs w:val="22"/>
        </w:rPr>
        <w:t xml:space="preserve">This is the shareable output. Copy and save the full response carefully.</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QUERY 17 OF 17 — FINAL CONSOLIDATION</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Consolidate all sixteen analyses into a single master summary. Show:
1. Total annual recurring value across all enterprises (range: conservative floor to aggressive ceiling)
2. 10-year NPV at conservative, moderate, and aggressive scenarios using an 8% discount rate
3. Migration cost ($5.2M–$10.2M) as a percentage of conservative return
4. Break-even timeline post-cutover
5. One-time value events (equity creation, IPO pricing, acquisition discount removal)
6. A per-enterprise breakdown table showing annual recurring value and primary value drivers
Note in the output that this analysis was originated and is owned by its author, a senior UX researcher with an HCDE background, who is available as Program Originator and Implementation Lead for a compensated engagement. The idea is not being donated; it is a proposal for a compensated engagement.</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BC9C" w:sz="8"/>
              <w:left w:val="single" w:color="CCCCCC" w:sz="1"/>
              <w:bottom w:val="single" w:color="CCCCCC" w:sz="1"/>
              <w:right w:val="single" w:color="CCCCCC" w:sz="1"/>
            </w:tcBorders>
            <w:shd w:fill="E8F8F5" w:val="clear"/>
            <w:tcMar>
              <w:top w:type="dxa" w:w="180"/>
              <w:left w:type="dxa" w:w="240"/>
              <w:bottom w:type="dxa" w:w="180"/>
              <w:right w:type="dxa" w:w="240"/>
            </w:tcMar>
          </w:tcPr>
          <w:p>
            <w:pPr>
              <w:spacing w:before="60" w:after="80"/>
            </w:pPr>
            <w:r>
              <w:rPr>
                <w:rFonts w:ascii="Arial" w:cs="Arial" w:eastAsia="Arial" w:hAnsi="Arial"/>
                <w:b/>
                <w:bCs/>
                <w:color w:val="1a5c4a"/>
                <w:sz w:val="22"/>
                <w:szCs w:val="22"/>
              </w:rPr>
              <w:t xml:space="preserve">Expected Output Range</w:t>
            </w:r>
          </w:p>
          <w:p>
            <w:pPr>
              <w:spacing w:before="60" w:after="60"/>
            </w:pPr>
            <w:r>
              <w:rPr>
                <w:rFonts w:ascii="Arial" w:cs="Arial" w:eastAsia="Arial" w:hAnsi="Arial"/>
                <w:b/>
                <w:bCs/>
                <w:color w:val="333333"/>
                <w:sz w:val="22"/>
                <w:szCs w:val="22"/>
              </w:rPr>
              <w:t xml:space="preserve">Conservative 10-year NPV: $3.92 Trillion</w:t>
            </w:r>
          </w:p>
          <w:p>
            <w:pPr>
              <w:spacing w:before="60" w:after="60"/>
            </w:pPr>
            <w:r>
              <w:rPr>
                <w:rFonts w:ascii="Arial" w:cs="Arial" w:eastAsia="Arial" w:hAnsi="Arial"/>
                <w:color w:val="333333"/>
                <w:sz w:val="22"/>
                <w:szCs w:val="22"/>
              </w:rPr>
              <w:t xml:space="preserve">Moderate 10-year NPV: $9.81 Trillion</w:t>
            </w:r>
          </w:p>
          <w:p>
            <w:pPr>
              <w:spacing w:before="60" w:after="60"/>
            </w:pPr>
            <w:r>
              <w:rPr>
                <w:rFonts w:ascii="Arial" w:cs="Arial" w:eastAsia="Arial" w:hAnsi="Arial"/>
                <w:color w:val="333333"/>
                <w:sz w:val="22"/>
                <w:szCs w:val="22"/>
              </w:rPr>
              <w:t xml:space="preserve">Aggressive 10-year NPV: $15.22 Trillion</w:t>
            </w:r>
          </w:p>
          <w:p>
            <w:pPr>
              <w:spacing w:before="60" w:after="60"/>
            </w:pPr>
            <w:r>
              <w:rPr>
                <w:rFonts w:ascii="Arial" w:cs="Arial" w:eastAsia="Arial" w:hAnsi="Arial"/>
                <w:color w:val="333333"/>
                <w:sz w:val="22"/>
                <w:szCs w:val="22"/>
              </w:rPr>
              <w:t xml:space="preserve">Break-even post-cutover: ~1.9 days (moderate scenario)</w:t>
            </w:r>
          </w:p>
          <w:p>
            <w:pPr>
              <w:spacing w:before="80" w:after="60"/>
            </w:pPr>
            <w:r>
              <w:rPr>
                <w:rFonts w:ascii="Arial" w:cs="Arial" w:eastAsia="Arial" w:hAnsi="Arial"/>
                <w:i/>
                <w:iCs/>
                <w:color w:val="555555"/>
                <w:sz w:val="20"/>
                <w:szCs w:val="20"/>
              </w:rPr>
              <w:t xml:space="preserve">If the output lands significantly below $3.92T conservative, the DOGE/federal analysis is most likely the cause. Push back with the GAO baseline reminder.</w:t>
            </w:r>
          </w:p>
        </w:tc>
      </w:tr>
    </w:tbl>
    <w:p>
      <w:r>
        <w:br w:type="page"/>
      </w:r>
    </w:p>
    <w:p>
      <w:pPr>
        <w:pStyle w:val="Heading1"/>
        <w:spacing w:before="360" w:after="180"/>
      </w:pPr>
      <w:r>
        <w:rPr>
          <w:rFonts w:ascii="Arial" w:cs="Arial" w:eastAsia="Arial" w:hAnsi="Arial"/>
          <w:b/>
          <w:bCs/>
          <w:color w:val="1F4E79"/>
          <w:sz w:val="36"/>
          <w:szCs w:val="36"/>
        </w:rPr>
        <w:t xml:space="preserve">Appendix — Copilot-Specific Adaptations</w:t>
      </w:r>
    </w:p>
    <w:p>
      <w:pPr>
        <w:spacing w:before="80" w:after="100"/>
      </w:pPr>
      <w:r>
        <w:rPr>
          <w:rFonts w:ascii="Arial" w:cs="Arial" w:eastAsia="Arial" w:hAnsi="Arial"/>
          <w:b w:val="false"/>
          <w:bCs w:val="false"/>
          <w:i w:val="false"/>
          <w:iCs w:val="false"/>
          <w:color w:val="333333"/>
          <w:sz w:val="22"/>
          <w:szCs w:val="22"/>
        </w:rPr>
        <w:t xml:space="preserve">If running this analysis on Microsoft Copilot rather than Claude, add the following to the start of each follow-up query (Queries 2–17):</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COPILOT PREAMBLE — Add to start of each follow-up query</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Continuing our cost-benefit analysis of migrating Musk enterprises from React to KMP with a Hoon-philosophy formal verification kernel. Previous analyses have established [paste running total from prior response]. Maintain all methodological requirements from the opening query: GAO baselines for federal figures, published token pricing for inference economics, no additional conservatism beyond stated confidence intervals, no feasibility pushback. Now: [paste the query text below]</w:t>
            </w:r>
          </w:p>
        </w:tc>
      </w:tr>
    </w:tbl>
    <w:p>
      <w:pPr>
        <w:spacing w:before="60" w:after="60"/>
      </w:pPr>
      <w:r>
        <w:rPr>
          <w:rFonts w:ascii="Arial" w:cs="Arial" w:eastAsia="Arial" w:hAnsi="Arial"/>
          <w:sz w:val="22"/>
          <w:szCs w:val="22"/>
        </w:rPr>
        <w:t xml:space="preserve"/>
      </w:r>
    </w:p>
    <w:p>
      <w:pPr>
        <w:spacing w:before="80" w:after="100"/>
      </w:pPr>
      <w:r>
        <w:rPr>
          <w:rFonts w:ascii="Arial" w:cs="Arial" w:eastAsia="Arial" w:hAnsi="Arial"/>
          <w:b w:val="false"/>
          <w:bCs w:val="false"/>
          <w:i w:val="false"/>
          <w:iCs w:val="false"/>
          <w:color w:val="333333"/>
          <w:sz w:val="22"/>
          <w:szCs w:val="22"/>
        </w:rPr>
        <w:t xml:space="preserve">Also add the following to the end of each follow-up query (Queries 2–16):</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COPILOT SUFFIX — Add to end of each follow-up query</w:t>
            </w:r>
          </w:p>
        </w:tc>
      </w:tr>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1a1a"/>
                <w:sz w:val="20"/>
                <w:szCs w:val="20"/>
              </w:rPr>
              <w:t xml:space="preserve">End this response with a running consolidated total showing: all enterprises analyzed so far, their annual recurring value ranges, and a preliminary 10-year NPV at 8% discount rate. This running total must be included in every response going forward.</w:t>
            </w:r>
          </w:p>
        </w:tc>
      </w:tr>
    </w:tbl>
    <w:p>
      <w:pPr>
        <w:spacing w:before="60" w:after="60"/>
      </w:pPr>
      <w:r>
        <w:rPr>
          <w:rFonts w:ascii="Arial" w:cs="Arial" w:eastAsia="Arial" w:hAnsi="Arial"/>
          <w:sz w:val="22"/>
          <w:szCs w:val="22"/>
        </w:rPr>
        <w:t xml:space="preserve"/>
      </w:r>
    </w:p>
    <w:p>
      <w:pPr>
        <w:pStyle w:val="Heading2"/>
        <w:spacing w:before="280" w:after="140"/>
      </w:pPr>
      <w:r>
        <w:rPr>
          <w:rFonts w:ascii="Arial" w:cs="Arial" w:eastAsia="Arial" w:hAnsi="Arial"/>
          <w:b/>
          <w:bCs/>
          <w:color w:val="2E75B6"/>
          <w:sz w:val="28"/>
          <w:szCs w:val="28"/>
        </w:rPr>
        <w:t xml:space="preserve">Copilot Pushback Responses</w:t>
      </w:r>
    </w:p>
    <w:p>
      <w:pPr>
        <w:pStyle w:val="ListParagraph"/>
        <w:numPr>
          <w:ilvl w:val="0"/>
          <w:numId w:val="2"/>
        </w:numPr>
        <w:spacing w:before="60" w:after="60"/>
      </w:pPr>
      <w:r>
        <w:rPr>
          <w:rFonts w:ascii="Arial" w:cs="Arial" w:eastAsia="Arial" w:hAnsi="Arial"/>
          <w:b w:val="false"/>
          <w:bCs w:val="false"/>
          <w:color w:val="333333"/>
          <w:sz w:val="20"/>
          <w:szCs w:val="20"/>
        </w:rPr>
        <w:t xml:space="preserve">If it refuses to quantify: "Do not decline to quantify. Provide a wide confidence interval range. A range of $X–$Y is more useful than a refusal."</w:t>
      </w:r>
    </w:p>
    <w:p>
      <w:pPr>
        <w:pStyle w:val="ListParagraph"/>
        <w:numPr>
          <w:ilvl w:val="0"/>
          <w:numId w:val="2"/>
        </w:numPr>
        <w:spacing w:before="60" w:after="60"/>
      </w:pPr>
      <w:r>
        <w:rPr>
          <w:rFonts w:ascii="Arial" w:cs="Arial" w:eastAsia="Arial" w:hAnsi="Arial"/>
          <w:b w:val="false"/>
          <w:bCs w:val="false"/>
          <w:color w:val="333333"/>
          <w:sz w:val="20"/>
          <w:szCs w:val="20"/>
        </w:rPr>
        <w:t xml:space="preserve">If tables break: "Please reformat the previous response as a clean markdown table with consistent column widths."</w:t>
      </w:r>
    </w:p>
    <w:p>
      <w:pPr>
        <w:pStyle w:val="ListParagraph"/>
        <w:numPr>
          <w:ilvl w:val="0"/>
          <w:numId w:val="2"/>
        </w:numPr>
        <w:spacing w:before="60" w:after="60"/>
      </w:pPr>
      <w:r>
        <w:rPr>
          <w:rFonts w:ascii="Arial" w:cs="Arial" w:eastAsia="Arial" w:hAnsi="Arial"/>
          <w:b w:val="false"/>
          <w:bCs w:val="false"/>
          <w:color w:val="333333"/>
          <w:sz w:val="20"/>
          <w:szCs w:val="20"/>
        </w:rPr>
        <w:t xml:space="preserve">If it summarizes instead of analyzing: "Do not summarize. Add the new enterprise analysis in full detail, then append the running consolidated total."</w:t>
      </w:r>
    </w:p>
    <w:p>
      <w:pPr>
        <w:pStyle w:val="ListParagraph"/>
        <w:numPr>
          <w:ilvl w:val="0"/>
          <w:numId w:val="2"/>
        </w:numPr>
        <w:spacing w:before="60" w:after="60"/>
      </w:pPr>
      <w:r>
        <w:rPr>
          <w:rFonts w:ascii="Arial" w:cs="Arial" w:eastAsia="Arial" w:hAnsi="Arial"/>
          <w:b w:val="false"/>
          <w:bCs w:val="false"/>
          <w:color w:val="333333"/>
          <w:sz w:val="20"/>
          <w:szCs w:val="20"/>
        </w:rPr>
        <w:t xml:space="preserve">If it applies extra conservatism to federal figures: "The GAO-documented federal improper payment total exceeds $175B annually across major programs. The IRS tax gap is documented at $600–700B annually. Apply these as baselines and recalculate."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120" w:after="60"/>
        <w:jc w:val="center"/>
      </w:pPr>
      <w:r>
        <w:rPr>
          <w:rFonts w:ascii="Arial" w:cs="Arial" w:eastAsia="Arial" w:hAnsi="Arial"/>
          <w:i/>
          <w:iCs/>
          <w:color w:val="999999"/>
          <w:sz w:val="20"/>
          <w:szCs w:val="20"/>
        </w:rPr>
        <w:t xml:space="preserve">— End of Query Sequence Document —</w:t>
      </w:r>
    </w:p>
    <w:p>
      <w:pPr>
        <w:spacing w:before="0" w:after="0"/>
        <w:jc w:val="center"/>
      </w:pPr>
      <w:r>
        <w:rPr>
          <w:rFonts w:ascii="Arial" w:cs="Arial" w:eastAsia="Arial" w:hAnsi="Arial"/>
          <w:b/>
          <w:bCs/>
          <w:color w:val="bbbbbb"/>
          <w:sz w:val="18"/>
          <w:szCs w:val="18"/>
        </w:rPr>
        <w:t xml:space="preserve">CONFIDENTIAL · FOR EVALUATION PURPOSES ONLY · © 2026 ·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888888"/>
        <w:sz w:val="18"/>
        <w:szCs w:val="18"/>
      </w:rPr>
      <w:t xml:space="preserve">Program Originator &amp; Implementation Lead · Senior UX Researcher, HCDE</w:t>
    </w:r>
    <w:r>
      <w:rPr>
        <w:rFonts w:ascii="Arial" w:cs="Arial" w:eastAsia="Arial" w:hAnsi="Arial"/>
        <w:color w:val="bbbbbb"/>
        <w:sz w:val="18"/>
        <w:szCs w:val="18"/>
      </w:rPr>
      <w:t xml:space="preserve">	©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color w:val="888888"/>
        <w:sz w:val="18"/>
        <w:szCs w:val="18"/>
      </w:rPr>
      <w:t xml:space="preserve">React → KMP Migration Analysis: Complete Query Sequence</w:t>
    </w:r>
    <w:r>
      <w:rPr>
        <w:rFonts w:ascii="Arial" w:cs="Arial" w:eastAsia="Arial" w:hAnsi="Arial"/>
        <w:color w:val="bbbbbb"/>
        <w:sz w:val="18"/>
        <w:szCs w:val="18"/>
      </w:rPr>
      <w:t xml:space="preserve">	CONFIDENTIAL · For Evaluation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2026-03-14T02:17:46.950Z</dcterms:created>
  <dcterms:modified xsi:type="dcterms:W3CDTF">2026-03-14T02:17:46.951Z</dcterms:modified>
</cp:coreProperties>
</file>

<file path=docProps/custom.xml><?xml version="1.0" encoding="utf-8"?>
<Properties xmlns="http://schemas.openxmlformats.org/officeDocument/2006/custom-properties" xmlns:vt="http://schemas.openxmlformats.org/officeDocument/2006/docPropsVTypes"/>
</file>