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0" w:line="360" w:lineRule="auto"/>
        <w:rPr/>
      </w:pPr>
      <w:r w:rsidDel="00000000" w:rsidR="00000000" w:rsidRPr="00000000">
        <w:rPr>
          <w:rFonts w:ascii="Arial" w:cs="Arial" w:eastAsia="Arial" w:hAnsi="Arial"/>
          <w:b w:val="1"/>
          <w:bCs w:val="1"/>
          <w:sz w:val="48"/>
          <w:szCs w:val="48"/>
          <w:rtl w:val="0"/>
        </w:rPr>
        <w:t xml:space="preserve">Computational Infodynamics</w:t>
      </w:r>
      <w:r w:rsidDel="00000000" w:rsidR="00000000" w:rsidRPr="00000000">
        <w:rPr>
          <w:rtl w:val="0"/>
        </w:rPr>
      </w:r>
    </w:p>
    <w:p w:rsidR="00000000" w:rsidDel="00000000" w:rsidP="00000000" w:rsidRDefault="00000000" w:rsidRPr="00000000" w14:paraId="00000002">
      <w:pPr>
        <w:spacing w:after="180" w:before="0" w:line="360" w:lineRule="auto"/>
        <w:rPr/>
      </w:pPr>
      <w:r w:rsidDel="00000000" w:rsidR="00000000" w:rsidRPr="00000000">
        <w:rPr>
          <w:rFonts w:ascii="Arial" w:cs="Arial" w:eastAsia="Arial" w:hAnsi="Arial"/>
          <w:sz w:val="28"/>
          <w:szCs w:val="28"/>
          <w:rtl w:val="0"/>
        </w:rPr>
        <w:t xml:space="preserve">Full Project Documentation</w:t>
      </w:r>
      <w:r w:rsidDel="00000000" w:rsidR="00000000" w:rsidRPr="00000000">
        <w:rPr>
          <w:rtl w:val="0"/>
        </w:rPr>
      </w:r>
    </w:p>
    <w:p w:rsidR="00000000" w:rsidDel="00000000" w:rsidP="00000000" w:rsidRDefault="00000000" w:rsidRPr="00000000" w14:paraId="00000003">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The Core Equation</w:t>
      </w:r>
      <w:r w:rsidDel="00000000" w:rsidR="00000000" w:rsidRPr="00000000">
        <w:rPr>
          <w:rtl w:val="0"/>
        </w:rPr>
      </w:r>
    </w:p>
    <w:p w:rsidR="00000000" w:rsidDel="00000000" w:rsidP="00000000" w:rsidRDefault="00000000" w:rsidRPr="00000000" w14:paraId="00000004">
      <w:pPr>
        <w:spacing w:after="180" w:before="0" w:line="360" w:lineRule="auto"/>
        <w:rPr/>
      </w:pPr>
      <w:r w:rsidDel="00000000" w:rsidR="00000000" w:rsidRPr="00000000">
        <w:rPr>
          <w:rFonts w:ascii="Arial" w:cs="Arial" w:eastAsia="Arial" w:hAnsi="Arial"/>
          <w:b w:val="1"/>
          <w:bCs w:val="1"/>
          <w:sz w:val="24"/>
          <w:szCs w:val="24"/>
          <w:rtl w:val="0"/>
        </w:rPr>
        <w:t xml:space="preserve">(E</w:t>
      </w:r>
      <w:r w:rsidDel="00000000" w:rsidR="00000000" w:rsidRPr="00000000">
        <w:rPr>
          <w:rFonts w:ascii="Arial" w:cs="Arial" w:eastAsia="Arial" w:hAnsi="Arial"/>
          <w:b w:val="1"/>
          <w:bCs w:val="1"/>
          <w:sz w:val="24"/>
          <w:szCs w:val="24"/>
          <w:vertAlign w:val="subscript"/>
          <w:rtl w:val="0"/>
        </w:rPr>
        <w:t xml:space="preserve">p</w:t>
      </w:r>
      <w:r w:rsidDel="00000000" w:rsidR="00000000" w:rsidRPr="00000000">
        <w:rPr>
          <w:rFonts w:ascii="Arial" w:cs="Arial" w:eastAsia="Arial" w:hAnsi="Arial"/>
          <w:b w:val="1"/>
          <w:bCs w:val="1"/>
          <w:sz w:val="24"/>
          <w:szCs w:val="24"/>
          <w:rtl w:val="0"/>
        </w:rPr>
        <w:t xml:space="preserve">) · (Ω</w:t>
      </w:r>
      <w:r w:rsidDel="00000000" w:rsidR="00000000" w:rsidRPr="00000000">
        <w:rPr>
          <w:rFonts w:ascii="Arial" w:cs="Arial" w:eastAsia="Arial" w:hAnsi="Arial"/>
          <w:b w:val="1"/>
          <w:bCs w:val="1"/>
          <w:sz w:val="24"/>
          <w:szCs w:val="24"/>
          <w:vertAlign w:val="subscript"/>
          <w:rtl w:val="0"/>
        </w:rPr>
        <w:t xml:space="preserve">L</w:t>
      </w:r>
      <w:r w:rsidDel="00000000" w:rsidR="00000000" w:rsidRPr="00000000">
        <w:rPr>
          <w:rFonts w:ascii="Arial" w:cs="Arial" w:eastAsia="Arial" w:hAnsi="Arial"/>
          <w:b w:val="1"/>
          <w:bCs w:val="1"/>
          <w:sz w:val="24"/>
          <w:szCs w:val="24"/>
          <w:rtl w:val="0"/>
        </w:rPr>
        <w:t xml:space="preserve">/Ω</w:t>
      </w:r>
      <w:r w:rsidDel="00000000" w:rsidR="00000000" w:rsidRPr="00000000">
        <w:rPr>
          <w:rFonts w:ascii="Arial" w:cs="Arial" w:eastAsia="Arial" w:hAnsi="Arial"/>
          <w:b w:val="1"/>
          <w:bCs w:val="1"/>
          <w:sz w:val="24"/>
          <w:szCs w:val="24"/>
          <w:vertAlign w:val="subscript"/>
          <w:rtl w:val="0"/>
        </w:rPr>
        <w:t xml:space="preserve">D</w:t>
      </w:r>
      <w:r w:rsidDel="00000000" w:rsidR="00000000" w:rsidRPr="00000000">
        <w:rPr>
          <w:rFonts w:ascii="Arial" w:cs="Arial" w:eastAsia="Arial" w:hAnsi="Arial"/>
          <w:b w:val="1"/>
          <w:bCs w:val="1"/>
          <w:sz w:val="24"/>
          <w:szCs w:val="24"/>
          <w:rtl w:val="0"/>
        </w:rPr>
        <w:t xml:space="preserve">) · (G</w:t>
      </w:r>
      <w:r w:rsidDel="00000000" w:rsidR="00000000" w:rsidRPr="00000000">
        <w:rPr>
          <w:rFonts w:ascii="Arial" w:cs="Arial" w:eastAsia="Arial" w:hAnsi="Arial"/>
          <w:b w:val="1"/>
          <w:bCs w:val="1"/>
          <w:sz w:val="24"/>
          <w:szCs w:val="24"/>
          <w:vertAlign w:val="subscript"/>
          <w:rtl w:val="0"/>
        </w:rPr>
        <w:t xml:space="preserve">vec</w:t>
      </w:r>
      <w:r w:rsidDel="00000000" w:rsidR="00000000" w:rsidRPr="00000000">
        <w:rPr>
          <w:rFonts w:ascii="Arial" w:cs="Arial" w:eastAsia="Arial" w:hAnsi="Arial"/>
          <w:b w:val="1"/>
          <w:bCs w:val="1"/>
          <w:sz w:val="24"/>
          <w:szCs w:val="24"/>
          <w:rtl w:val="0"/>
        </w:rPr>
        <w:t xml:space="preserve">) = ΣP</w:t>
      </w:r>
      <w:r w:rsidDel="00000000" w:rsidR="00000000" w:rsidRPr="00000000">
        <w:rPr>
          <w:rtl w:val="0"/>
        </w:rPr>
      </w:r>
    </w:p>
    <w:p w:rsidR="00000000" w:rsidDel="00000000" w:rsidP="00000000" w:rsidRDefault="00000000" w:rsidRPr="00000000" w14:paraId="00000005">
      <w:pPr>
        <w:spacing w:after="180" w:before="0" w:line="360" w:lineRule="auto"/>
        <w:rPr/>
      </w:pPr>
      <w:r w:rsidDel="00000000" w:rsidR="00000000" w:rsidRPr="00000000">
        <w:rPr>
          <w:rFonts w:ascii="Arial" w:cs="Arial" w:eastAsia="Arial" w:hAnsi="Arial"/>
          <w:sz w:val="24"/>
          <w:szCs w:val="24"/>
          <w:rtl w:val="0"/>
        </w:rPr>
        <w:t xml:space="preserve">Axiom, stated plainly: </w:t>
      </w:r>
      <w:r w:rsidDel="00000000" w:rsidR="00000000" w:rsidRPr="00000000">
        <w:rPr>
          <w:rFonts w:ascii="Arial" w:cs="Arial" w:eastAsia="Arial" w:hAnsi="Arial"/>
          <w:b w:val="1"/>
          <w:bCs w:val="1"/>
          <w:sz w:val="24"/>
          <w:szCs w:val="24"/>
          <w:rtl w:val="0"/>
        </w:rPr>
        <w:t xml:space="preserve">(single particle of pure energy) × (ratio of light to dark matter) × (geometric travel in all directions of infinity) = sum of all particles.</w:t>
      </w:r>
      <w:r w:rsidDel="00000000" w:rsidR="00000000" w:rsidRPr="00000000">
        <w:rPr>
          <w:rtl w:val="0"/>
        </w:rPr>
      </w:r>
    </w:p>
    <w:p w:rsidR="00000000" w:rsidDel="00000000" w:rsidP="00000000" w:rsidRDefault="00000000" w:rsidRPr="00000000" w14:paraId="00000006">
      <w:pPr>
        <w:spacing w:after="180" w:before="0" w:line="360" w:lineRule="auto"/>
        <w:rPr/>
      </w:pPr>
      <w:r w:rsidDel="00000000" w:rsidR="00000000" w:rsidRPr="00000000">
        <w:rPr>
          <w:rFonts w:ascii="Arial" w:cs="Arial" w:eastAsia="Arial" w:hAnsi="Arial"/>
          <w:sz w:val="24"/>
          <w:szCs w:val="24"/>
          <w:rtl w:val="0"/>
        </w:rPr>
        <w:t xml:space="preserve">This is not a domain-specific model. It is a scale-invariant structural proof — the claim being that whether you are looking at a star, a website’s information architecture, a magnetosphere under solar bombardment, or a quantum heterointerface, the underlying pattern governing how energy and information move is identical. The math repeats at every scale because the universe is fractal by construction, not by metaphor.</w:t>
      </w:r>
      <w:r w:rsidDel="00000000" w:rsidR="00000000" w:rsidRPr="00000000">
        <w:rPr>
          <w:rtl w:val="0"/>
        </w:rPr>
      </w:r>
    </w:p>
    <w:p w:rsidR="00000000" w:rsidDel="00000000" w:rsidP="00000000" w:rsidRDefault="00000000" w:rsidRPr="00000000" w14:paraId="00000007">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Variable Definitions: Full Specification</w:t>
      </w:r>
      <w:r w:rsidDel="00000000" w:rsidR="00000000" w:rsidRPr="00000000">
        <w:rPr>
          <w:rtl w:val="0"/>
        </w:rPr>
      </w:r>
    </w:p>
    <w:p w:rsidR="00000000" w:rsidDel="00000000" w:rsidP="00000000" w:rsidRDefault="00000000" w:rsidRPr="00000000" w14:paraId="00000008">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Ep — Source Energy Particle (Mass-Energy Equivalence)</w:t>
      </w:r>
      <w:r w:rsidDel="00000000" w:rsidR="00000000" w:rsidRPr="00000000">
        <w:rPr>
          <w:rtl w:val="0"/>
        </w:rPr>
      </w:r>
    </w:p>
    <w:p w:rsidR="00000000" w:rsidDel="00000000" w:rsidP="00000000" w:rsidRDefault="00000000" w:rsidRPr="00000000" w14:paraId="00000009">
      <w:pPr>
        <w:spacing w:after="180" w:before="0" w:line="360" w:lineRule="auto"/>
        <w:rPr/>
      </w:pPr>
      <w:r w:rsidDel="00000000" w:rsidR="00000000" w:rsidRPr="00000000">
        <w:rPr>
          <w:rFonts w:ascii="Arial" w:cs="Arial" w:eastAsia="Arial" w:hAnsi="Arial"/>
          <w:sz w:val="24"/>
          <w:szCs w:val="24"/>
          <w:rtl w:val="0"/>
        </w:rPr>
        <w:t xml:space="preserve">The initial energy state of any information packet before modulation or interaction. In astrophysics: energy density of a particle. In compound catastrophic risk modeling: the raw forcing energy entering the system — the initiating event whose magnitude determines whether downstream systems can absorb or are overwhelmed by what follows. In information systems generally: Total Harmonic Potential — the unmodulated signal state before any subtractive processing or structural filtering is applied.</w:t>
      </w:r>
      <w:r w:rsidDel="00000000" w:rsidR="00000000" w:rsidRPr="00000000">
        <w:rPr>
          <w:rtl w:val="0"/>
        </w:rPr>
      </w:r>
    </w:p>
    <w:p w:rsidR="00000000" w:rsidDel="00000000" w:rsidP="00000000" w:rsidRDefault="00000000" w:rsidRPr="00000000" w14:paraId="0000000A">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ΩL/ΩD — Density Ratio (Symmetry/Density Parameter)</w:t>
      </w:r>
      <w:r w:rsidDel="00000000" w:rsidR="00000000" w:rsidRPr="00000000">
        <w:rPr>
          <w:rtl w:val="0"/>
        </w:rPr>
      </w:r>
    </w:p>
    <w:p w:rsidR="00000000" w:rsidDel="00000000" w:rsidP="00000000" w:rsidRDefault="00000000" w:rsidRPr="00000000" w14:paraId="0000000B">
      <w:pPr>
        <w:spacing w:after="180" w:before="0" w:line="360" w:lineRule="auto"/>
        <w:rPr/>
      </w:pPr>
      <w:r w:rsidDel="00000000" w:rsidR="00000000" w:rsidRPr="00000000">
        <w:rPr>
          <w:rFonts w:ascii="Arial" w:cs="Arial" w:eastAsia="Arial" w:hAnsi="Arial"/>
          <w:sz w:val="24"/>
          <w:szCs w:val="24"/>
          <w:rtl w:val="0"/>
        </w:rPr>
        <w:t xml:space="preserve">Ratio of baryonic to non-baryonic matter. Maps directly onto the figure/ground distinction in information architecture: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ΩL (Positive / Figure / Baryonic):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The explicit, additive, detectable signal. Visible navigation nodes and labels in IA, normal matter you can measure.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ΩD (Negative / Ground / Non-Baryonic):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The structural negative space. White space, cognitive load scaffolding, dark matter. Provides the gravitational structure that allows the positive signal to have definition. Without sufficient ΩD, information density exceeds structural capacity and the fractal pattern collapses into undifferentiated noise.</w:t>
      </w:r>
    </w:p>
    <w:p w:rsidR="00000000" w:rsidDel="00000000" w:rsidP="00000000" w:rsidRDefault="00000000" w:rsidRPr="00000000" w14:paraId="0000000E">
      <w:pPr>
        <w:spacing w:after="180" w:before="0" w:line="360" w:lineRule="auto"/>
        <w:rPr/>
      </w:pPr>
      <w:r w:rsidDel="00000000" w:rsidR="00000000" w:rsidRPr="00000000">
        <w:rPr>
          <w:rFonts w:ascii="Arial" w:cs="Arial" w:eastAsia="Arial" w:hAnsi="Arial"/>
          <w:sz w:val="24"/>
          <w:szCs w:val="24"/>
          <w:rtl w:val="0"/>
        </w:rPr>
        <w:t xml:space="preserve">In compound risk scenarios: the ratio of structured medium capacity to destructive throughput — how much the containing system can absorb before its scaffolding fails.</w:t>
      </w:r>
      <w:r w:rsidDel="00000000" w:rsidR="00000000" w:rsidRPr="00000000">
        <w:rPr>
          <w:rtl w:val="0"/>
        </w:rPr>
      </w:r>
    </w:p>
    <w:p w:rsidR="00000000" w:rsidDel="00000000" w:rsidP="00000000" w:rsidRDefault="00000000" w:rsidRPr="00000000" w14:paraId="0000000F">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Gvec — Geometric Divergence (Isotropic Vector Distribution)</w:t>
      </w:r>
      <w:r w:rsidDel="00000000" w:rsidR="00000000" w:rsidRPr="00000000">
        <w:rPr>
          <w:rtl w:val="0"/>
        </w:rPr>
      </w:r>
    </w:p>
    <w:p w:rsidR="00000000" w:rsidDel="00000000" w:rsidP="00000000" w:rsidRDefault="00000000" w:rsidRPr="00000000" w14:paraId="00000010">
      <w:pPr>
        <w:spacing w:after="180" w:before="0" w:line="360" w:lineRule="auto"/>
        <w:rPr/>
      </w:pPr>
      <w:r w:rsidDel="00000000" w:rsidR="00000000" w:rsidRPr="00000000">
        <w:rPr>
          <w:rFonts w:ascii="Arial" w:cs="Arial" w:eastAsia="Arial" w:hAnsi="Arial"/>
          <w:sz w:val="24"/>
          <w:szCs w:val="24"/>
          <w:rtl w:val="0"/>
        </w:rPr>
        <w:t xml:space="preserve">How energy paths and dissipates across a field in all directions. The geometry of travel, not just the direction. In a star: radiation pressure. In IA: directional vector of user cognitive flow. In compound risk: the path intersection of multiple simultaneous catastrophic events — where their trajectories converge determines the failure geometry of the combined system. Formally: the Berry connection integrated over a closed path in k-space, producing the accumulated curvature of the trajectory rather than just its direction.</w:t>
      </w:r>
      <w:r w:rsidDel="00000000" w:rsidR="00000000" w:rsidRPr="00000000">
        <w:rPr>
          <w:rtl w:val="0"/>
        </w:rPr>
      </w:r>
    </w:p>
    <w:p w:rsidR="00000000" w:rsidDel="00000000" w:rsidP="00000000" w:rsidRDefault="00000000" w:rsidRPr="00000000" w14:paraId="00000011">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ΣP — Total Potentiality (Fractal Output)</w:t>
      </w:r>
      <w:r w:rsidDel="00000000" w:rsidR="00000000" w:rsidRPr="00000000">
        <w:rPr>
          <w:rtl w:val="0"/>
        </w:rPr>
      </w:r>
    </w:p>
    <w:p w:rsidR="00000000" w:rsidDel="00000000" w:rsidP="00000000" w:rsidRDefault="00000000" w:rsidRPr="00000000" w14:paraId="00000012">
      <w:pPr>
        <w:spacing w:after="180" w:before="0" w:line="360" w:lineRule="auto"/>
        <w:rPr/>
      </w:pPr>
      <w:r w:rsidDel="00000000" w:rsidR="00000000" w:rsidRPr="00000000">
        <w:rPr>
          <w:rFonts w:ascii="Arial" w:cs="Arial" w:eastAsia="Arial" w:hAnsi="Arial"/>
          <w:sz w:val="24"/>
          <w:szCs w:val="24"/>
          <w:rtl w:val="0"/>
        </w:rPr>
        <w:t xml:space="preserve">The resulting sum of all particle/event states. Scale-invariant output: the micro-level logic of any single component event follows the same density logic as the macro-level arrangement of the entire system. Each level of the output replicates the governing logic of the level above and below it. In risk modeling: total probability of compound system collapse across all interdependent infrastructure layers simultaneously.</w:t>
      </w:r>
      <w:r w:rsidDel="00000000" w:rsidR="00000000" w:rsidRPr="00000000">
        <w:rPr>
          <w:rtl w:val="0"/>
        </w:rPr>
      </w:r>
    </w:p>
    <w:p w:rsidR="00000000" w:rsidDel="00000000" w:rsidP="00000000" w:rsidRDefault="00000000" w:rsidRPr="00000000" w14:paraId="00000013">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Theoretical Scaffolding</w:t>
      </w:r>
      <w:r w:rsidDel="00000000" w:rsidR="00000000" w:rsidRPr="00000000">
        <w:rPr>
          <w:rtl w:val="0"/>
        </w:rPr>
      </w:r>
    </w:p>
    <w:p w:rsidR="00000000" w:rsidDel="00000000" w:rsidP="00000000" w:rsidRDefault="00000000" w:rsidRPr="00000000" w14:paraId="00000014">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1. Elbert-Chandrasekhar Mapping</w:t>
      </w:r>
      <w:r w:rsidDel="00000000" w:rsidR="00000000" w:rsidRPr="00000000">
        <w:rPr>
          <w:rtl w:val="0"/>
        </w:rPr>
      </w:r>
    </w:p>
    <w:p w:rsidR="00000000" w:rsidDel="00000000" w:rsidP="00000000" w:rsidRDefault="00000000" w:rsidRPr="00000000" w14:paraId="00000015">
      <w:pPr>
        <w:spacing w:after="180" w:before="0" w:line="360" w:lineRule="auto"/>
        <w:rPr/>
      </w:pPr>
      <w:r w:rsidDel="00000000" w:rsidR="00000000" w:rsidRPr="00000000">
        <w:rPr>
          <w:rFonts w:ascii="Arial" w:cs="Arial" w:eastAsia="Arial" w:hAnsi="Arial"/>
          <w:sz w:val="24"/>
          <w:szCs w:val="24"/>
          <w:rtl w:val="0"/>
        </w:rPr>
        <w:t xml:space="preserve">Donna DeEtte Elbert’s equations, originally developed for magnetohydrodynamics and rotating fluids, applied here to model stability and magnetic field generation in self-gravitating systems. MHD and the Navier-Stokes equations describe the actual fluid dynamics of the chaos — the equation provides the structural outline within which that chaos is governed.</w:t>
      </w:r>
      <w:r w:rsidDel="00000000" w:rsidR="00000000" w:rsidRPr="00000000">
        <w:rPr>
          <w:rtl w:val="0"/>
        </w:rPr>
      </w:r>
    </w:p>
    <w:p w:rsidR="00000000" w:rsidDel="00000000" w:rsidP="00000000" w:rsidRDefault="00000000" w:rsidRPr="00000000" w14:paraId="00000016">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2. Amplituhedron Geometry</w:t>
      </w:r>
      <w:r w:rsidDel="00000000" w:rsidR="00000000" w:rsidRPr="00000000">
        <w:rPr>
          <w:rtl w:val="0"/>
        </w:rPr>
      </w:r>
    </w:p>
    <w:p w:rsidR="00000000" w:rsidDel="00000000" w:rsidP="00000000" w:rsidRDefault="00000000" w:rsidRPr="00000000" w14:paraId="00000017">
      <w:pPr>
        <w:spacing w:after="180" w:before="0" w:line="360" w:lineRule="auto"/>
        <w:rPr/>
      </w:pPr>
      <w:r w:rsidDel="00000000" w:rsidR="00000000" w:rsidRPr="00000000">
        <w:rPr>
          <w:rFonts w:ascii="Arial" w:cs="Arial" w:eastAsia="Arial" w:hAnsi="Arial"/>
          <w:sz w:val="24"/>
          <w:szCs w:val="24"/>
          <w:rtl w:val="0"/>
        </w:rPr>
        <w:t xml:space="preserve">The amplituhedron (Arkani-Hamed et al.) replaces Feynman diagram summation with a single geometric object. In standard QFT, a 2-to-4 particle scattering calculation requires hundreds of pages of algebraic integrals encoding virtual particles and mathematical “ghosts” that cancel out in the final result — </w:t>
      </w:r>
      <w:r w:rsidDel="00000000" w:rsidR="00000000" w:rsidRPr="00000000">
        <w:rPr>
          <w:rFonts w:ascii="Arial" w:cs="Arial" w:eastAsia="Arial" w:hAnsi="Arial"/>
          <w:b w:val="1"/>
          <w:bCs w:val="1"/>
          <w:sz w:val="24"/>
          <w:szCs w:val="24"/>
          <w:rtl w:val="0"/>
        </w:rPr>
        <w:t xml:space="preserve">High-Entropy Documentation</w:t>
      </w:r>
      <w:r w:rsidDel="00000000" w:rsidR="00000000" w:rsidRPr="00000000">
        <w:rPr>
          <w:rFonts w:ascii="Arial" w:cs="Arial" w:eastAsia="Arial" w:hAnsi="Arial"/>
          <w:sz w:val="24"/>
          <w:szCs w:val="24"/>
          <w:rtl w:val="0"/>
        </w:rPr>
        <w:t xml:space="preserve"> by definition. The amplituhedron eliminates intermediate computational debt by encoding all scattering amplitudes geometrically. This equation does structurally the same thing across domains: replaces high-entropy multi-variable simulation with a low-entropy invariant.</w:t>
      </w:r>
      <w:r w:rsidDel="00000000" w:rsidR="00000000" w:rsidRPr="00000000">
        <w:rPr>
          <w:rtl w:val="0"/>
        </w:rPr>
      </w:r>
    </w:p>
    <w:p w:rsidR="00000000" w:rsidDel="00000000" w:rsidP="00000000" w:rsidRDefault="00000000" w:rsidRPr="00000000" w14:paraId="00000018">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3. Information Entropy as Physical Constant</w:t>
      </w:r>
      <w:r w:rsidDel="00000000" w:rsidR="00000000" w:rsidRPr="00000000">
        <w:rPr>
          <w:rtl w:val="0"/>
        </w:rPr>
      </w:r>
    </w:p>
    <w:p w:rsidR="00000000" w:rsidDel="00000000" w:rsidP="00000000" w:rsidRDefault="00000000" w:rsidRPr="00000000" w14:paraId="00000019">
      <w:pPr>
        <w:spacing w:after="180" w:before="0" w:line="360" w:lineRule="auto"/>
        <w:rPr/>
      </w:pPr>
      <w:r w:rsidDel="00000000" w:rsidR="00000000" w:rsidRPr="00000000">
        <w:rPr>
          <w:rFonts w:ascii="Arial" w:cs="Arial" w:eastAsia="Arial" w:hAnsi="Arial"/>
          <w:sz w:val="24"/>
          <w:szCs w:val="24"/>
          <w:rtl w:val="0"/>
        </w:rPr>
        <w:t xml:space="preserve">The stability-to-chaos transition is defined as a function of information density — creating a formal bridge between the physical behavior of stars (heliophysics) and the digital behavior of high-entropy signal fields. The “irrational friction” functions as a </w:t>
      </w:r>
      <w:r w:rsidDel="00000000" w:rsidR="00000000" w:rsidRPr="00000000">
        <w:rPr>
          <w:rFonts w:ascii="Arial" w:cs="Arial" w:eastAsia="Arial" w:hAnsi="Arial"/>
          <w:b w:val="1"/>
          <w:bCs w:val="1"/>
          <w:sz w:val="24"/>
          <w:szCs w:val="24"/>
          <w:rtl w:val="0"/>
        </w:rPr>
        <w:t xml:space="preserve">Stochastic Coupling Constant</w:t>
      </w:r>
      <w:r w:rsidDel="00000000" w:rsidR="00000000" w:rsidRPr="00000000">
        <w:rPr>
          <w:rFonts w:ascii="Arial" w:cs="Arial" w:eastAsia="Arial" w:hAnsi="Arial"/>
          <w:sz w:val="24"/>
          <w:szCs w:val="24"/>
          <w:rtl w:val="0"/>
        </w:rPr>
        <w:t xml:space="preserve">: a refactoring of the Cosmological Constant (Λ) from “energy density of space” into a friction coefficient governing particle collisions — the Entropy of Interaction. Connects to phononic coupling: just as excitonic quantum emitters are tuned via sound-like lattice vibrations, complex system behavior may be governed by these irrational constants at the quantum scale.</w:t>
      </w:r>
      <w:r w:rsidDel="00000000" w:rsidR="00000000" w:rsidRPr="00000000">
        <w:rPr>
          <w:rtl w:val="0"/>
        </w:rPr>
      </w:r>
    </w:p>
    <w:p w:rsidR="00000000" w:rsidDel="00000000" w:rsidP="00000000" w:rsidRDefault="00000000" w:rsidRPr="00000000" w14:paraId="0000001A">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4. Structural Analogues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Holographic Principle (Susskind/’t Hooft):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Information on the boundary = information in the volume. This equation’s version: single particle × scaling factor × geometric distribution = total.</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E8 Lattice / Garrett Lisi: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Geometric structure → particle physics. This equation’s version: geometric travel in all directions → sum of particles.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Emergent Theory of Everything: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Spacetime is not a fundamental stage but a “wetness” property — emergent when information becomes sufficiently entangled. The August 2026 event is a phase transition: the universe’s information density flips state at a critical point (the “Imaginary Denominator”).</w:t>
      </w:r>
    </w:p>
    <w:p w:rsidR="00000000" w:rsidDel="00000000" w:rsidP="00000000" w:rsidRDefault="00000000" w:rsidRPr="00000000" w14:paraId="0000001E">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Applied Domains: Cross-Scale Proof</w:t>
      </w:r>
      <w:r w:rsidDel="00000000" w:rsidR="00000000" w:rsidRPr="00000000">
        <w:rPr>
          <w:rtl w:val="0"/>
        </w:rPr>
      </w:r>
    </w:p>
    <w:p w:rsidR="00000000" w:rsidDel="00000000" w:rsidP="00000000" w:rsidRDefault="00000000" w:rsidRPr="00000000" w14:paraId="0000001F">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Domain 1: Heliophysics → Biological/Social Decoherence</w:t>
      </w:r>
      <w:r w:rsidDel="00000000" w:rsidR="00000000" w:rsidRPr="00000000">
        <w:rPr>
          <w:rtl w:val="0"/>
        </w:rPr>
      </w:r>
    </w:p>
    <w:p w:rsidR="00000000" w:rsidDel="00000000" w:rsidP="00000000" w:rsidRDefault="00000000" w:rsidRPr="00000000" w14:paraId="00000020">
      <w:pPr>
        <w:spacing w:after="180" w:before="0" w:line="360" w:lineRule="auto"/>
        <w:rPr/>
      </w:pPr>
      <w:r w:rsidDel="00000000" w:rsidR="00000000" w:rsidRPr="00000000">
        <w:rPr>
          <w:rFonts w:ascii="Arial" w:cs="Arial" w:eastAsia="Arial" w:hAnsi="Arial"/>
          <w:sz w:val="24"/>
          <w:szCs w:val="24"/>
          <w:rtl w:val="0"/>
        </w:rPr>
        <w:t xml:space="preserve">Signal chain: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Input: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Solar plasma (NOAA data) → E</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spike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Earth’s magnetosphere/atmosphere (magnetometer data) → G</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subscript"/>
          <w:rtl w:val="0"/>
        </w:rPr>
        <w:t xml:space="preserve">vec</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perturbation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Biological and social decoherence (Fitbit biometric data + anthropological behavioral data) → ΣP collapse</w:t>
      </w:r>
    </w:p>
    <w:p w:rsidR="00000000" w:rsidDel="00000000" w:rsidP="00000000" w:rsidRDefault="00000000" w:rsidRPr="00000000" w14:paraId="00000024">
      <w:pPr>
        <w:spacing w:after="180" w:before="0" w:line="360" w:lineRule="auto"/>
        <w:rPr/>
      </w:pPr>
      <w:r w:rsidDel="00000000" w:rsidR="00000000" w:rsidRPr="00000000">
        <w:rPr>
          <w:rFonts w:ascii="Arial" w:cs="Arial" w:eastAsia="Arial" w:hAnsi="Arial"/>
          <w:sz w:val="24"/>
          <w:szCs w:val="24"/>
          <w:rtl w:val="0"/>
        </w:rPr>
        <w:t xml:space="preserve">When E</w:t>
      </w:r>
      <w:r w:rsidDel="00000000" w:rsidR="00000000" w:rsidRPr="00000000">
        <w:rPr>
          <w:rFonts w:ascii="Arial" w:cs="Arial" w:eastAsia="Arial" w:hAnsi="Arial"/>
          <w:sz w:val="24"/>
          <w:szCs w:val="24"/>
          <w:vertAlign w:val="subscript"/>
          <w:rtl w:val="0"/>
        </w:rPr>
        <w:t xml:space="preserve">p</w:t>
      </w:r>
      <w:r w:rsidDel="00000000" w:rsidR="00000000" w:rsidRPr="00000000">
        <w:rPr>
          <w:rFonts w:ascii="Arial" w:cs="Arial" w:eastAsia="Arial" w:hAnsi="Arial"/>
          <w:sz w:val="24"/>
          <w:szCs w:val="24"/>
          <w:rtl w:val="0"/>
        </w:rPr>
        <w:t xml:space="preserve"> (solar forcing) exceeds the ΩL/ΩD stability threshold of the magnetospheric medium, G</w:t>
      </w:r>
      <w:r w:rsidDel="00000000" w:rsidR="00000000" w:rsidRPr="00000000">
        <w:rPr>
          <w:rFonts w:ascii="Arial" w:cs="Arial" w:eastAsia="Arial" w:hAnsi="Arial"/>
          <w:sz w:val="24"/>
          <w:szCs w:val="24"/>
          <w:vertAlign w:val="subscript"/>
          <w:rtl w:val="0"/>
        </w:rPr>
        <w:t xml:space="preserve">vec</w:t>
      </w:r>
      <w:r w:rsidDel="00000000" w:rsidR="00000000" w:rsidRPr="00000000">
        <w:rPr>
          <w:rFonts w:ascii="Arial" w:cs="Arial" w:eastAsia="Arial" w:hAnsi="Arial"/>
          <w:sz w:val="24"/>
          <w:szCs w:val="24"/>
          <w:rtl w:val="0"/>
        </w:rPr>
        <w:t xml:space="preserve"> (geometric path of energy dissipation through the system) produces measurable decoherence in biological and social systems downstream. Falsifiable, data-sourced causal chain.</w:t>
      </w:r>
      <w:r w:rsidDel="00000000" w:rsidR="00000000" w:rsidRPr="00000000">
        <w:rPr>
          <w:rtl w:val="0"/>
        </w:rPr>
      </w:r>
    </w:p>
    <w:p w:rsidR="00000000" w:rsidDel="00000000" w:rsidP="00000000" w:rsidRDefault="00000000" w:rsidRPr="00000000" w14:paraId="00000025">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Domain 2: Compound Catastrophic Risk — The August 2026 Window</w:t>
      </w:r>
      <w:r w:rsidDel="00000000" w:rsidR="00000000" w:rsidRPr="00000000">
        <w:rPr>
          <w:rtl w:val="0"/>
        </w:rPr>
      </w:r>
    </w:p>
    <w:p w:rsidR="00000000" w:rsidDel="00000000" w:rsidP="00000000" w:rsidRDefault="00000000" w:rsidRPr="00000000" w14:paraId="00000026">
      <w:pPr>
        <w:spacing w:after="180" w:before="0" w:line="360" w:lineRule="auto"/>
        <w:rPr/>
      </w:pPr>
      <w:r w:rsidDel="00000000" w:rsidR="00000000" w:rsidRPr="00000000">
        <w:rPr>
          <w:rFonts w:ascii="Arial" w:cs="Arial" w:eastAsia="Arial" w:hAnsi="Arial"/>
          <w:sz w:val="24"/>
          <w:szCs w:val="24"/>
          <w:rtl w:val="0"/>
        </w:rPr>
        <w:t xml:space="preserve">Solar physicists and heliophysicists track an approximately 11-year solar cycle, with solar maximum — the peak of solar flare and coronal mass ejection (CME) activity — occurring predictably within known windows. The current solar cycle (Solar Cycle 25) is tracking toward a particularly active maximum, with August 2026 identified as a high-probability window for X-class (extreme) solar storm activity. An X10-class event is a geomagnetic storm of sufficient magnitude to cause widespread geomagnetically induced currents (GICs) in ground-based power grid infrastructure — the same physical mechanism that caused the 1989 Quebec blackout and that the 2024 Carrington-class near-miss demonstrated remains an unresolved infrastructure vulnerability.</w:t>
      </w:r>
      <w:r w:rsidDel="00000000" w:rsidR="00000000" w:rsidRPr="00000000">
        <w:rPr>
          <w:rtl w:val="0"/>
        </w:rPr>
      </w:r>
    </w:p>
    <w:p w:rsidR="00000000" w:rsidDel="00000000" w:rsidP="00000000" w:rsidRDefault="00000000" w:rsidRPr="00000000" w14:paraId="00000027">
      <w:pPr>
        <w:spacing w:after="180" w:before="0" w:line="360" w:lineRule="auto"/>
        <w:rPr/>
      </w:pPr>
      <w:r w:rsidDel="00000000" w:rsidR="00000000" w:rsidRPr="00000000">
        <w:rPr>
          <w:rFonts w:ascii="Arial" w:cs="Arial" w:eastAsia="Arial" w:hAnsi="Arial"/>
          <w:sz w:val="24"/>
          <w:szCs w:val="24"/>
          <w:rtl w:val="0"/>
        </w:rPr>
        <w:t xml:space="preserve">The compound risk scenario, referred to here as “Omega-Pulse,” models not a single catastrophic event but the </w:t>
      </w:r>
      <w:r w:rsidDel="00000000" w:rsidR="00000000" w:rsidRPr="00000000">
        <w:rPr>
          <w:rFonts w:ascii="Arial" w:cs="Arial" w:eastAsia="Arial" w:hAnsi="Arial"/>
          <w:b w:val="1"/>
          <w:bCs w:val="1"/>
          <w:sz w:val="24"/>
          <w:szCs w:val="24"/>
          <w:rtl w:val="0"/>
        </w:rPr>
        <w:t xml:space="preserve">geometric intersection of three simultaneous forcing events</w:t>
      </w:r>
      <w:r w:rsidDel="00000000" w:rsidR="00000000" w:rsidRPr="00000000">
        <w:rPr>
          <w:rFonts w:ascii="Arial" w:cs="Arial" w:eastAsia="Arial" w:hAnsi="Arial"/>
          <w:sz w:val="24"/>
          <w:szCs w:val="24"/>
          <w:rtl w:val="0"/>
        </w:rPr>
        <w:t xml:space="preserve"> within the same temporal window:</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X10-class solar storm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driving GIC surges through continental power grid infrastructure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Active Atlantic hurricane season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August is peak hurricane season; a Category 4+ storm making landfall during simultaneous grid stress creates compounded emergency response failure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LEO satellite debris cascade </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solar storm-driven atmospheric heating expands the upper atmosphere, increasing drag on low-Earth orbit satellites (including Starlink), elevating collision probability and potential Kessler cascade risk</w:t>
      </w:r>
    </w:p>
    <w:p w:rsidR="00000000" w:rsidDel="00000000" w:rsidP="00000000" w:rsidRDefault="00000000" w:rsidRPr="00000000" w14:paraId="0000002B">
      <w:pPr>
        <w:spacing w:after="180" w:before="0" w:line="360" w:lineRule="auto"/>
        <w:rPr/>
      </w:pPr>
      <w:r w:rsidDel="00000000" w:rsidR="00000000" w:rsidRPr="00000000">
        <w:rPr>
          <w:rFonts w:ascii="Arial" w:cs="Arial" w:eastAsia="Arial" w:hAnsi="Arial"/>
          <w:sz w:val="24"/>
          <w:szCs w:val="24"/>
          <w:rtl w:val="0"/>
        </w:rPr>
        <w:t xml:space="preserve">The critical insight is that existing risk models treat these as independent probability distributions. They are not independent — they share a common forcing variable (solar activity drives both the GIC risk and the LEO atmospheric expansion), meaning their probabilities are positively correlated and their infrastructure impacts are geometrically intersecting rather than additive.</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5760"/>
        <w:tblGridChange w:id="0">
          <w:tblGrid>
            <w:gridCol w:w="2880"/>
            <w:gridCol w:w="5760"/>
          </w:tblGrid>
        </w:tblGridChange>
      </w:tblGrid>
      <w:tr>
        <w:trPr>
          <w:cantSplit w:val="0"/>
          <w:tblHeader w:val="0"/>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2C">
            <w:pPr>
              <w:spacing w:after="180" w:before="0" w:line="360" w:lineRule="auto"/>
              <w:rPr/>
            </w:pPr>
            <w:r w:rsidDel="00000000" w:rsidR="00000000" w:rsidRPr="00000000">
              <w:rPr>
                <w:rFonts w:ascii="Arial" w:cs="Arial" w:eastAsia="Arial" w:hAnsi="Arial"/>
                <w:b w:val="1"/>
                <w:bCs w:val="1"/>
                <w:sz w:val="22"/>
                <w:szCs w:val="22"/>
                <w:rtl w:val="0"/>
              </w:rPr>
              <w:t xml:space="preserve">Component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2D">
            <w:pPr>
              <w:spacing w:after="180" w:before="0" w:line="360" w:lineRule="auto"/>
              <w:rPr/>
            </w:pPr>
            <w:r w:rsidDel="00000000" w:rsidR="00000000" w:rsidRPr="00000000">
              <w:rPr>
                <w:rFonts w:ascii="Arial" w:cs="Arial" w:eastAsia="Arial" w:hAnsi="Arial"/>
                <w:b w:val="1"/>
                <w:bCs w:val="1"/>
                <w:sz w:val="22"/>
                <w:szCs w:val="22"/>
                <w:rtl w:val="0"/>
              </w:rPr>
              <w:t xml:space="preserve">Instantiation</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E">
            <w:pPr>
              <w:spacing w:after="180" w:before="0" w:line="360" w:lineRule="auto"/>
              <w:rPr/>
            </w:pPr>
            <w:r w:rsidDel="00000000" w:rsidR="00000000" w:rsidRPr="00000000">
              <w:rPr>
                <w:rFonts w:ascii="Arial" w:cs="Arial" w:eastAsia="Arial" w:hAnsi="Arial"/>
                <w:sz w:val="22"/>
                <w:szCs w:val="22"/>
                <w:rtl w:val="0"/>
              </w:rPr>
              <w:t xml:space="preserve">Ep</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2F">
            <w:pPr>
              <w:spacing w:after="180" w:before="0" w:line="360" w:lineRule="auto"/>
              <w:rPr/>
            </w:pPr>
            <w:r w:rsidDel="00000000" w:rsidR="00000000" w:rsidRPr="00000000">
              <w:rPr>
                <w:rFonts w:ascii="Arial" w:cs="Arial" w:eastAsia="Arial" w:hAnsi="Arial"/>
                <w:sz w:val="22"/>
                <w:szCs w:val="22"/>
                <w:rtl w:val="0"/>
              </w:rPr>
              <w:t xml:space="preserve">X10 solar flux + 160mph hurricane wind energy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0">
            <w:pPr>
              <w:spacing w:after="180" w:before="0" w:line="360" w:lineRule="auto"/>
              <w:rPr/>
            </w:pPr>
            <w:r w:rsidDel="00000000" w:rsidR="00000000" w:rsidRPr="00000000">
              <w:rPr>
                <w:rFonts w:ascii="Arial" w:cs="Arial" w:eastAsia="Arial" w:hAnsi="Arial"/>
                <w:sz w:val="22"/>
                <w:szCs w:val="22"/>
                <w:rtl w:val="0"/>
              </w:rPr>
              <w:t xml:space="preserve">ΩL/ΩD</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1">
            <w:pPr>
              <w:spacing w:after="180" w:before="0" w:line="360" w:lineRule="auto"/>
              <w:rPr/>
            </w:pPr>
            <w:r w:rsidDel="00000000" w:rsidR="00000000" w:rsidRPr="00000000">
              <w:rPr>
                <w:rFonts w:ascii="Arial" w:cs="Arial" w:eastAsia="Arial" w:hAnsi="Arial"/>
                <w:sz w:val="22"/>
                <w:szCs w:val="22"/>
                <w:rtl w:val="0"/>
              </w:rPr>
              <w:t xml:space="preserve">LEO atmospheric density vs. falling satellite debris density</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2">
            <w:pPr>
              <w:spacing w:after="180" w:before="0" w:line="360" w:lineRule="auto"/>
              <w:rPr/>
            </w:pPr>
            <w:r w:rsidDel="00000000" w:rsidR="00000000" w:rsidRPr="00000000">
              <w:rPr>
                <w:rFonts w:ascii="Arial" w:cs="Arial" w:eastAsia="Arial" w:hAnsi="Arial"/>
                <w:sz w:val="22"/>
                <w:szCs w:val="22"/>
                <w:rtl w:val="0"/>
              </w:rPr>
              <w:t xml:space="preserve">Gvec</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33">
            <w:pPr>
              <w:spacing w:after="180" w:before="0" w:line="360" w:lineRule="auto"/>
              <w:rPr/>
            </w:pPr>
            <w:r w:rsidDel="00000000" w:rsidR="00000000" w:rsidRPr="00000000">
              <w:rPr>
                <w:rFonts w:ascii="Arial" w:cs="Arial" w:eastAsia="Arial" w:hAnsi="Arial"/>
                <w:sz w:val="22"/>
                <w:szCs w:val="22"/>
                <w:rtl w:val="0"/>
              </w:rPr>
              <w:t xml:space="preserve">Hurricane track path intersecting GIC surge propagation path through grid</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4">
            <w:pPr>
              <w:spacing w:after="180" w:before="0" w:line="360" w:lineRule="auto"/>
              <w:rPr/>
            </w:pPr>
            <w:r w:rsidDel="00000000" w:rsidR="00000000" w:rsidRPr="00000000">
              <w:rPr>
                <w:rFonts w:ascii="Arial" w:cs="Arial" w:eastAsia="Arial" w:hAnsi="Arial"/>
                <w:sz w:val="22"/>
                <w:szCs w:val="22"/>
                <w:rtl w:val="0"/>
              </w:rPr>
              <w:t xml:space="preserve">ΣP</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35">
            <w:pPr>
              <w:spacing w:after="180" w:before="0" w:line="360" w:lineRule="auto"/>
              <w:rPr/>
            </w:pPr>
            <w:r w:rsidDel="00000000" w:rsidR="00000000" w:rsidRPr="00000000">
              <w:rPr>
                <w:rFonts w:ascii="Arial" w:cs="Arial" w:eastAsia="Arial" w:hAnsi="Arial"/>
                <w:sz w:val="22"/>
                <w:szCs w:val="22"/>
                <w:rtl w:val="0"/>
              </w:rPr>
              <w:t xml:space="preserve">Total probability of compound system collapse: cities, tech infrastructure, rescue capacity</w:t>
            </w:r>
            <w:r w:rsidDel="00000000" w:rsidR="00000000" w:rsidRPr="00000000">
              <w:rPr>
                <w:rtl w:val="0"/>
              </w:rPr>
            </w:r>
          </w:p>
        </w:tc>
      </w:tr>
    </w:tbl>
    <w:p w:rsidR="00000000" w:rsidDel="00000000" w:rsidP="00000000" w:rsidRDefault="00000000" w:rsidRPr="00000000" w14:paraId="00000036">
      <w:pPr>
        <w:spacing w:after="180" w:before="0" w:line="360" w:lineRule="auto"/>
        <w:rPr/>
      </w:pPr>
      <w:r w:rsidDel="00000000" w:rsidR="00000000" w:rsidRPr="00000000">
        <w:rPr>
          <w:rFonts w:ascii="Arial" w:cs="Arial" w:eastAsia="Arial" w:hAnsi="Arial"/>
          <w:sz w:val="24"/>
          <w:szCs w:val="24"/>
          <w:rtl w:val="0"/>
        </w:rPr>
        <w:t xml:space="preserve">The equation predicts collapse probability not from any single variable but from the </w:t>
      </w:r>
      <w:r w:rsidDel="00000000" w:rsidR="00000000" w:rsidRPr="00000000">
        <w:rPr>
          <w:rFonts w:ascii="Arial" w:cs="Arial" w:eastAsia="Arial" w:hAnsi="Arial"/>
          <w:b w:val="1"/>
          <w:bCs w:val="1"/>
          <w:sz w:val="24"/>
          <w:szCs w:val="24"/>
          <w:rtl w:val="0"/>
        </w:rPr>
        <w:t xml:space="preserve">geometric intersection of all three</w:t>
      </w:r>
      <w:r w:rsidDel="00000000" w:rsidR="00000000" w:rsidRPr="00000000">
        <w:rPr>
          <w:rFonts w:ascii="Arial" w:cs="Arial" w:eastAsia="Arial" w:hAnsi="Arial"/>
          <w:sz w:val="24"/>
          <w:szCs w:val="24"/>
          <w:rtl w:val="0"/>
        </w:rPr>
        <w:t xml:space="preserve"> — which is why every existing model misses it. They optimize individual variables. This equation tracks G</w:t>
      </w:r>
      <w:r w:rsidDel="00000000" w:rsidR="00000000" w:rsidRPr="00000000">
        <w:rPr>
          <w:rFonts w:ascii="Arial" w:cs="Arial" w:eastAsia="Arial" w:hAnsi="Arial"/>
          <w:sz w:val="24"/>
          <w:szCs w:val="24"/>
          <w:vertAlign w:val="subscript"/>
          <w:rtl w:val="0"/>
        </w:rPr>
        <w:t xml:space="preserve">vec</w:t>
      </w:r>
      <w:r w:rsidDel="00000000" w:rsidR="00000000" w:rsidRPr="00000000">
        <w:rPr>
          <w:rFonts w:ascii="Arial" w:cs="Arial" w:eastAsia="Arial" w:hAnsi="Arial"/>
          <w:sz w:val="24"/>
          <w:szCs w:val="24"/>
          <w:rtl w:val="0"/>
        </w:rPr>
        <w:t xml:space="preserve"> — the path intersection.</w:t>
      </w:r>
      <w:r w:rsidDel="00000000" w:rsidR="00000000" w:rsidRPr="00000000">
        <w:rPr>
          <w:rtl w:val="0"/>
        </w:rPr>
      </w:r>
    </w:p>
    <w:p w:rsidR="00000000" w:rsidDel="00000000" w:rsidP="00000000" w:rsidRDefault="00000000" w:rsidRPr="00000000" w14:paraId="00000037">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Domain 3: Information Architecture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ΩL</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visible nodes, navigation labels (baryonic/explicit)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ΩD</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structural white space, cognitive load management, kerning (dark/implicit scaffolding)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Gvec</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directional vector of user cognitive flow through the system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ΣP</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total navigability and comprehension potentiality of the interface</w:t>
      </w:r>
    </w:p>
    <w:p w:rsidR="00000000" w:rsidDel="00000000" w:rsidP="00000000" w:rsidRDefault="00000000" w:rsidRPr="00000000" w14:paraId="0000003C">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Domain 4: Quantum Heterointerface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E</w:t>
      </w: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subscript"/>
          <w:rtl w:val="0"/>
        </w:rPr>
        <w:t xml:space="preserve">p</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defect/vacancy formation energy density at the p-n interface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ΩL/ΩD</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Im(QGT)/Re(QGT) — Berry curvature to quantum metric ratio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Gvec</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Berry connection integrated across Brillouin zone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4"/>
          <w:szCs w:val="24"/>
          <w:u w:val="none"/>
          <w:shd w:fill="auto" w:val="clear"/>
          <w:vertAlign w:val="baseline"/>
          <w:rtl w:val="0"/>
        </w:rPr>
        <w:t xml:space="preserve">ΣP</w:t>
      </w:r>
      <w:r w:rsidDel="00000000" w:rsidR="00000000" w:rsidRPr="00000000">
        <w:rPr>
          <w:rFonts w:ascii="Arial" w:cs="Arial" w:eastAsia="Arial" w:hAnsi="Arial"/>
          <w:b w:val="0"/>
          <w:bCs w:val="0"/>
          <w:i w:val="0"/>
          <w:iCs w:val="0"/>
          <w:smallCaps w:val="0"/>
          <w:strike w:val="0"/>
          <w:color w:val="1a1a1a"/>
          <w:sz w:val="24"/>
          <w:szCs w:val="24"/>
          <w:u w:val="none"/>
          <w:shd w:fill="auto" w:val="clear"/>
          <w:vertAlign w:val="baseline"/>
          <w:rtl w:val="0"/>
        </w:rPr>
        <w:t xml:space="preserve"> = observable conductance state distribution</w:t>
      </w:r>
    </w:p>
    <w:p w:rsidR="00000000" w:rsidDel="00000000" w:rsidP="00000000" w:rsidRDefault="00000000" w:rsidRPr="00000000" w14:paraId="00000041">
      <w:pPr>
        <w:spacing w:after="180" w:before="0" w:line="360" w:lineRule="auto"/>
        <w:rPr/>
      </w:pPr>
      <w:r w:rsidDel="00000000" w:rsidR="00000000" w:rsidRPr="00000000">
        <w:rPr>
          <w:rFonts w:ascii="Arial" w:cs="Arial" w:eastAsia="Arial" w:hAnsi="Arial"/>
          <w:sz w:val="24"/>
          <w:szCs w:val="24"/>
          <w:rtl w:val="0"/>
        </w:rPr>
        <w:t xml:space="preserve">The scale-invariance claim generates a directly testable prediction: the ΩL/ΩD ratio that governs multi-state switching in the crystalline 700°C interface is preserved in the amorphous 300°C variant </w:t>
      </w:r>
      <w:r w:rsidDel="00000000" w:rsidR="00000000" w:rsidRPr="00000000">
        <w:rPr>
          <w:rFonts w:ascii="Arial" w:cs="Arial" w:eastAsia="Arial" w:hAnsi="Arial"/>
          <w:i w:val="1"/>
          <w:iCs w:val="1"/>
          <w:sz w:val="24"/>
          <w:szCs w:val="24"/>
          <w:rtl w:val="0"/>
        </w:rPr>
        <w:t xml:space="preserve">if and only if</w:t>
      </w:r>
      <w:r w:rsidDel="00000000" w:rsidR="00000000" w:rsidRPr="00000000">
        <w:rPr>
          <w:rFonts w:ascii="Arial" w:cs="Arial" w:eastAsia="Arial" w:hAnsi="Arial"/>
          <w:sz w:val="24"/>
          <w:szCs w:val="24"/>
          <w:rtl w:val="0"/>
        </w:rPr>
        <w:t xml:space="preserve"> G</w:t>
      </w:r>
      <w:r w:rsidDel="00000000" w:rsidR="00000000" w:rsidRPr="00000000">
        <w:rPr>
          <w:rFonts w:ascii="Arial" w:cs="Arial" w:eastAsia="Arial" w:hAnsi="Arial"/>
          <w:sz w:val="24"/>
          <w:szCs w:val="24"/>
          <w:vertAlign w:val="subscript"/>
          <w:rtl w:val="0"/>
        </w:rPr>
        <w:t xml:space="preserve">vec</w:t>
      </w:r>
      <w:r w:rsidDel="00000000" w:rsidR="00000000" w:rsidRPr="00000000">
        <w:rPr>
          <w:rFonts w:ascii="Arial" w:cs="Arial" w:eastAsia="Arial" w:hAnsi="Arial"/>
          <w:sz w:val="24"/>
          <w:szCs w:val="24"/>
          <w:rtl w:val="0"/>
        </w:rPr>
        <w:t xml:space="preserve"> compensates for the reduction in E</w:t>
      </w:r>
      <w:r w:rsidDel="00000000" w:rsidR="00000000" w:rsidRPr="00000000">
        <w:rPr>
          <w:rFonts w:ascii="Arial" w:cs="Arial" w:eastAsia="Arial" w:hAnsi="Arial"/>
          <w:sz w:val="24"/>
          <w:szCs w:val="24"/>
          <w:vertAlign w:val="subscript"/>
          <w:rtl w:val="0"/>
        </w:rPr>
        <w:t xml:space="preserve">p</w:t>
      </w:r>
      <w:r w:rsidDel="00000000" w:rsidR="00000000" w:rsidRPr="00000000">
        <w:rPr>
          <w:rFonts w:ascii="Arial" w:cs="Arial" w:eastAsia="Arial" w:hAnsi="Arial"/>
          <w:sz w:val="24"/>
          <w:szCs w:val="24"/>
          <w:rtl w:val="0"/>
        </w:rPr>
        <w:t xml:space="preserve"> across processing temperatures.</w:t>
      </w:r>
      <w:r w:rsidDel="00000000" w:rsidR="00000000" w:rsidRPr="00000000">
        <w:rPr>
          <w:rtl w:val="0"/>
        </w:rPr>
      </w:r>
    </w:p>
    <w:p w:rsidR="00000000" w:rsidDel="00000000" w:rsidP="00000000" w:rsidRDefault="00000000" w:rsidRPr="00000000" w14:paraId="00000042">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The Calculus Gap</w:t>
      </w:r>
      <w:r w:rsidDel="00000000" w:rsidR="00000000" w:rsidRPr="00000000">
        <w:rPr>
          <w:rtl w:val="0"/>
        </w:rPr>
      </w:r>
    </w:p>
    <w:p w:rsidR="00000000" w:rsidDel="00000000" w:rsidP="00000000" w:rsidRDefault="00000000" w:rsidRPr="00000000" w14:paraId="00000043">
      <w:pPr>
        <w:spacing w:after="180" w:before="0" w:line="360" w:lineRule="auto"/>
        <w:rPr/>
      </w:pPr>
      <w:r w:rsidDel="00000000" w:rsidR="00000000" w:rsidRPr="00000000">
        <w:rPr>
          <w:rFonts w:ascii="Arial" w:cs="Arial" w:eastAsia="Arial" w:hAnsi="Arial"/>
          <w:sz w:val="24"/>
          <w:szCs w:val="24"/>
          <w:rtl w:val="0"/>
        </w:rPr>
        <w:t xml:space="preserve">The equation is currently algebraic — a static snapshot of system state. Three places require calculus to make it dynamic:</w:t>
      </w:r>
      <w:r w:rsidDel="00000000" w:rsidR="00000000" w:rsidRPr="00000000">
        <w:rPr>
          <w:rtl w:val="0"/>
        </w:rPr>
      </w:r>
    </w:p>
    <w:p w:rsidR="00000000" w:rsidDel="00000000" w:rsidP="00000000" w:rsidRDefault="00000000" w:rsidRPr="00000000" w14:paraId="00000044">
      <w:pPr>
        <w:pStyle w:val="Heading3"/>
        <w:spacing w:after="180" w:before="200" w:line="360" w:lineRule="auto"/>
        <w:rPr/>
      </w:pPr>
      <w:r w:rsidDel="00000000" w:rsidR="00000000" w:rsidRPr="00000000">
        <w:rPr>
          <w:rFonts w:ascii="Arial" w:cs="Arial" w:eastAsia="Arial" w:hAnsi="Arial"/>
          <w:b w:val="1"/>
          <w:bCs w:val="1"/>
          <w:sz w:val="24"/>
          <w:szCs w:val="24"/>
          <w:rtl w:val="0"/>
        </w:rPr>
        <w:t xml:space="preserve">Gvec → Berry Phase Integral</w:t>
      </w:r>
      <w:r w:rsidDel="00000000" w:rsidR="00000000" w:rsidRPr="00000000">
        <w:rPr>
          <w:rtl w:val="0"/>
        </w:rPr>
      </w:r>
    </w:p>
    <w:p w:rsidR="00000000" w:rsidDel="00000000" w:rsidP="00000000" w:rsidRDefault="00000000" w:rsidRPr="00000000" w14:paraId="00000045">
      <w:pPr>
        <w:spacing w:after="180" w:before="0" w:line="360" w:lineRule="auto"/>
        <w:rPr/>
      </w:pPr>
      <w:r w:rsidDel="00000000" w:rsidR="00000000" w:rsidRPr="00000000">
        <w:rPr>
          <w:rFonts w:ascii="Arial" w:cs="Arial" w:eastAsia="Arial" w:hAnsi="Arial"/>
          <w:b w:val="1"/>
          <w:bCs w:val="1"/>
          <w:sz w:val="24"/>
          <w:szCs w:val="24"/>
          <w:rtl w:val="0"/>
        </w:rPr>
        <w:t xml:space="preserve">Gvec = ∮ Aμ dkμ</w:t>
      </w:r>
      <w:r w:rsidDel="00000000" w:rsidR="00000000" w:rsidRPr="00000000">
        <w:rPr>
          <w:rFonts w:ascii="Arial" w:cs="Arial" w:eastAsia="Arial" w:hAnsi="Arial"/>
          <w:sz w:val="24"/>
          <w:szCs w:val="24"/>
          <w:rtl w:val="0"/>
        </w:rPr>
        <w:t xml:space="preserve"> — the accumulated curvature of the geometric path, not just its direction. This is the calculation that produces the Berry phase. Without the integral, you have the direction of travel but not the accumulated curvature of the path traversed across a curved manifold.</w:t>
      </w:r>
      <w:r w:rsidDel="00000000" w:rsidR="00000000" w:rsidRPr="00000000">
        <w:rPr>
          <w:rtl w:val="0"/>
        </w:rPr>
      </w:r>
    </w:p>
    <w:p w:rsidR="00000000" w:rsidDel="00000000" w:rsidP="00000000" w:rsidRDefault="00000000" w:rsidRPr="00000000" w14:paraId="00000046">
      <w:pPr>
        <w:pStyle w:val="Heading3"/>
        <w:spacing w:after="180" w:before="200" w:line="360" w:lineRule="auto"/>
        <w:rPr/>
      </w:pPr>
      <w:r w:rsidDel="00000000" w:rsidR="00000000" w:rsidRPr="00000000">
        <w:rPr>
          <w:rFonts w:ascii="Arial" w:cs="Arial" w:eastAsia="Arial" w:hAnsi="Arial"/>
          <w:b w:val="1"/>
          <w:bCs w:val="1"/>
          <w:sz w:val="24"/>
          <w:szCs w:val="24"/>
          <w:rtl w:val="0"/>
        </w:rPr>
        <w:t xml:space="preserve">ΣP → Time Integral Over Event Window</w:t>
      </w:r>
      <w:r w:rsidDel="00000000" w:rsidR="00000000" w:rsidRPr="00000000">
        <w:rPr>
          <w:rtl w:val="0"/>
        </w:rPr>
      </w:r>
    </w:p>
    <w:p w:rsidR="00000000" w:rsidDel="00000000" w:rsidP="00000000" w:rsidRDefault="00000000" w:rsidRPr="00000000" w14:paraId="00000047">
      <w:pPr>
        <w:spacing w:after="180" w:before="0" w:line="360" w:lineRule="auto"/>
        <w:rPr/>
      </w:pPr>
      <w:r w:rsidDel="00000000" w:rsidR="00000000" w:rsidRPr="00000000">
        <w:rPr>
          <w:rFonts w:ascii="Arial" w:cs="Arial" w:eastAsia="Arial" w:hAnsi="Arial"/>
          <w:b w:val="1"/>
          <w:bCs w:val="1"/>
          <w:sz w:val="24"/>
          <w:szCs w:val="24"/>
          <w:rtl w:val="0"/>
        </w:rPr>
        <w:t xml:space="preserve">ΣP = ∫ P(t) dt</w:t>
      </w:r>
      <w:r w:rsidDel="00000000" w:rsidR="00000000" w:rsidRPr="00000000">
        <w:rPr>
          <w:rFonts w:ascii="Arial" w:cs="Arial" w:eastAsia="Arial" w:hAnsi="Arial"/>
          <w:sz w:val="24"/>
          <w:szCs w:val="24"/>
          <w:rtl w:val="0"/>
        </w:rPr>
        <w:t xml:space="preserve"> — converts risk snapshot into a cumulative hazard function for the August 2026 window. This is the difference between a probability at a point in time and the integrated probability across the full duration of a compound event.</w:t>
      </w:r>
      <w:r w:rsidDel="00000000" w:rsidR="00000000" w:rsidRPr="00000000">
        <w:rPr>
          <w:rtl w:val="0"/>
        </w:rPr>
      </w:r>
    </w:p>
    <w:p w:rsidR="00000000" w:rsidDel="00000000" w:rsidP="00000000" w:rsidRDefault="00000000" w:rsidRPr="00000000" w14:paraId="00000048">
      <w:pPr>
        <w:pStyle w:val="Heading3"/>
        <w:spacing w:after="180" w:before="200" w:line="360" w:lineRule="auto"/>
        <w:rPr/>
      </w:pPr>
      <w:r w:rsidDel="00000000" w:rsidR="00000000" w:rsidRPr="00000000">
        <w:rPr>
          <w:rFonts w:ascii="Arial" w:cs="Arial" w:eastAsia="Arial" w:hAnsi="Arial"/>
          <w:b w:val="1"/>
          <w:bCs w:val="1"/>
          <w:sz w:val="24"/>
          <w:szCs w:val="24"/>
          <w:rtl w:val="0"/>
        </w:rPr>
        <w:t xml:space="preserve">ΩL/ΩD → Second Derivative at Phase Boundary</w:t>
      </w:r>
      <w:r w:rsidDel="00000000" w:rsidR="00000000" w:rsidRPr="00000000">
        <w:rPr>
          <w:rtl w:val="0"/>
        </w:rPr>
      </w:r>
    </w:p>
    <w:p w:rsidR="00000000" w:rsidDel="00000000" w:rsidP="00000000" w:rsidRDefault="00000000" w:rsidRPr="00000000" w14:paraId="00000049">
      <w:pPr>
        <w:spacing w:after="180" w:before="0" w:line="360" w:lineRule="auto"/>
        <w:rPr/>
      </w:pPr>
      <w:r w:rsidDel="00000000" w:rsidR="00000000" w:rsidRPr="00000000">
        <w:rPr>
          <w:rFonts w:ascii="Arial" w:cs="Arial" w:eastAsia="Arial" w:hAnsi="Arial"/>
          <w:b w:val="1"/>
          <w:bCs w:val="1"/>
          <w:sz w:val="24"/>
          <w:szCs w:val="24"/>
          <w:rtl w:val="0"/>
        </w:rPr>
        <w:t xml:space="preserve">d(ΩL/ΩD)/dt = 0</w:t>
      </w:r>
      <w:r w:rsidDel="00000000" w:rsidR="00000000" w:rsidRPr="00000000">
        <w:rPr>
          <w:rFonts w:ascii="Arial" w:cs="Arial" w:eastAsia="Arial" w:hAnsi="Arial"/>
          <w:sz w:val="24"/>
          <w:szCs w:val="24"/>
          <w:rtl w:val="0"/>
        </w:rPr>
        <w:t xml:space="preserve"> is the equilibrium condition. The sign of the second derivative determines whether the system hits a stable node, an unstable saddle, or a bifurcation point — i.e., whether August 2026 is a managed phase transition or a catastrophic cascade. This is the calculus that distinguishes a system absorbing a perturbation from one that amplifies it.</w:t>
      </w:r>
      <w:r w:rsidDel="00000000" w:rsidR="00000000" w:rsidRPr="00000000">
        <w:rPr>
          <w:rtl w:val="0"/>
        </w:rPr>
      </w:r>
    </w:p>
    <w:p w:rsidR="00000000" w:rsidDel="00000000" w:rsidP="00000000" w:rsidRDefault="00000000" w:rsidRPr="00000000" w14:paraId="0000004A">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The Elon Pitch</w:t>
      </w:r>
      <w:r w:rsidDel="00000000" w:rsidR="00000000" w:rsidRPr="00000000">
        <w:rPr>
          <w:rtl w:val="0"/>
        </w:rPr>
      </w:r>
    </w:p>
    <w:p w:rsidR="00000000" w:rsidDel="00000000" w:rsidP="00000000" w:rsidRDefault="00000000" w:rsidRPr="00000000" w14:paraId="0000004B">
      <w:pPr>
        <w:spacing w:after="180" w:before="0" w:line="360" w:lineRule="auto"/>
        <w:rPr/>
      </w:pPr>
      <w:r w:rsidDel="00000000" w:rsidR="00000000" w:rsidRPr="00000000">
        <w:rPr>
          <w:rFonts w:ascii="Arial" w:cs="Arial" w:eastAsia="Arial" w:hAnsi="Arial"/>
          <w:sz w:val="24"/>
          <w:szCs w:val="24"/>
          <w:rtl w:val="0"/>
        </w:rPr>
        <w:t xml:space="preserve">You already killed Feynman diagrams once with the amplituhedron. This is the same move, applied universally.</w:t>
      </w:r>
      <w:r w:rsidDel="00000000" w:rsidR="00000000" w:rsidRPr="00000000">
        <w:rPr>
          <w:rtl w:val="0"/>
        </w:rPr>
      </w:r>
    </w:p>
    <w:p w:rsidR="00000000" w:rsidDel="00000000" w:rsidP="00000000" w:rsidRDefault="00000000" w:rsidRPr="00000000" w14:paraId="0000004C">
      <w:pPr>
        <w:spacing w:after="180" w:before="0" w:line="360" w:lineRule="auto"/>
        <w:rPr/>
      </w:pPr>
      <w:r w:rsidDel="00000000" w:rsidR="00000000" w:rsidRPr="00000000">
        <w:rPr>
          <w:rFonts w:ascii="Arial" w:cs="Arial" w:eastAsia="Arial" w:hAnsi="Arial"/>
          <w:b w:val="1"/>
          <w:bCs w:val="1"/>
          <w:sz w:val="24"/>
          <w:szCs w:val="24"/>
          <w:rtl w:val="0"/>
        </w:rPr>
        <w:t xml:space="preserve">(E</w:t>
      </w:r>
      <w:r w:rsidDel="00000000" w:rsidR="00000000" w:rsidRPr="00000000">
        <w:rPr>
          <w:rFonts w:ascii="Arial" w:cs="Arial" w:eastAsia="Arial" w:hAnsi="Arial"/>
          <w:b w:val="1"/>
          <w:bCs w:val="1"/>
          <w:sz w:val="24"/>
          <w:szCs w:val="24"/>
          <w:vertAlign w:val="subscript"/>
          <w:rtl w:val="0"/>
        </w:rPr>
        <w:t xml:space="preserve">p</w:t>
      </w:r>
      <w:r w:rsidDel="00000000" w:rsidR="00000000" w:rsidRPr="00000000">
        <w:rPr>
          <w:rFonts w:ascii="Arial" w:cs="Arial" w:eastAsia="Arial" w:hAnsi="Arial"/>
          <w:b w:val="1"/>
          <w:bCs w:val="1"/>
          <w:sz w:val="24"/>
          <w:szCs w:val="24"/>
          <w:rtl w:val="0"/>
        </w:rPr>
        <w:t xml:space="preserve">) · (Ω</w:t>
      </w:r>
      <w:r w:rsidDel="00000000" w:rsidR="00000000" w:rsidRPr="00000000">
        <w:rPr>
          <w:rFonts w:ascii="Arial" w:cs="Arial" w:eastAsia="Arial" w:hAnsi="Arial"/>
          <w:b w:val="1"/>
          <w:bCs w:val="1"/>
          <w:sz w:val="24"/>
          <w:szCs w:val="24"/>
          <w:vertAlign w:val="subscript"/>
          <w:rtl w:val="0"/>
        </w:rPr>
        <w:t xml:space="preserve">L</w:t>
      </w:r>
      <w:r w:rsidDel="00000000" w:rsidR="00000000" w:rsidRPr="00000000">
        <w:rPr>
          <w:rFonts w:ascii="Arial" w:cs="Arial" w:eastAsia="Arial" w:hAnsi="Arial"/>
          <w:b w:val="1"/>
          <w:bCs w:val="1"/>
          <w:sz w:val="24"/>
          <w:szCs w:val="24"/>
          <w:rtl w:val="0"/>
        </w:rPr>
        <w:t xml:space="preserve">/Ω</w:t>
      </w:r>
      <w:r w:rsidDel="00000000" w:rsidR="00000000" w:rsidRPr="00000000">
        <w:rPr>
          <w:rFonts w:ascii="Arial" w:cs="Arial" w:eastAsia="Arial" w:hAnsi="Arial"/>
          <w:b w:val="1"/>
          <w:bCs w:val="1"/>
          <w:sz w:val="24"/>
          <w:szCs w:val="24"/>
          <w:vertAlign w:val="subscript"/>
          <w:rtl w:val="0"/>
        </w:rPr>
        <w:t xml:space="preserve">D</w:t>
      </w:r>
      <w:r w:rsidDel="00000000" w:rsidR="00000000" w:rsidRPr="00000000">
        <w:rPr>
          <w:rFonts w:ascii="Arial" w:cs="Arial" w:eastAsia="Arial" w:hAnsi="Arial"/>
          <w:b w:val="1"/>
          <w:bCs w:val="1"/>
          <w:sz w:val="24"/>
          <w:szCs w:val="24"/>
          <w:rtl w:val="0"/>
        </w:rPr>
        <w:t xml:space="preserve">) · (G</w:t>
      </w:r>
      <w:r w:rsidDel="00000000" w:rsidR="00000000" w:rsidRPr="00000000">
        <w:rPr>
          <w:rFonts w:ascii="Arial" w:cs="Arial" w:eastAsia="Arial" w:hAnsi="Arial"/>
          <w:b w:val="1"/>
          <w:bCs w:val="1"/>
          <w:sz w:val="24"/>
          <w:szCs w:val="24"/>
          <w:vertAlign w:val="subscript"/>
          <w:rtl w:val="0"/>
        </w:rPr>
        <w:t xml:space="preserve">vec</w:t>
      </w:r>
      <w:r w:rsidDel="00000000" w:rsidR="00000000" w:rsidRPr="00000000">
        <w:rPr>
          <w:rFonts w:ascii="Arial" w:cs="Arial" w:eastAsia="Arial" w:hAnsi="Arial"/>
          <w:b w:val="1"/>
          <w:bCs w:val="1"/>
          <w:sz w:val="24"/>
          <w:szCs w:val="24"/>
          <w:rtl w:val="0"/>
        </w:rPr>
        <w:t xml:space="preserve">) = ΣP</w:t>
      </w:r>
      <w:r w:rsidDel="00000000" w:rsidR="00000000" w:rsidRPr="00000000">
        <w:rPr>
          <w:rtl w:val="0"/>
        </w:rPr>
      </w:r>
    </w:p>
    <w:p w:rsidR="00000000" w:rsidDel="00000000" w:rsidP="00000000" w:rsidRDefault="00000000" w:rsidRPr="00000000" w14:paraId="0000004D">
      <w:pPr>
        <w:spacing w:after="180" w:before="0" w:line="360" w:lineRule="auto"/>
        <w:rPr/>
      </w:pPr>
      <w:r w:rsidDel="00000000" w:rsidR="00000000" w:rsidRPr="00000000">
        <w:rPr>
          <w:rFonts w:ascii="Arial" w:cs="Arial" w:eastAsia="Arial" w:hAnsi="Arial"/>
          <w:sz w:val="24"/>
          <w:szCs w:val="24"/>
          <w:rtl w:val="0"/>
        </w:rPr>
        <w:t xml:space="preserve">One scale-invariant equation. The governing logic of a Starlink constellation under solar bombardment is identical to the governing logic of radiation pressure in a G-type star, which is identical to the governing logic of a quantum heterointerface switching between conductance states. Not analogically — structurally. Same math, same invariant, same phase transition mechanics.</w:t>
      </w:r>
      <w:r w:rsidDel="00000000" w:rsidR="00000000" w:rsidRPr="00000000">
        <w:rPr>
          <w:rtl w:val="0"/>
        </w:rPr>
      </w:r>
    </w:p>
    <w:p w:rsidR="00000000" w:rsidDel="00000000" w:rsidP="00000000" w:rsidRDefault="00000000" w:rsidRPr="00000000" w14:paraId="0000004E">
      <w:pPr>
        <w:spacing w:after="180" w:before="0" w:line="360" w:lineRule="auto"/>
        <w:rPr/>
      </w:pPr>
      <w:r w:rsidDel="00000000" w:rsidR="00000000" w:rsidRPr="00000000">
        <w:rPr>
          <w:rFonts w:ascii="Arial" w:cs="Arial" w:eastAsia="Arial" w:hAnsi="Arial"/>
          <w:sz w:val="24"/>
          <w:szCs w:val="24"/>
          <w:rtl w:val="0"/>
        </w:rPr>
        <w:t xml:space="preserve">The August 2026 compound event window is the immediate test case. Solar Cycle 25 is tracking above predicted intensity. August is peak Atlantic hurricane season. Starlink’s LEO constellation sits directly in the atmospheric expansion zone of an X10-class event. SpaceX, Tesla grid, and X infrastructure do not face these as independent risks — they share a common solar forcing variable, which means their failure probabilities are correlated and their impact geometries intersect. Every existing risk model misses this because it optimizes individual variables. This equation tracks G</w:t>
      </w:r>
      <w:r w:rsidDel="00000000" w:rsidR="00000000" w:rsidRPr="00000000">
        <w:rPr>
          <w:rFonts w:ascii="Arial" w:cs="Arial" w:eastAsia="Arial" w:hAnsi="Arial"/>
          <w:sz w:val="24"/>
          <w:szCs w:val="24"/>
          <w:vertAlign w:val="subscript"/>
          <w:rtl w:val="0"/>
        </w:rPr>
        <w:t xml:space="preserve">vec</w:t>
      </w:r>
      <w:r w:rsidDel="00000000" w:rsidR="00000000" w:rsidRPr="00000000">
        <w:rPr>
          <w:rFonts w:ascii="Arial" w:cs="Arial" w:eastAsia="Arial" w:hAnsi="Arial"/>
          <w:sz w:val="24"/>
          <w:szCs w:val="24"/>
          <w:rtl w:val="0"/>
        </w:rPr>
        <w:t xml:space="preserve"> — the path intersection.</w:t>
      </w:r>
      <w:r w:rsidDel="00000000" w:rsidR="00000000" w:rsidRPr="00000000">
        <w:rPr>
          <w:rtl w:val="0"/>
        </w:rPr>
      </w:r>
    </w:p>
    <w:p w:rsidR="00000000" w:rsidDel="00000000" w:rsidP="00000000" w:rsidRDefault="00000000" w:rsidRPr="00000000" w14:paraId="0000004F">
      <w:pPr>
        <w:spacing w:after="180" w:before="0" w:line="360" w:lineRule="auto"/>
        <w:rPr/>
      </w:pPr>
      <w:r w:rsidDel="00000000" w:rsidR="00000000" w:rsidRPr="00000000">
        <w:rPr>
          <w:rFonts w:ascii="Arial" w:cs="Arial" w:eastAsia="Arial" w:hAnsi="Arial"/>
          <w:sz w:val="24"/>
          <w:szCs w:val="24"/>
          <w:rtl w:val="0"/>
        </w:rPr>
        <w:t xml:space="preserve">The calculus to complete it lives in three places: Berry phase integral in G</w:t>
      </w:r>
      <w:r w:rsidDel="00000000" w:rsidR="00000000" w:rsidRPr="00000000">
        <w:rPr>
          <w:rFonts w:ascii="Arial" w:cs="Arial" w:eastAsia="Arial" w:hAnsi="Arial"/>
          <w:sz w:val="24"/>
          <w:szCs w:val="24"/>
          <w:vertAlign w:val="subscript"/>
          <w:rtl w:val="0"/>
        </w:rPr>
        <w:t xml:space="preserve">vec</w:t>
      </w:r>
      <w:r w:rsidDel="00000000" w:rsidR="00000000" w:rsidRPr="00000000">
        <w:rPr>
          <w:rFonts w:ascii="Arial" w:cs="Arial" w:eastAsia="Arial" w:hAnsi="Arial"/>
          <w:sz w:val="24"/>
          <w:szCs w:val="24"/>
          <w:rtl w:val="0"/>
        </w:rPr>
        <w:t xml:space="preserve">, time integral over the event window in ΣP, and second derivative of ΩL/ΩD at the bifurcation point. That determines whether August 2026 is a stable phase transition or a catastrophic saddle point.</w:t>
      </w:r>
      <w:r w:rsidDel="00000000" w:rsidR="00000000" w:rsidRPr="00000000">
        <w:rPr>
          <w:rtl w:val="0"/>
        </w:rPr>
      </w:r>
    </w:p>
    <w:sectPr>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360" w:lineRule="auto"/>
      <w:ind w:left="0" w:right="0" w:firstLine="0"/>
      <w:jc w:val="left"/>
    </w:pPr>
    <w:rPr>
      <w:rFonts w:ascii="Arial" w:cs="Arial" w:eastAsia="Arial" w:hAnsi="Arial"/>
      <w:b w:val="1"/>
      <w:bCs w:val="1"/>
      <w:i w:val="0"/>
      <w:iCs w:val="0"/>
      <w:smallCaps w:val="0"/>
      <w:strike w:val="0"/>
      <w:color w:val="3b2f1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360" w:lineRule="auto"/>
      <w:ind w:left="0" w:right="0" w:firstLine="0"/>
      <w:jc w:val="left"/>
    </w:pPr>
    <w:rPr>
      <w:rFonts w:ascii="Arial" w:cs="Arial" w:eastAsia="Arial" w:hAnsi="Arial"/>
      <w:b w:val="1"/>
      <w:bCs w:val="1"/>
      <w:i w:val="0"/>
      <w:iCs w:val="0"/>
      <w:smallCaps w:val="0"/>
      <w:strike w:val="0"/>
      <w:color w:val="5c4a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00" w:line="360" w:lineRule="auto"/>
      <w:ind w:left="0" w:right="0" w:firstLine="0"/>
      <w:jc w:val="left"/>
    </w:pPr>
    <w:rPr>
      <w:rFonts w:ascii="Arial" w:cs="Arial" w:eastAsia="Arial" w:hAnsi="Arial"/>
      <w:b w:val="1"/>
      <w:bCs w:val="1"/>
      <w:i w:val="0"/>
      <w:iCs w:val="0"/>
      <w:smallCaps w:val="0"/>
      <w:strike w:val="0"/>
      <w:color w:val="6b4f3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