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Comparative Analysis of Machine Learning Algorithms</w:t>
      </w:r>
    </w:p>
    <w:p>
      <w:pPr>
        <w:spacing w:after="200"/>
        <w:jc w:val="center"/>
      </w:pPr>
      <w:r>
        <w:rPr>
          <w:b/>
          <w:bCs/>
          <w:sz w:val="32"/>
          <w:szCs w:val="32"/>
        </w:rPr>
        <w:t xml:space="preserve">for Software Defect Prediction</w:t>
      </w:r>
    </w:p>
    <w:p>
      <w:pPr>
        <w:spacing w:after="400"/>
        <w:jc w:val="center"/>
      </w:pPr>
      <w:r>
        <w:rPr>
          <w:i/>
          <w:iCs/>
          <w:color w:val="555555"/>
          <w:sz w:val="22"/>
          <w:szCs w:val="22"/>
        </w:rPr>
        <w:t xml:space="preserve">A study on the NASA PROMISE KC1 dataset</w:t>
      </w:r>
    </w:p>
    <w:p>
      <w:pPr>
        <w:pStyle w:val="Heading2"/>
        <w:spacing w:after="120" w:before="220"/>
      </w:pPr>
      <w:r>
        <w:t xml:space="preserve">Abstract</w:t>
      </w:r>
    </w:p>
    <w:p>
      <w:pPr>
        <w:spacing w:after="160"/>
        <w:jc w:val="both"/>
      </w:pPr>
      <w:r>
        <w:t xml:space="preserve">Software defect prediction uses static code metrics collected before testing to flag modules likely to contain bugs, allowing limited testing effort to be directed where it matters most. This report trains and compares four machine learning classifiers — Logistic Regression, Random Forest, XGBoost, and a Neural Network — on the NASA PROMISE KC1 dataset (2,109 C++ modules, 21 static metrics, 15.5% defective). XGBoost was the strongest model (F1 = 0.59, ROC-AUC = 0.85 after SMOTE balancing). Two follow-up experiments examine which metric families drive predictive power and whether class balancing improves detection of the minority (defective) class. A working prediction dashboard was built on top of the best model.</w:t>
      </w:r>
    </w:p>
    <w:p>
      <w:pPr>
        <w:pStyle w:val="Heading1"/>
        <w:spacing w:after="160" w:before="300"/>
      </w:pPr>
      <w:r>
        <w:t xml:space="preserve">1. Introduction</w:t>
      </w:r>
    </w:p>
    <w:p>
      <w:pPr>
        <w:spacing w:after="160"/>
        <w:jc w:val="both"/>
      </w:pPr>
      <w:r>
        <w:t xml:space="preserve">Manually inspecting every file in a large codebase before release is impractical. If historical defect patterns can be learned from static code metrics — size, complexity, structure — a model can rank modules by risk and let reviewers and testers focus there first. This is the defect prediction problem, and it has been an active software engineering research area since the NASA Metrics Data Program released the PROMISE datasets in the mid-2000s.</w:t>
      </w:r>
    </w:p>
    <w:p>
      <w:pPr>
        <w:spacing w:after="160"/>
        <w:jc w:val="both"/>
      </w:pPr>
      <w:r>
        <w:t xml:space="preserve">Research questions addressed in this report:</w:t>
      </w:r>
    </w:p>
    <w:p>
      <w:pPr>
        <w:pStyle w:val="ListParagraph"/>
        <w:numPr>
          <w:ilvl w:val="0"/>
          <w:numId w:val="1"/>
        </w:numPr>
        <w:spacing w:after="80"/>
      </w:pPr>
      <w:r>
        <w:t xml:space="preserve">RQ1 — Can software defects be predicted from static code metrics with usable accuracy?</w:t>
      </w:r>
    </w:p>
    <w:p>
      <w:pPr>
        <w:pStyle w:val="ListParagraph"/>
        <w:numPr>
          <w:ilvl w:val="0"/>
          <w:numId w:val="1"/>
        </w:numPr>
        <w:spacing w:after="80"/>
      </w:pPr>
      <w:r>
        <w:t xml:space="preserve">RQ2 — Which of the McCabe (complexity) and Halstead (size/effort) metric families matters most?</w:t>
      </w:r>
    </w:p>
    <w:p>
      <w:pPr>
        <w:pStyle w:val="ListParagraph"/>
        <w:numPr>
          <w:ilvl w:val="0"/>
          <w:numId w:val="1"/>
        </w:numPr>
        <w:spacing w:after="80"/>
      </w:pPr>
      <w:r>
        <w:t xml:space="preserve">RQ3 — Which learning algorithm performs best, and does class-imbalance correction (SMOTE) help?</w:t>
      </w:r>
    </w:p>
    <w:p>
      <w:pPr>
        <w:pStyle w:val="Heading1"/>
        <w:spacing w:after="160" w:before="300"/>
      </w:pPr>
      <w:r>
        <w:t xml:space="preserve">2. Dataset</w:t>
      </w:r>
    </w:p>
    <w:p>
      <w:pPr>
        <w:spacing w:after="160"/>
        <w:jc w:val="both"/>
      </w:pPr>
      <w:r>
        <w:t xml:space="preserve">The KC1 dataset from the NASA PROMISE repository describes 2,109 modules of a C++ storage-management system, each with 21 static metrics and a binary defect label. After cleaning (label normalization, numeric coercion, median imputation for the small number of missing values), 2,109 rows with 326 defective modules (15.5%) remained — a realistic, moderately imbalanced setting.</w:t>
      </w:r>
    </w:p>
    <w:p>
      <w:pPr>
        <w:spacing w:before="120"/>
        <w:jc w:val="center"/>
      </w:pPr>
      <w:r>
        <w:drawing>
          <wp:inline distT="0" distB="0" distL="0" distR="0">
            <wp:extent cx="2857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286000"/>
                    </a:xfrm>
                    <a:prstGeom prst="rect">
                      <a:avLst/>
                    </a:prstGeom>
                  </pic:spPr>
                </pic:pic>
              </a:graphicData>
            </a:graphic>
          </wp:inline>
        </w:drawing>
      </w:r>
    </w:p>
    <w:p>
      <w:pPr>
        <w:spacing w:after="240"/>
        <w:jc w:val="center"/>
      </w:pPr>
      <w:r>
        <w:rPr>
          <w:i/>
          <w:iCs/>
          <w:color w:val="555555"/>
          <w:sz w:val="18"/>
          <w:szCs w:val="18"/>
        </w:rPr>
        <w:t xml:space="preserve">Figure 1. Class balance in KC1: defective modules are a 15.5% minority.</w:t>
      </w:r>
    </w:p>
    <w:p>
      <w:pPr>
        <w:pStyle w:val="Heading2"/>
        <w:spacing w:after="120" w:before="220"/>
      </w:pPr>
      <w:r>
        <w:t xml:space="preserve">2.1 Metrics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shd w:fill="1D232D" w:val="clear"/>
          </w:tcPr>
          <w:p>
            <w:r>
              <w:rPr>
                <w:b/>
                <w:bCs/>
                <w:color w:val="FFFFFF"/>
                <w:sz w:val="20"/>
                <w:szCs w:val="20"/>
              </w:rPr>
              <w:t xml:space="preserve">Metric(s)</w:t>
            </w:r>
          </w:p>
        </w:tc>
        <w:tc>
          <w:tcPr>
            <w:tcW w:type="dxa" w:w="1500"/>
            <w:shd w:fill="1D232D" w:val="clear"/>
          </w:tcPr>
          <w:p>
            <w:r>
              <w:rPr>
                <w:b/>
                <w:bCs/>
                <w:color w:val="FFFFFF"/>
                <w:sz w:val="20"/>
                <w:szCs w:val="20"/>
              </w:rPr>
              <w:t xml:space="preserve">Family</w:t>
            </w:r>
          </w:p>
        </w:tc>
        <w:tc>
          <w:tcPr>
            <w:tcW w:type="dxa" w:w="1500"/>
            <w:shd w:fill="1D232D" w:val="clear"/>
          </w:tcPr>
          <w:p>
            <w:r>
              <w:rPr>
                <w:b/>
                <w:bCs/>
                <w:color w:val="FFFFFF"/>
                <w:sz w:val="20"/>
                <w:szCs w:val="20"/>
              </w:rPr>
              <w:t xml:space="preserve">Meaning</w:t>
            </w:r>
          </w:p>
        </w:tc>
      </w:tr>
      <w:tr>
        <w:tc>
          <w:tcPr>
            <w:tcW w:type="dxa" w:w="2400"/>
          </w:tcPr>
          <w:p>
            <w:r>
              <w:rPr>
                <w:b w:val="false"/>
                <w:bCs w:val="false"/>
                <w:color w:val="000000"/>
                <w:sz w:val="20"/>
                <w:szCs w:val="20"/>
              </w:rPr>
              <w:t xml:space="preserve">loc</w:t>
            </w:r>
          </w:p>
        </w:tc>
        <w:tc>
          <w:tcPr>
            <w:tcW w:type="dxa" w:w="1500"/>
          </w:tcPr>
          <w:p>
            <w:r>
              <w:rPr>
                <w:b w:val="false"/>
                <w:bCs w:val="false"/>
                <w:color w:val="000000"/>
                <w:sz w:val="20"/>
                <w:szCs w:val="20"/>
              </w:rPr>
              <w:t xml:space="preserve">McCabe</w:t>
            </w:r>
          </w:p>
        </w:tc>
        <w:tc>
          <w:tcPr>
            <w:tcW w:type="dxa" w:w="5600"/>
          </w:tcPr>
          <w:p>
            <w:r>
              <w:rPr>
                <w:b w:val="false"/>
                <w:bCs w:val="false"/>
                <w:color w:val="000000"/>
                <w:sz w:val="20"/>
                <w:szCs w:val="20"/>
              </w:rPr>
              <w:t xml:space="preserve">Lines of code in the module</w:t>
            </w:r>
          </w:p>
        </w:tc>
      </w:tr>
      <w:tr>
        <w:tc>
          <w:tcPr>
            <w:tcW w:type="dxa" w:w="2400"/>
          </w:tcPr>
          <w:p>
            <w:r>
              <w:rPr>
                <w:b w:val="false"/>
                <w:bCs w:val="false"/>
                <w:color w:val="000000"/>
                <w:sz w:val="20"/>
                <w:szCs w:val="20"/>
              </w:rPr>
              <w:t xml:space="preserve">v(g)</w:t>
            </w:r>
          </w:p>
        </w:tc>
        <w:tc>
          <w:tcPr>
            <w:tcW w:type="dxa" w:w="1500"/>
          </w:tcPr>
          <w:p>
            <w:r>
              <w:rPr>
                <w:b w:val="false"/>
                <w:bCs w:val="false"/>
                <w:color w:val="000000"/>
                <w:sz w:val="20"/>
                <w:szCs w:val="20"/>
              </w:rPr>
              <w:t xml:space="preserve">McCabe</w:t>
            </w:r>
          </w:p>
        </w:tc>
        <w:tc>
          <w:tcPr>
            <w:tcW w:type="dxa" w:w="5600"/>
          </w:tcPr>
          <w:p>
            <w:r>
              <w:rPr>
                <w:b w:val="false"/>
                <w:bCs w:val="false"/>
                <w:color w:val="000000"/>
                <w:sz w:val="20"/>
                <w:szCs w:val="20"/>
              </w:rPr>
              <w:t xml:space="preserve">Cyclomatic complexity — number of linearly independent paths</w:t>
            </w:r>
          </w:p>
        </w:tc>
      </w:tr>
      <w:tr>
        <w:tc>
          <w:tcPr>
            <w:tcW w:type="dxa" w:w="2400"/>
          </w:tcPr>
          <w:p>
            <w:r>
              <w:rPr>
                <w:b w:val="false"/>
                <w:bCs w:val="false"/>
                <w:color w:val="000000"/>
                <w:sz w:val="20"/>
                <w:szCs w:val="20"/>
              </w:rPr>
              <w:t xml:space="preserve">ev(g)</w:t>
            </w:r>
          </w:p>
        </w:tc>
        <w:tc>
          <w:tcPr>
            <w:tcW w:type="dxa" w:w="1500"/>
          </w:tcPr>
          <w:p>
            <w:r>
              <w:rPr>
                <w:b w:val="false"/>
                <w:bCs w:val="false"/>
                <w:color w:val="000000"/>
                <w:sz w:val="20"/>
                <w:szCs w:val="20"/>
              </w:rPr>
              <w:t xml:space="preserve">McCabe</w:t>
            </w:r>
          </w:p>
        </w:tc>
        <w:tc>
          <w:tcPr>
            <w:tcW w:type="dxa" w:w="5600"/>
          </w:tcPr>
          <w:p>
            <w:r>
              <w:rPr>
                <w:b w:val="false"/>
                <w:bCs w:val="false"/>
                <w:color w:val="000000"/>
                <w:sz w:val="20"/>
                <w:szCs w:val="20"/>
              </w:rPr>
              <w:t xml:space="preserve">Essential complexity — structuredness of control flow</w:t>
            </w:r>
          </w:p>
        </w:tc>
      </w:tr>
      <w:tr>
        <w:tc>
          <w:tcPr>
            <w:tcW w:type="dxa" w:w="2400"/>
          </w:tcPr>
          <w:p>
            <w:r>
              <w:rPr>
                <w:b w:val="false"/>
                <w:bCs w:val="false"/>
                <w:color w:val="000000"/>
                <w:sz w:val="20"/>
                <w:szCs w:val="20"/>
              </w:rPr>
              <w:t xml:space="preserve">iv(g)</w:t>
            </w:r>
          </w:p>
        </w:tc>
        <w:tc>
          <w:tcPr>
            <w:tcW w:type="dxa" w:w="1500"/>
          </w:tcPr>
          <w:p>
            <w:r>
              <w:rPr>
                <w:b w:val="false"/>
                <w:bCs w:val="false"/>
                <w:color w:val="000000"/>
                <w:sz w:val="20"/>
                <w:szCs w:val="20"/>
              </w:rPr>
              <w:t xml:space="preserve">McCabe</w:t>
            </w:r>
          </w:p>
        </w:tc>
        <w:tc>
          <w:tcPr>
            <w:tcW w:type="dxa" w:w="5600"/>
          </w:tcPr>
          <w:p>
            <w:r>
              <w:rPr>
                <w:b w:val="false"/>
                <w:bCs w:val="false"/>
                <w:color w:val="000000"/>
                <w:sz w:val="20"/>
                <w:szCs w:val="20"/>
              </w:rPr>
              <w:t xml:space="preserve">Design complexity — complexity of the module's calling structure</w:t>
            </w:r>
          </w:p>
        </w:tc>
      </w:tr>
      <w:tr>
        <w:tc>
          <w:tcPr>
            <w:tcW w:type="dxa" w:w="2400"/>
          </w:tcPr>
          <w:p>
            <w:r>
              <w:rPr>
                <w:b w:val="false"/>
                <w:bCs w:val="false"/>
                <w:color w:val="000000"/>
                <w:sz w:val="20"/>
                <w:szCs w:val="20"/>
              </w:rPr>
              <w:t xml:space="preserve">n, v, l, d, i, e, b, t</w:t>
            </w:r>
          </w:p>
        </w:tc>
        <w:tc>
          <w:tcPr>
            <w:tcW w:type="dxa" w:w="1500"/>
          </w:tcPr>
          <w:p>
            <w:r>
              <w:rPr>
                <w:b w:val="false"/>
                <w:bCs w:val="false"/>
                <w:color w:val="000000"/>
                <w:sz w:val="20"/>
                <w:szCs w:val="20"/>
              </w:rPr>
              <w:t xml:space="preserve">Halstead</w:t>
            </w:r>
          </w:p>
        </w:tc>
        <w:tc>
          <w:tcPr>
            <w:tcW w:type="dxa" w:w="5600"/>
          </w:tcPr>
          <w:p>
            <w:r>
              <w:rPr>
                <w:b w:val="false"/>
                <w:bCs w:val="false"/>
                <w:color w:val="000000"/>
                <w:sz w:val="20"/>
                <w:szCs w:val="20"/>
              </w:rPr>
              <w:t xml:space="preserve">Program length, volume, difficulty, effort, and related size/complexity measures</w:t>
            </w:r>
          </w:p>
        </w:tc>
      </w:tr>
      <w:tr>
        <w:tc>
          <w:tcPr>
            <w:tcW w:type="dxa" w:w="2400"/>
          </w:tcPr>
          <w:p>
            <w:r>
              <w:rPr>
                <w:b w:val="false"/>
                <w:bCs w:val="false"/>
                <w:color w:val="000000"/>
                <w:sz w:val="20"/>
                <w:szCs w:val="20"/>
              </w:rPr>
              <w:t xml:space="preserve">uniq_Op / uniq_Opnd</w:t>
            </w:r>
          </w:p>
        </w:tc>
        <w:tc>
          <w:tcPr>
            <w:tcW w:type="dxa" w:w="1500"/>
          </w:tcPr>
          <w:p>
            <w:r>
              <w:rPr>
                <w:b w:val="false"/>
                <w:bCs w:val="false"/>
                <w:color w:val="000000"/>
                <w:sz w:val="20"/>
                <w:szCs w:val="20"/>
              </w:rPr>
              <w:t xml:space="preserve">Halstead</w:t>
            </w:r>
          </w:p>
        </w:tc>
        <w:tc>
          <w:tcPr>
            <w:tcW w:type="dxa" w:w="5600"/>
          </w:tcPr>
          <w:p>
            <w:r>
              <w:rPr>
                <w:b w:val="false"/>
                <w:bCs w:val="false"/>
                <w:color w:val="000000"/>
                <w:sz w:val="20"/>
                <w:szCs w:val="20"/>
              </w:rPr>
              <w:t xml:space="preserve">Number of distinct operators / operands</w:t>
            </w:r>
          </w:p>
        </w:tc>
      </w:tr>
      <w:tr>
        <w:tc>
          <w:tcPr>
            <w:tcW w:type="dxa" w:w="2400"/>
          </w:tcPr>
          <w:p>
            <w:r>
              <w:rPr>
                <w:b w:val="false"/>
                <w:bCs w:val="false"/>
                <w:color w:val="000000"/>
                <w:sz w:val="20"/>
                <w:szCs w:val="20"/>
              </w:rPr>
              <w:t xml:space="preserve">total_Op / total_Opnd</w:t>
            </w:r>
          </w:p>
        </w:tc>
        <w:tc>
          <w:tcPr>
            <w:tcW w:type="dxa" w:w="1500"/>
          </w:tcPr>
          <w:p>
            <w:r>
              <w:rPr>
                <w:b w:val="false"/>
                <w:bCs w:val="false"/>
                <w:color w:val="000000"/>
                <w:sz w:val="20"/>
                <w:szCs w:val="20"/>
              </w:rPr>
              <w:t xml:space="preserve">Halstead</w:t>
            </w:r>
          </w:p>
        </w:tc>
        <w:tc>
          <w:tcPr>
            <w:tcW w:type="dxa" w:w="5600"/>
          </w:tcPr>
          <w:p>
            <w:r>
              <w:rPr>
                <w:b w:val="false"/>
                <w:bCs w:val="false"/>
                <w:color w:val="000000"/>
                <w:sz w:val="20"/>
                <w:szCs w:val="20"/>
              </w:rPr>
              <w:t xml:space="preserve">Total operator / operand occurrences</w:t>
            </w:r>
          </w:p>
        </w:tc>
      </w:tr>
      <w:tr>
        <w:tc>
          <w:tcPr>
            <w:tcW w:type="dxa" w:w="2400"/>
          </w:tcPr>
          <w:p>
            <w:r>
              <w:rPr>
                <w:b w:val="false"/>
                <w:bCs w:val="false"/>
                <w:color w:val="000000"/>
                <w:sz w:val="20"/>
                <w:szCs w:val="20"/>
              </w:rPr>
              <w:t xml:space="preserve">branchCount</w:t>
            </w:r>
          </w:p>
        </w:tc>
        <w:tc>
          <w:tcPr>
            <w:tcW w:type="dxa" w:w="1500"/>
          </w:tcPr>
          <w:p>
            <w:r>
              <w:rPr>
                <w:b w:val="false"/>
                <w:bCs w:val="false"/>
                <w:color w:val="000000"/>
                <w:sz w:val="20"/>
                <w:szCs w:val="20"/>
              </w:rPr>
              <w:t xml:space="preserve">Structural</w:t>
            </w:r>
          </w:p>
        </w:tc>
        <w:tc>
          <w:tcPr>
            <w:tcW w:type="dxa" w:w="5600"/>
          </w:tcPr>
          <w:p>
            <w:r>
              <w:rPr>
                <w:b w:val="false"/>
                <w:bCs w:val="false"/>
                <w:color w:val="000000"/>
                <w:sz w:val="20"/>
                <w:szCs w:val="20"/>
              </w:rPr>
              <w:t xml:space="preserve">Number of branches in the control-flow graph</w:t>
            </w:r>
          </w:p>
        </w:tc>
      </w:tr>
      <w:tr>
        <w:tc>
          <w:tcPr>
            <w:tcW w:type="dxa" w:w="2400"/>
          </w:tcPr>
          <w:p>
            <w:r>
              <w:rPr>
                <w:b w:val="false"/>
                <w:bCs w:val="false"/>
                <w:color w:val="000000"/>
                <w:sz w:val="20"/>
                <w:szCs w:val="20"/>
              </w:rPr>
              <w:t xml:space="preserve">lOCode / lOComment / lOBlank</w:t>
            </w:r>
          </w:p>
        </w:tc>
        <w:tc>
          <w:tcPr>
            <w:tcW w:type="dxa" w:w="1500"/>
          </w:tcPr>
          <w:p>
            <w:r>
              <w:rPr>
                <w:b w:val="false"/>
                <w:bCs w:val="false"/>
                <w:color w:val="000000"/>
                <w:sz w:val="20"/>
                <w:szCs w:val="20"/>
              </w:rPr>
              <w:t xml:space="preserve">Structural</w:t>
            </w:r>
          </w:p>
        </w:tc>
        <w:tc>
          <w:tcPr>
            <w:tcW w:type="dxa" w:w="5600"/>
          </w:tcPr>
          <w:p>
            <w:r>
              <w:rPr>
                <w:b w:val="false"/>
                <w:bCs w:val="false"/>
                <w:color w:val="000000"/>
                <w:sz w:val="20"/>
                <w:szCs w:val="20"/>
              </w:rPr>
              <w:t xml:space="preserve">Lines of code / comments / blank lines</w:t>
            </w:r>
          </w:p>
        </w:tc>
      </w:tr>
    </w:tbl>
    <w:p>
      <w:r>
        <w:br w:type="page"/>
      </w:r>
    </w:p>
    <w:p>
      <w:pPr>
        <w:pStyle w:val="Heading1"/>
        <w:spacing w:after="160" w:before="300"/>
      </w:pPr>
      <w:r>
        <w:t xml:space="preserve">3. Exploratory Data Analysis</w:t>
      </w:r>
    </w:p>
    <w:p>
      <w:pPr>
        <w:spacing w:after="160"/>
        <w:jc w:val="both"/>
      </w:pPr>
      <w:r>
        <w:t xml:space="preserve">Pairwise correlation with the defect label shows that Halstead length (n), unique operands, unique operators, and lines of code correlate most strongly with defect proneness (r ≈ 0.35–0.39) — larger, more varied modules are more defect-prone, consistent with prior PROMISE studies.</w:t>
      </w:r>
    </w:p>
    <w:p>
      <w:pPr>
        <w:spacing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555555"/>
          <w:sz w:val="18"/>
          <w:szCs w:val="18"/>
        </w:rPr>
        <w:t xml:space="preserve">Figure 2. Correlation heatmap of the top 10 features most associated with defects.</w:t>
      </w:r>
    </w:p>
    <w:p>
      <w:pPr>
        <w:spacing w:before="120"/>
        <w:jc w:val="center"/>
      </w:pPr>
      <w:r>
        <w:drawing>
          <wp:inline distT="0" distB="0" distL="0" distR="0">
            <wp:extent cx="2857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286000"/>
                    </a:xfrm>
                    <a:prstGeom prst="rect">
                      <a:avLst/>
                    </a:prstGeom>
                  </pic:spPr>
                </pic:pic>
              </a:graphicData>
            </a:graphic>
          </wp:inline>
        </w:drawing>
      </w:r>
    </w:p>
    <w:p>
      <w:pPr>
        <w:spacing w:after="240"/>
        <w:jc w:val="center"/>
      </w:pPr>
      <w:r>
        <w:rPr>
          <w:i/>
          <w:iCs/>
          <w:color w:val="555555"/>
          <w:sz w:val="18"/>
          <w:szCs w:val="18"/>
        </w:rPr>
        <w:t xml:space="preserve">Figure 3. Defective modules skew toward higher lines of code (95th percentile trimmed for readability).</w:t>
      </w:r>
    </w:p>
    <w:p>
      <w:pPr>
        <w:pStyle w:val="Heading1"/>
        <w:spacing w:after="160" w:before="300"/>
      </w:pPr>
      <w:r>
        <w:t xml:space="preserve">4. Methodology</w:t>
      </w:r>
    </w:p>
    <w:p>
      <w:pPr>
        <w:spacing w:after="160"/>
        <w:jc w:val="both"/>
      </w:pPr>
      <w:r>
        <w:t xml:space="preserve">Data was split 75/25 (stratified) into training and held-out test sets. Features were standardized (zero mean, unit variance) before fitting. Four classifiers were trained:</w:t>
      </w:r>
    </w:p>
    <w:p>
      <w:pPr>
        <w:pStyle w:val="ListParagraph"/>
        <w:numPr>
          <w:ilvl w:val="0"/>
          <w:numId w:val="1"/>
        </w:numPr>
        <w:spacing w:after="80"/>
      </w:pPr>
      <w:r>
        <w:t xml:space="preserve">Logistic Regression — linear baseline, class-weighted for imbalance</w:t>
      </w:r>
    </w:p>
    <w:p>
      <w:pPr>
        <w:pStyle w:val="ListParagraph"/>
        <w:numPr>
          <w:ilvl w:val="0"/>
          <w:numId w:val="1"/>
        </w:numPr>
        <w:spacing w:after="80"/>
      </w:pPr>
      <w:r>
        <w:t xml:space="preserve">Random Forest — 300 trees, class-weighted</w:t>
      </w:r>
    </w:p>
    <w:p>
      <w:pPr>
        <w:pStyle w:val="ListParagraph"/>
        <w:numPr>
          <w:ilvl w:val="0"/>
          <w:numId w:val="1"/>
        </w:numPr>
        <w:spacing w:after="80"/>
      </w:pPr>
      <w:r>
        <w:t xml:space="preserve">XGBoost — 300 trees, max depth 5, learning rate 0.08</w:t>
      </w:r>
    </w:p>
    <w:p>
      <w:pPr>
        <w:pStyle w:val="ListParagraph"/>
        <w:numPr>
          <w:ilvl w:val="0"/>
          <w:numId w:val="1"/>
        </w:numPr>
        <w:spacing w:after="80"/>
      </w:pPr>
      <w:r>
        <w:t xml:space="preserve">Neural Network (MLP) — two hidden layers (64, 32 units)</w:t>
      </w:r>
    </w:p>
    <w:p>
      <w:pPr>
        <w:spacing w:after="160"/>
        <w:jc w:val="both"/>
      </w:pPr>
      <w:r>
        <w:t xml:space="preserve">Each model was evaluated with 5-fold stratified cross-validation on the training set and on the held-out test set, using accuracy, precision, recall, F1-score, and ROC-AUC — accuracy alone is misleading on an imbalanced dataset, since a model that always predicts “clean” would already score ~85%.</w:t>
      </w:r>
    </w:p>
    <w:p>
      <w:pPr>
        <w:pStyle w:val="Heading1"/>
        <w:spacing w:after="160" w:before="300"/>
      </w:pPr>
      <w:r>
        <w:t xml:space="preserve">5. Results</w:t>
      </w:r>
    </w:p>
    <w:p>
      <w:pPr>
        <w:pStyle w:val="Heading2"/>
        <w:spacing w:after="120" w:before="220"/>
      </w:pPr>
      <w:r>
        <w:t xml:space="preserve">5.1 Experiment 1 — Model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500"/>
            <w:shd w:fill="1D232D" w:val="clear"/>
          </w:tcPr>
          <w:p>
            <w:r>
              <w:rPr>
                <w:b/>
                <w:bCs/>
                <w:color w:val="FFFFFF"/>
                <w:sz w:val="20"/>
                <w:szCs w:val="20"/>
              </w:rPr>
              <w:t xml:space="preserve">Model</w:t>
            </w:r>
          </w:p>
        </w:tc>
        <w:tc>
          <w:tcPr>
            <w:tcW w:type="dxa" w:w="1500"/>
            <w:shd w:fill="1D232D" w:val="clear"/>
          </w:tcPr>
          <w:p>
            <w:r>
              <w:rPr>
                <w:b/>
                <w:bCs/>
                <w:color w:val="FFFFFF"/>
                <w:sz w:val="20"/>
                <w:szCs w:val="20"/>
              </w:rPr>
              <w:t xml:space="preserve">CV Acc (5-fold)</w:t>
            </w:r>
          </w:p>
        </w:tc>
        <w:tc>
          <w:tcPr>
            <w:tcW w:type="dxa" w:w="1500"/>
            <w:shd w:fill="1D232D" w:val="clear"/>
          </w:tcPr>
          <w:p>
            <w:r>
              <w:rPr>
                <w:b/>
                <w:bCs/>
                <w:color w:val="FFFFFF"/>
                <w:sz w:val="20"/>
                <w:szCs w:val="20"/>
              </w:rPr>
              <w:t xml:space="preserve">Test Acc</w:t>
            </w:r>
          </w:p>
        </w:tc>
        <w:tc>
          <w:tcPr>
            <w:tcW w:type="dxa" w:w="1500"/>
            <w:shd w:fill="1D232D" w:val="clear"/>
          </w:tcPr>
          <w:p>
            <w:r>
              <w:rPr>
                <w:b/>
                <w:bCs/>
                <w:color w:val="FFFFFF"/>
                <w:sz w:val="20"/>
                <w:szCs w:val="20"/>
              </w:rPr>
              <w:t xml:space="preserve">Precision</w:t>
            </w:r>
          </w:p>
        </w:tc>
        <w:tc>
          <w:tcPr>
            <w:tcW w:type="dxa" w:w="1500"/>
            <w:shd w:fill="1D232D" w:val="clear"/>
          </w:tcPr>
          <w:p>
            <w:r>
              <w:rPr>
                <w:b/>
                <w:bCs/>
                <w:color w:val="FFFFFF"/>
                <w:sz w:val="20"/>
                <w:szCs w:val="20"/>
              </w:rPr>
              <w:t xml:space="preserve">Recall</w:t>
            </w:r>
          </w:p>
        </w:tc>
        <w:tc>
          <w:tcPr>
            <w:tcW w:type="dxa" w:w="1500"/>
            <w:shd w:fill="1D232D" w:val="clear"/>
          </w:tcPr>
          <w:p>
            <w:r>
              <w:rPr>
                <w:b/>
                <w:bCs/>
                <w:color w:val="FFFFFF"/>
                <w:sz w:val="20"/>
                <w:szCs w:val="20"/>
              </w:rPr>
              <w:t xml:space="preserve">F1</w:t>
            </w:r>
          </w:p>
        </w:tc>
        <w:tc>
          <w:tcPr>
            <w:tcW w:type="dxa" w:w="1500"/>
            <w:shd w:fill="1D232D" w:val="clear"/>
          </w:tcPr>
          <w:p>
            <w:r>
              <w:rPr>
                <w:b/>
                <w:bCs/>
                <w:color w:val="FFFFFF"/>
                <w:sz w:val="20"/>
                <w:szCs w:val="20"/>
              </w:rPr>
              <w:t xml:space="preserve">ROC-AUC</w:t>
            </w:r>
          </w:p>
        </w:tc>
      </w:tr>
      <w:tr>
        <w:tc>
          <w:tcPr>
            <w:tcW w:type="dxa" w:w="1900"/>
          </w:tcPr>
          <w:p>
            <w:r>
              <w:rPr>
                <w:b w:val="false"/>
                <w:bCs w:val="false"/>
                <w:color w:val="000000"/>
                <w:sz w:val="20"/>
                <w:szCs w:val="20"/>
              </w:rPr>
              <w:t xml:space="preserve">Logistic Regression</w:t>
            </w:r>
          </w:p>
        </w:tc>
        <w:tc>
          <w:tcPr>
            <w:tcW w:type="dxa" w:w="2000"/>
          </w:tcPr>
          <w:p>
            <w:r>
              <w:rPr>
                <w:b w:val="false"/>
                <w:bCs w:val="false"/>
                <w:color w:val="000000"/>
                <w:sz w:val="20"/>
                <w:szCs w:val="20"/>
              </w:rPr>
              <w:t xml:space="preserve">0.7446</w:t>
            </w:r>
          </w:p>
        </w:tc>
        <w:tc>
          <w:tcPr>
            <w:tcW w:type="dxa" w:w="2000"/>
          </w:tcPr>
          <w:p>
            <w:r>
              <w:rPr>
                <w:b w:val="false"/>
                <w:bCs w:val="false"/>
                <w:color w:val="000000"/>
                <w:sz w:val="20"/>
                <w:szCs w:val="20"/>
              </w:rPr>
              <w:t xml:space="preserve">0.7367</w:t>
            </w:r>
          </w:p>
        </w:tc>
        <w:tc>
          <w:tcPr>
            <w:tcW w:type="dxa" w:w="2000"/>
          </w:tcPr>
          <w:p>
            <w:r>
              <w:rPr>
                <w:b w:val="false"/>
                <w:bCs w:val="false"/>
                <w:color w:val="000000"/>
                <w:sz w:val="20"/>
                <w:szCs w:val="20"/>
              </w:rPr>
              <w:t xml:space="preserve">0.3273</w:t>
            </w:r>
          </w:p>
        </w:tc>
        <w:tc>
          <w:tcPr>
            <w:tcW w:type="dxa" w:w="2000"/>
          </w:tcPr>
          <w:p>
            <w:r>
              <w:rPr>
                <w:b w:val="false"/>
                <w:bCs w:val="false"/>
                <w:color w:val="000000"/>
                <w:sz w:val="20"/>
                <w:szCs w:val="20"/>
              </w:rPr>
              <w:t xml:space="preserve">0.6585</w:t>
            </w:r>
          </w:p>
        </w:tc>
        <w:tc>
          <w:tcPr>
            <w:tcW w:type="dxa" w:w="2000"/>
          </w:tcPr>
          <w:p>
            <w:r>
              <w:rPr>
                <w:b w:val="false"/>
                <w:bCs w:val="false"/>
                <w:color w:val="000000"/>
                <w:sz w:val="20"/>
                <w:szCs w:val="20"/>
              </w:rPr>
              <w:t xml:space="preserve">0.4372</w:t>
            </w:r>
          </w:p>
        </w:tc>
        <w:tc>
          <w:tcPr>
            <w:tcW w:type="dxa" w:w="2000"/>
          </w:tcPr>
          <w:p>
            <w:r>
              <w:rPr>
                <w:b w:val="false"/>
                <w:bCs w:val="false"/>
                <w:color w:val="000000"/>
                <w:sz w:val="20"/>
                <w:szCs w:val="20"/>
              </w:rPr>
              <w:t xml:space="preserve">0.8024</w:t>
            </w:r>
          </w:p>
        </w:tc>
      </w:tr>
      <w:tr>
        <w:tc>
          <w:tcPr>
            <w:tcW w:type="dxa" w:w="1900"/>
          </w:tcPr>
          <w:p>
            <w:r>
              <w:rPr>
                <w:b w:val="false"/>
                <w:bCs w:val="false"/>
                <w:color w:val="000000"/>
                <w:sz w:val="20"/>
                <w:szCs w:val="20"/>
              </w:rPr>
              <w:t xml:space="preserve">Random Forest</w:t>
            </w:r>
          </w:p>
        </w:tc>
        <w:tc>
          <w:tcPr>
            <w:tcW w:type="dxa" w:w="2000"/>
          </w:tcPr>
          <w:p>
            <w:r>
              <w:rPr>
                <w:b w:val="false"/>
                <w:bCs w:val="false"/>
                <w:color w:val="000000"/>
                <w:sz w:val="20"/>
                <w:szCs w:val="20"/>
              </w:rPr>
              <w:t xml:space="preserve">0.9084</w:t>
            </w:r>
          </w:p>
        </w:tc>
        <w:tc>
          <w:tcPr>
            <w:tcW w:type="dxa" w:w="2000"/>
          </w:tcPr>
          <w:p>
            <w:r>
              <w:rPr>
                <w:b w:val="false"/>
                <w:bCs w:val="false"/>
                <w:color w:val="000000"/>
                <w:sz w:val="20"/>
                <w:szCs w:val="20"/>
              </w:rPr>
              <w:t xml:space="preserve">0.8314</w:t>
            </w:r>
          </w:p>
        </w:tc>
        <w:tc>
          <w:tcPr>
            <w:tcW w:type="dxa" w:w="2000"/>
          </w:tcPr>
          <w:p>
            <w:r>
              <w:rPr>
                <w:b w:val="false"/>
                <w:bCs w:val="false"/>
                <w:color w:val="000000"/>
                <w:sz w:val="20"/>
                <w:szCs w:val="20"/>
              </w:rPr>
              <w:t xml:space="preserve">0.4653</w:t>
            </w:r>
          </w:p>
        </w:tc>
        <w:tc>
          <w:tcPr>
            <w:tcW w:type="dxa" w:w="2000"/>
          </w:tcPr>
          <w:p>
            <w:r>
              <w:rPr>
                <w:b w:val="false"/>
                <w:bCs w:val="false"/>
                <w:color w:val="000000"/>
                <w:sz w:val="20"/>
                <w:szCs w:val="20"/>
              </w:rPr>
              <w:t xml:space="preserve">0.5732</w:t>
            </w:r>
          </w:p>
        </w:tc>
        <w:tc>
          <w:tcPr>
            <w:tcW w:type="dxa" w:w="2000"/>
          </w:tcPr>
          <w:p>
            <w:r>
              <w:rPr>
                <w:b w:val="false"/>
                <w:bCs w:val="false"/>
                <w:color w:val="000000"/>
                <w:sz w:val="20"/>
                <w:szCs w:val="20"/>
              </w:rPr>
              <w:t xml:space="preserve">0.5137</w:t>
            </w:r>
          </w:p>
        </w:tc>
        <w:tc>
          <w:tcPr>
            <w:tcW w:type="dxa" w:w="2000"/>
          </w:tcPr>
          <w:p>
            <w:r>
              <w:rPr>
                <w:b w:val="false"/>
                <w:bCs w:val="false"/>
                <w:color w:val="000000"/>
                <w:sz w:val="20"/>
                <w:szCs w:val="20"/>
              </w:rPr>
              <w:t xml:space="preserve">0.8328</w:t>
            </w:r>
          </w:p>
        </w:tc>
      </w:tr>
      <w:tr>
        <w:tc>
          <w:tcPr>
            <w:tcW w:type="dxa" w:w="1900"/>
          </w:tcPr>
          <w:p>
            <w:r>
              <w:rPr>
                <w:b w:val="false"/>
                <w:bCs w:val="false"/>
                <w:color w:val="000000"/>
                <w:sz w:val="20"/>
                <w:szCs w:val="20"/>
              </w:rPr>
              <w:t xml:space="preserve">XGBoost</w:t>
            </w:r>
          </w:p>
        </w:tc>
        <w:tc>
          <w:tcPr>
            <w:tcW w:type="dxa" w:w="2000"/>
          </w:tcPr>
          <w:p>
            <w:r>
              <w:rPr>
                <w:b w:val="false"/>
                <w:bCs w:val="false"/>
                <w:color w:val="000000"/>
                <w:sz w:val="20"/>
                <w:szCs w:val="20"/>
              </w:rPr>
              <w:t xml:space="preserve">0.9091</w:t>
            </w:r>
          </w:p>
        </w:tc>
        <w:tc>
          <w:tcPr>
            <w:tcW w:type="dxa" w:w="2000"/>
          </w:tcPr>
          <w:p>
            <w:r>
              <w:rPr>
                <w:b w:val="false"/>
                <w:bCs w:val="false"/>
                <w:color w:val="000000"/>
                <w:sz w:val="20"/>
                <w:szCs w:val="20"/>
              </w:rPr>
              <w:t xml:space="preserve">0.8788</w:t>
            </w:r>
          </w:p>
        </w:tc>
        <w:tc>
          <w:tcPr>
            <w:tcW w:type="dxa" w:w="2000"/>
          </w:tcPr>
          <w:p>
            <w:r>
              <w:rPr>
                <w:b w:val="false"/>
                <w:bCs w:val="false"/>
                <w:color w:val="000000"/>
                <w:sz w:val="20"/>
                <w:szCs w:val="20"/>
              </w:rPr>
              <w:t xml:space="preserve">0.6216</w:t>
            </w:r>
          </w:p>
        </w:tc>
        <w:tc>
          <w:tcPr>
            <w:tcW w:type="dxa" w:w="2000"/>
          </w:tcPr>
          <w:p>
            <w:r>
              <w:rPr>
                <w:b w:val="false"/>
                <w:bCs w:val="false"/>
                <w:color w:val="000000"/>
                <w:sz w:val="20"/>
                <w:szCs w:val="20"/>
              </w:rPr>
              <w:t xml:space="preserve">0.561</w:t>
            </w:r>
          </w:p>
        </w:tc>
        <w:tc>
          <w:tcPr>
            <w:tcW w:type="dxa" w:w="2000"/>
          </w:tcPr>
          <w:p>
            <w:r>
              <w:rPr>
                <w:b w:val="false"/>
                <w:bCs w:val="false"/>
                <w:color w:val="000000"/>
                <w:sz w:val="20"/>
                <w:szCs w:val="20"/>
              </w:rPr>
              <w:t xml:space="preserve">0.5897</w:t>
            </w:r>
          </w:p>
        </w:tc>
        <w:tc>
          <w:tcPr>
            <w:tcW w:type="dxa" w:w="2000"/>
          </w:tcPr>
          <w:p>
            <w:r>
              <w:rPr>
                <w:b w:val="false"/>
                <w:bCs w:val="false"/>
                <w:color w:val="000000"/>
                <w:sz w:val="20"/>
                <w:szCs w:val="20"/>
              </w:rPr>
              <w:t xml:space="preserve">0.8453</w:t>
            </w:r>
          </w:p>
        </w:tc>
      </w:tr>
      <w:tr>
        <w:tc>
          <w:tcPr>
            <w:tcW w:type="dxa" w:w="1900"/>
          </w:tcPr>
          <w:p>
            <w:r>
              <w:rPr>
                <w:b w:val="false"/>
                <w:bCs w:val="false"/>
                <w:color w:val="000000"/>
                <w:sz w:val="20"/>
                <w:szCs w:val="20"/>
              </w:rPr>
              <w:t xml:space="preserve">Neural Network</w:t>
            </w:r>
          </w:p>
        </w:tc>
        <w:tc>
          <w:tcPr>
            <w:tcW w:type="dxa" w:w="2000"/>
          </w:tcPr>
          <w:p>
            <w:r>
              <w:rPr>
                <w:b w:val="false"/>
                <w:bCs w:val="false"/>
                <w:color w:val="000000"/>
                <w:sz w:val="20"/>
                <w:szCs w:val="20"/>
              </w:rPr>
              <w:t xml:space="preserve">0.865</w:t>
            </w:r>
          </w:p>
        </w:tc>
        <w:tc>
          <w:tcPr>
            <w:tcW w:type="dxa" w:w="2000"/>
          </w:tcPr>
          <w:p>
            <w:r>
              <w:rPr>
                <w:b w:val="false"/>
                <w:bCs w:val="false"/>
                <w:color w:val="000000"/>
                <w:sz w:val="20"/>
                <w:szCs w:val="20"/>
              </w:rPr>
              <w:t xml:space="preserve">0.767</w:t>
            </w:r>
          </w:p>
        </w:tc>
        <w:tc>
          <w:tcPr>
            <w:tcW w:type="dxa" w:w="2000"/>
          </w:tcPr>
          <w:p>
            <w:r>
              <w:rPr>
                <w:b w:val="false"/>
                <w:bCs w:val="false"/>
                <w:color w:val="000000"/>
                <w:sz w:val="20"/>
                <w:szCs w:val="20"/>
              </w:rPr>
              <w:t xml:space="preserve">0.3277</w:t>
            </w:r>
          </w:p>
        </w:tc>
        <w:tc>
          <w:tcPr>
            <w:tcW w:type="dxa" w:w="2000"/>
          </w:tcPr>
          <w:p>
            <w:r>
              <w:rPr>
                <w:b w:val="false"/>
                <w:bCs w:val="false"/>
                <w:color w:val="000000"/>
                <w:sz w:val="20"/>
                <w:szCs w:val="20"/>
              </w:rPr>
              <w:t xml:space="preserve">0.4756</w:t>
            </w:r>
          </w:p>
        </w:tc>
        <w:tc>
          <w:tcPr>
            <w:tcW w:type="dxa" w:w="2000"/>
          </w:tcPr>
          <w:p>
            <w:r>
              <w:rPr>
                <w:b w:val="false"/>
                <w:bCs w:val="false"/>
                <w:color w:val="000000"/>
                <w:sz w:val="20"/>
                <w:szCs w:val="20"/>
              </w:rPr>
              <w:t xml:space="preserve">0.3881</w:t>
            </w:r>
          </w:p>
        </w:tc>
        <w:tc>
          <w:tcPr>
            <w:tcW w:type="dxa" w:w="2000"/>
          </w:tcPr>
          <w:p>
            <w:r>
              <w:rPr>
                <w:b w:val="false"/>
                <w:bCs w:val="false"/>
                <w:color w:val="000000"/>
                <w:sz w:val="20"/>
                <w:szCs w:val="20"/>
              </w:rPr>
              <w:t xml:space="preserve">0.6453</w:t>
            </w:r>
          </w:p>
        </w:tc>
      </w:tr>
    </w:tbl>
    <w:p>
      <w:pPr>
        <w:spacing w:after="160"/>
      </w:pPr>
    </w:p>
    <w:p>
      <w:pPr>
        <w:spacing w:after="160"/>
        <w:jc w:val="both"/>
      </w:pPr>
      <w:r>
        <w:t xml:space="preserve">XGBoost gave the best balance of precision and recall (F1 = 0.59, ROC-AUC = 0.85), followed by Random Forest. Logistic Regression had the highest raw recall but far lower precision, flagging many false positives; the Neural Network underperformed the tree-based models on this small, tabular dataset — expected, since MLPs typically need more data than 2,109 rows to outperform gradient-boosted trees on tabular features.</w:t>
      </w:r>
    </w:p>
    <w:p>
      <w:pPr>
        <w:spacing w:before="120"/>
        <w:jc w:val="center"/>
      </w:pPr>
      <w:r>
        <w:drawing>
          <wp:inline distT="0" distB="0" distL="0" distR="0">
            <wp:extent cx="3238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695575"/>
                    </a:xfrm>
                    <a:prstGeom prst="rect">
                      <a:avLst/>
                    </a:prstGeom>
                  </pic:spPr>
                </pic:pic>
              </a:graphicData>
            </a:graphic>
          </wp:inline>
        </w:drawing>
      </w:r>
    </w:p>
    <w:p>
      <w:pPr>
        <w:spacing w:after="240"/>
        <w:jc w:val="center"/>
      </w:pPr>
      <w:r>
        <w:rPr>
          <w:i/>
          <w:iCs/>
          <w:color w:val="555555"/>
          <w:sz w:val="18"/>
          <w:szCs w:val="18"/>
        </w:rPr>
        <w:t xml:space="preserve">Figure 4. ROC curves for all four models on the held-out test set.</w:t>
      </w:r>
    </w:p>
    <w:p>
      <w:pPr>
        <w:spacing w:before="120"/>
        <w:jc w:val="center"/>
      </w:pPr>
      <w:r>
        <w:drawing>
          <wp:inline distT="0" distB="0" distL="0" distR="0">
            <wp:extent cx="3810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333750"/>
                    </a:xfrm>
                    <a:prstGeom prst="rect">
                      <a:avLst/>
                    </a:prstGeom>
                  </pic:spPr>
                </pic:pic>
              </a:graphicData>
            </a:graphic>
          </wp:inline>
        </w:drawing>
      </w:r>
    </w:p>
    <w:p>
      <w:pPr>
        <w:spacing w:after="240"/>
        <w:jc w:val="center"/>
      </w:pPr>
      <w:r>
        <w:rPr>
          <w:i/>
          <w:iCs/>
          <w:color w:val="555555"/>
          <w:sz w:val="18"/>
          <w:szCs w:val="18"/>
        </w:rPr>
        <w:t xml:space="preserve">Figure 5. Confusion matrices for all four models.</w:t>
      </w:r>
    </w:p>
    <w:p>
      <w:pPr>
        <w:spacing w:before="120"/>
        <w:jc w:val="center"/>
      </w:pPr>
      <w:r>
        <w:drawing>
          <wp:inline distT="0" distB="0" distL="0" distR="0">
            <wp:extent cx="3619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581275"/>
                    </a:xfrm>
                    <a:prstGeom prst="rect">
                      <a:avLst/>
                    </a:prstGeom>
                  </pic:spPr>
                </pic:pic>
              </a:graphicData>
            </a:graphic>
          </wp:inline>
        </w:drawing>
      </w:r>
    </w:p>
    <w:p>
      <w:pPr>
        <w:spacing w:after="240"/>
        <w:jc w:val="center"/>
      </w:pPr>
      <w:r>
        <w:rPr>
          <w:i/>
          <w:iCs/>
          <w:color w:val="555555"/>
          <w:sz w:val="18"/>
          <w:szCs w:val="18"/>
        </w:rPr>
        <w:t xml:space="preserve">Figure 6. Top 10 Random Forest feature importances — Halstead length, volume, and effort dominate.</w:t>
      </w:r>
    </w:p>
    <w:p>
      <w:pPr>
        <w:pStyle w:val="Heading2"/>
        <w:spacing w:after="120" w:before="220"/>
      </w:pPr>
      <w:r>
        <w:t xml:space="preserve">5.2 Experiment 2 — Feature ablation</w:t>
      </w:r>
    </w:p>
    <w:p>
      <w:pPr>
        <w:spacing w:after="160"/>
        <w:jc w:val="both"/>
      </w:pPr>
      <w:r>
        <w:t xml:space="preserve">To answer RQ2, McCabe complexity metrics (v(g), ev(g), iv(g)) and Halstead metrics were each removed in turn and the models retrained.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1D232D" w:val="clear"/>
          </w:tcPr>
          <w:p>
            <w:r>
              <w:rPr>
                <w:b/>
                <w:bCs/>
                <w:color w:val="FFFFFF"/>
                <w:sz w:val="20"/>
                <w:szCs w:val="20"/>
              </w:rPr>
              <w:t xml:space="preserve">Model</w:t>
            </w:r>
          </w:p>
        </w:tc>
        <w:tc>
          <w:tcPr>
            <w:tcW w:type="dxa" w:w="2200"/>
            <w:shd w:fill="1D232D" w:val="clear"/>
          </w:tcPr>
          <w:p>
            <w:r>
              <w:rPr>
                <w:b/>
                <w:bCs/>
                <w:color w:val="FFFFFF"/>
                <w:sz w:val="20"/>
                <w:szCs w:val="20"/>
              </w:rPr>
              <w:t xml:space="preserve">All features (F1)</w:t>
            </w:r>
          </w:p>
        </w:tc>
        <w:tc>
          <w:tcPr>
            <w:tcW w:type="dxa" w:w="2200"/>
            <w:shd w:fill="1D232D" w:val="clear"/>
          </w:tcPr>
          <w:p>
            <w:r>
              <w:rPr>
                <w:b/>
                <w:bCs/>
                <w:color w:val="FFFFFF"/>
                <w:sz w:val="20"/>
                <w:szCs w:val="20"/>
              </w:rPr>
              <w:t xml:space="preserve">No McCabe complexity (F1)</w:t>
            </w:r>
          </w:p>
        </w:tc>
        <w:tc>
          <w:tcPr>
            <w:tcW w:type="dxa" w:w="2200"/>
            <w:shd w:fill="1D232D" w:val="clear"/>
          </w:tcPr>
          <w:p>
            <w:r>
              <w:rPr>
                <w:b/>
                <w:bCs/>
                <w:color w:val="FFFFFF"/>
                <w:sz w:val="20"/>
                <w:szCs w:val="20"/>
              </w:rPr>
              <w:t xml:space="preserve">No Halstead metrics (F1)</w:t>
            </w:r>
          </w:p>
        </w:tc>
      </w:tr>
      <w:tr>
        <w:tc>
          <w:tcPr>
            <w:tcW w:type="dxa" w:w="2200"/>
          </w:tcPr>
          <w:p>
            <w:r>
              <w:rPr>
                <w:b w:val="false"/>
                <w:bCs w:val="false"/>
                <w:color w:val="000000"/>
                <w:sz w:val="20"/>
                <w:szCs w:val="20"/>
              </w:rPr>
              <w:t xml:space="preserve">Logistic Regression</w:t>
            </w:r>
          </w:p>
        </w:tc>
        <w:tc>
          <w:tcPr>
            <w:tcW w:type="dxa" w:w="2000"/>
          </w:tcPr>
          <w:p>
            <w:r>
              <w:rPr>
                <w:b w:val="false"/>
                <w:bCs w:val="false"/>
                <w:color w:val="000000"/>
                <w:sz w:val="20"/>
                <w:szCs w:val="20"/>
              </w:rPr>
              <w:t xml:space="preserve">0.4309</w:t>
            </w:r>
          </w:p>
        </w:tc>
        <w:tc>
          <w:tcPr>
            <w:tcW w:type="dxa" w:w="2000"/>
          </w:tcPr>
          <w:p>
            <w:r>
              <w:rPr>
                <w:b w:val="false"/>
                <w:bCs w:val="false"/>
                <w:color w:val="000000"/>
                <w:sz w:val="20"/>
                <w:szCs w:val="20"/>
              </w:rPr>
              <w:t xml:space="preserve">0.432</w:t>
            </w:r>
          </w:p>
        </w:tc>
        <w:tc>
          <w:tcPr>
            <w:tcW w:type="dxa" w:w="2000"/>
          </w:tcPr>
          <w:p>
            <w:r>
              <w:rPr>
                <w:b w:val="false"/>
                <w:bCs w:val="false"/>
                <w:color w:val="000000"/>
                <w:sz w:val="20"/>
                <w:szCs w:val="20"/>
              </w:rPr>
              <w:t xml:space="preserve">0.4292</w:t>
            </w:r>
          </w:p>
        </w:tc>
      </w:tr>
      <w:tr>
        <w:tc>
          <w:tcPr>
            <w:tcW w:type="dxa" w:w="2200"/>
          </w:tcPr>
          <w:p>
            <w:r>
              <w:rPr>
                <w:b w:val="false"/>
                <w:bCs w:val="false"/>
                <w:color w:val="000000"/>
                <w:sz w:val="20"/>
                <w:szCs w:val="20"/>
              </w:rPr>
              <w:t xml:space="preserve">Random Forest</w:t>
            </w:r>
          </w:p>
        </w:tc>
        <w:tc>
          <w:tcPr>
            <w:tcW w:type="dxa" w:w="2000"/>
          </w:tcPr>
          <w:p>
            <w:r>
              <w:rPr>
                <w:b w:val="false"/>
                <w:bCs w:val="false"/>
                <w:color w:val="000000"/>
                <w:sz w:val="20"/>
                <w:szCs w:val="20"/>
              </w:rPr>
              <w:t xml:space="preserve">0.4444</w:t>
            </w:r>
          </w:p>
        </w:tc>
        <w:tc>
          <w:tcPr>
            <w:tcW w:type="dxa" w:w="2000"/>
          </w:tcPr>
          <w:p>
            <w:r>
              <w:rPr>
                <w:b w:val="false"/>
                <w:bCs w:val="false"/>
                <w:color w:val="000000"/>
                <w:sz w:val="20"/>
                <w:szCs w:val="20"/>
              </w:rPr>
              <w:t xml:space="preserve">0.458</w:t>
            </w:r>
          </w:p>
        </w:tc>
        <w:tc>
          <w:tcPr>
            <w:tcW w:type="dxa" w:w="2000"/>
          </w:tcPr>
          <w:p>
            <w:r>
              <w:rPr>
                <w:b w:val="false"/>
                <w:bCs w:val="false"/>
                <w:color w:val="000000"/>
                <w:sz w:val="20"/>
                <w:szCs w:val="20"/>
              </w:rPr>
              <w:t xml:space="preserve">0.4463</w:t>
            </w:r>
          </w:p>
        </w:tc>
      </w:tr>
      <w:tr>
        <w:tc>
          <w:tcPr>
            <w:tcW w:type="dxa" w:w="2200"/>
          </w:tcPr>
          <w:p>
            <w:r>
              <w:rPr>
                <w:b w:val="false"/>
                <w:bCs w:val="false"/>
                <w:color w:val="000000"/>
                <w:sz w:val="20"/>
                <w:szCs w:val="20"/>
              </w:rPr>
              <w:t xml:space="preserve">XGBoost</w:t>
            </w:r>
          </w:p>
        </w:tc>
        <w:tc>
          <w:tcPr>
            <w:tcW w:type="dxa" w:w="2000"/>
          </w:tcPr>
          <w:p>
            <w:r>
              <w:rPr>
                <w:b w:val="false"/>
                <w:bCs w:val="false"/>
                <w:color w:val="000000"/>
                <w:sz w:val="20"/>
                <w:szCs w:val="20"/>
              </w:rPr>
              <w:t xml:space="preserve">0.5077</w:t>
            </w:r>
          </w:p>
        </w:tc>
        <w:tc>
          <w:tcPr>
            <w:tcW w:type="dxa" w:w="2000"/>
          </w:tcPr>
          <w:p>
            <w:r>
              <w:rPr>
                <w:b w:val="false"/>
                <w:bCs w:val="false"/>
                <w:color w:val="000000"/>
                <w:sz w:val="20"/>
                <w:szCs w:val="20"/>
              </w:rPr>
              <w:t xml:space="preserve">0.4531</w:t>
            </w:r>
          </w:p>
        </w:tc>
        <w:tc>
          <w:tcPr>
            <w:tcW w:type="dxa" w:w="2000"/>
          </w:tcPr>
          <w:p>
            <w:r>
              <w:rPr>
                <w:b w:val="false"/>
                <w:bCs w:val="false"/>
                <w:color w:val="000000"/>
                <w:sz w:val="20"/>
                <w:szCs w:val="20"/>
              </w:rPr>
              <w:t xml:space="preserve">0.4462</w:t>
            </w:r>
          </w:p>
        </w:tc>
      </w:tr>
      <w:tr>
        <w:tc>
          <w:tcPr>
            <w:tcW w:type="dxa" w:w="2200"/>
          </w:tcPr>
          <w:p>
            <w:r>
              <w:rPr>
                <w:b w:val="false"/>
                <w:bCs w:val="false"/>
                <w:color w:val="000000"/>
                <w:sz w:val="20"/>
                <w:szCs w:val="20"/>
              </w:rPr>
              <w:t xml:space="preserve">Neural Network</w:t>
            </w:r>
          </w:p>
        </w:tc>
        <w:tc>
          <w:tcPr>
            <w:tcW w:type="dxa" w:w="2000"/>
          </w:tcPr>
          <w:p>
            <w:r>
              <w:rPr>
                <w:b w:val="false"/>
                <w:bCs w:val="false"/>
                <w:color w:val="000000"/>
                <w:sz w:val="20"/>
                <w:szCs w:val="20"/>
              </w:rPr>
              <w:t xml:space="preserve">0.4113</w:t>
            </w:r>
          </w:p>
        </w:tc>
        <w:tc>
          <w:tcPr>
            <w:tcW w:type="dxa" w:w="2000"/>
          </w:tcPr>
          <w:p>
            <w:r>
              <w:rPr>
                <w:b w:val="false"/>
                <w:bCs w:val="false"/>
                <w:color w:val="000000"/>
                <w:sz w:val="20"/>
                <w:szCs w:val="20"/>
              </w:rPr>
              <w:t xml:space="preserve">0.4496</w:t>
            </w:r>
          </w:p>
        </w:tc>
        <w:tc>
          <w:tcPr>
            <w:tcW w:type="dxa" w:w="2000"/>
          </w:tcPr>
          <w:p>
            <w:r>
              <w:rPr>
                <w:b w:val="false"/>
                <w:bCs w:val="false"/>
                <w:color w:val="000000"/>
                <w:sz w:val="20"/>
                <w:szCs w:val="20"/>
              </w:rPr>
              <w:t xml:space="preserve">0.4789</w:t>
            </w:r>
          </w:p>
        </w:tc>
      </w:tr>
    </w:tbl>
    <w:p>
      <w:pPr>
        <w:spacing w:after="160"/>
      </w:pPr>
    </w:p>
    <w:p>
      <w:pPr>
        <w:spacing w:after="160"/>
        <w:jc w:val="both"/>
      </w:pPr>
      <w:r>
        <w:t xml:space="preserve">Removing either family causes a measurable F1 drop for XGBoost (0.51 → 0.45 without McCabe metrics, 0.51 → 0.45 without Halstead metrics), showing both families carry independent signal rather than one being redundant. Simpler linear models (Logistic Regression) were nearly unaffected by either removal, suggesting the interactions tree-based models exploit are what make the complexity/size metrics valuable.</w:t>
      </w:r>
    </w:p>
    <w:p>
      <w:pPr>
        <w:pStyle w:val="Heading2"/>
        <w:spacing w:after="120" w:before="220"/>
      </w:pPr>
      <w:r>
        <w:t xml:space="preserve">5.3 Experiment 3 — SMOTE class balancing</w:t>
      </w:r>
    </w:p>
    <w:p>
      <w:pPr>
        <w:spacing w:after="160"/>
        <w:jc w:val="both"/>
      </w:pPr>
      <w:r>
        <w:t xml:space="preserve">To answer RQ3's balancing question, SMOTE oversampling was applied to the training set only (test set left untouched) before refitting each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900"/>
            <w:shd w:fill="1D232D" w:val="clear"/>
          </w:tcPr>
          <w:p>
            <w:r>
              <w:rPr>
                <w:b/>
                <w:bCs/>
                <w:color w:val="FFFFFF"/>
                <w:sz w:val="20"/>
                <w:szCs w:val="20"/>
              </w:rPr>
              <w:t xml:space="preserve">Model</w:t>
            </w:r>
          </w:p>
        </w:tc>
        <w:tc>
          <w:tcPr>
            <w:tcW w:type="dxa" w:w="1900"/>
            <w:shd w:fill="1D232D" w:val="clear"/>
          </w:tcPr>
          <w:p>
            <w:r>
              <w:rPr>
                <w:b/>
                <w:bCs/>
                <w:color w:val="FFFFFF"/>
                <w:sz w:val="20"/>
                <w:szCs w:val="20"/>
              </w:rPr>
              <w:t xml:space="preserve">Recall (no SMOTE)</w:t>
            </w:r>
          </w:p>
        </w:tc>
        <w:tc>
          <w:tcPr>
            <w:tcW w:type="dxa" w:w="1900"/>
            <w:shd w:fill="1D232D" w:val="clear"/>
          </w:tcPr>
          <w:p>
            <w:r>
              <w:rPr>
                <w:b/>
                <w:bCs/>
                <w:color w:val="FFFFFF"/>
                <w:sz w:val="20"/>
                <w:szCs w:val="20"/>
              </w:rPr>
              <w:t xml:space="preserve">Recall (SMOTE)</w:t>
            </w:r>
          </w:p>
        </w:tc>
        <w:tc>
          <w:tcPr>
            <w:tcW w:type="dxa" w:w="1900"/>
            <w:shd w:fill="1D232D" w:val="clear"/>
          </w:tcPr>
          <w:p>
            <w:r>
              <w:rPr>
                <w:b/>
                <w:bCs/>
                <w:color w:val="FFFFFF"/>
                <w:sz w:val="20"/>
                <w:szCs w:val="20"/>
              </w:rPr>
              <w:t xml:space="preserve">F1 (no SMOTE)</w:t>
            </w:r>
          </w:p>
        </w:tc>
        <w:tc>
          <w:tcPr>
            <w:tcW w:type="dxa" w:w="1900"/>
            <w:shd w:fill="1D232D" w:val="clear"/>
          </w:tcPr>
          <w:p>
            <w:r>
              <w:rPr>
                <w:b/>
                <w:bCs/>
                <w:color w:val="FFFFFF"/>
                <w:sz w:val="20"/>
                <w:szCs w:val="20"/>
              </w:rPr>
              <w:t xml:space="preserve">F1 (SMOTE)</w:t>
            </w:r>
          </w:p>
        </w:tc>
      </w:tr>
      <w:tr>
        <w:tc>
          <w:tcPr>
            <w:tcW w:type="dxa" w:w="1900"/>
          </w:tcPr>
          <w:p>
            <w:r>
              <w:rPr>
                <w:b w:val="false"/>
                <w:bCs w:val="false"/>
                <w:color w:val="000000"/>
                <w:sz w:val="20"/>
                <w:szCs w:val="20"/>
              </w:rPr>
              <w:t xml:space="preserve">Logistic Regression</w:t>
            </w:r>
          </w:p>
        </w:tc>
        <w:tc>
          <w:tcPr>
            <w:tcW w:type="dxa" w:w="2000"/>
          </w:tcPr>
          <w:p>
            <w:r>
              <w:rPr>
                <w:b w:val="false"/>
                <w:bCs w:val="false"/>
                <w:color w:val="000000"/>
                <w:sz w:val="20"/>
                <w:szCs w:val="20"/>
              </w:rPr>
              <w:t xml:space="preserve">0.6463</w:t>
            </w:r>
          </w:p>
        </w:tc>
        <w:tc>
          <w:tcPr>
            <w:tcW w:type="dxa" w:w="2000"/>
          </w:tcPr>
          <w:p>
            <w:r>
              <w:rPr>
                <w:b w:val="false"/>
                <w:bCs w:val="false"/>
                <w:color w:val="000000"/>
                <w:sz w:val="20"/>
                <w:szCs w:val="20"/>
              </w:rPr>
              <w:t xml:space="preserve">0.6585</w:t>
            </w:r>
          </w:p>
        </w:tc>
        <w:tc>
          <w:tcPr>
            <w:tcW w:type="dxa" w:w="2000"/>
          </w:tcPr>
          <w:p>
            <w:r>
              <w:rPr>
                <w:b w:val="false"/>
                <w:bCs w:val="false"/>
                <w:color w:val="000000"/>
                <w:sz w:val="20"/>
                <w:szCs w:val="20"/>
              </w:rPr>
              <w:t xml:space="preserve">0.4309</w:t>
            </w:r>
          </w:p>
        </w:tc>
        <w:tc>
          <w:tcPr>
            <w:tcW w:type="dxa" w:w="2000"/>
          </w:tcPr>
          <w:p>
            <w:r>
              <w:rPr>
                <w:b w:val="false"/>
                <w:bCs w:val="false"/>
                <w:color w:val="000000"/>
                <w:sz w:val="20"/>
                <w:szCs w:val="20"/>
              </w:rPr>
              <w:t xml:space="preserve">0.4372</w:t>
            </w:r>
          </w:p>
        </w:tc>
      </w:tr>
      <w:tr>
        <w:tc>
          <w:tcPr>
            <w:tcW w:type="dxa" w:w="1900"/>
          </w:tcPr>
          <w:p>
            <w:r>
              <w:rPr>
                <w:b w:val="false"/>
                <w:bCs w:val="false"/>
                <w:color w:val="000000"/>
                <w:sz w:val="20"/>
                <w:szCs w:val="20"/>
              </w:rPr>
              <w:t xml:space="preserve">Random Forest</w:t>
            </w:r>
          </w:p>
        </w:tc>
        <w:tc>
          <w:tcPr>
            <w:tcW w:type="dxa" w:w="2000"/>
          </w:tcPr>
          <w:p>
            <w:r>
              <w:rPr>
                <w:b w:val="false"/>
                <w:bCs w:val="false"/>
                <w:color w:val="000000"/>
                <w:sz w:val="20"/>
                <w:szCs w:val="20"/>
              </w:rPr>
              <w:t xml:space="preserve">0.3415</w:t>
            </w:r>
          </w:p>
        </w:tc>
        <w:tc>
          <w:tcPr>
            <w:tcW w:type="dxa" w:w="2000"/>
          </w:tcPr>
          <w:p>
            <w:r>
              <w:rPr>
                <w:b w:val="false"/>
                <w:bCs w:val="false"/>
                <w:color w:val="000000"/>
                <w:sz w:val="20"/>
                <w:szCs w:val="20"/>
              </w:rPr>
              <w:t xml:space="preserve">0.5732</w:t>
            </w:r>
          </w:p>
        </w:tc>
        <w:tc>
          <w:tcPr>
            <w:tcW w:type="dxa" w:w="2000"/>
          </w:tcPr>
          <w:p>
            <w:r>
              <w:rPr>
                <w:b w:val="false"/>
                <w:bCs w:val="false"/>
                <w:color w:val="000000"/>
                <w:sz w:val="20"/>
                <w:szCs w:val="20"/>
              </w:rPr>
              <w:t xml:space="preserve">0.4444</w:t>
            </w:r>
          </w:p>
        </w:tc>
        <w:tc>
          <w:tcPr>
            <w:tcW w:type="dxa" w:w="2000"/>
          </w:tcPr>
          <w:p>
            <w:r>
              <w:rPr>
                <w:b w:val="false"/>
                <w:bCs w:val="false"/>
                <w:color w:val="000000"/>
                <w:sz w:val="20"/>
                <w:szCs w:val="20"/>
              </w:rPr>
              <w:t xml:space="preserve">0.5137</w:t>
            </w:r>
          </w:p>
        </w:tc>
      </w:tr>
      <w:tr>
        <w:tc>
          <w:tcPr>
            <w:tcW w:type="dxa" w:w="1900"/>
          </w:tcPr>
          <w:p>
            <w:r>
              <w:rPr>
                <w:b w:val="false"/>
                <w:bCs w:val="false"/>
                <w:color w:val="000000"/>
                <w:sz w:val="20"/>
                <w:szCs w:val="20"/>
              </w:rPr>
              <w:t xml:space="preserve">XGBoost</w:t>
            </w:r>
          </w:p>
        </w:tc>
        <w:tc>
          <w:tcPr>
            <w:tcW w:type="dxa" w:w="2000"/>
          </w:tcPr>
          <w:p>
            <w:r>
              <w:rPr>
                <w:b w:val="false"/>
                <w:bCs w:val="false"/>
                <w:color w:val="000000"/>
                <w:sz w:val="20"/>
                <w:szCs w:val="20"/>
              </w:rPr>
              <w:t xml:space="preserve">0.4024</w:t>
            </w:r>
          </w:p>
        </w:tc>
        <w:tc>
          <w:tcPr>
            <w:tcW w:type="dxa" w:w="2000"/>
          </w:tcPr>
          <w:p>
            <w:r>
              <w:rPr>
                <w:b w:val="false"/>
                <w:bCs w:val="false"/>
                <w:color w:val="000000"/>
                <w:sz w:val="20"/>
                <w:szCs w:val="20"/>
              </w:rPr>
              <w:t xml:space="preserve">0.561</w:t>
            </w:r>
          </w:p>
        </w:tc>
        <w:tc>
          <w:tcPr>
            <w:tcW w:type="dxa" w:w="2000"/>
          </w:tcPr>
          <w:p>
            <w:r>
              <w:rPr>
                <w:b w:val="false"/>
                <w:bCs w:val="false"/>
                <w:color w:val="000000"/>
                <w:sz w:val="20"/>
                <w:szCs w:val="20"/>
              </w:rPr>
              <w:t xml:space="preserve">0.5077</w:t>
            </w:r>
          </w:p>
        </w:tc>
        <w:tc>
          <w:tcPr>
            <w:tcW w:type="dxa" w:w="2000"/>
          </w:tcPr>
          <w:p>
            <w:r>
              <w:rPr>
                <w:b w:val="false"/>
                <w:bCs w:val="false"/>
                <w:color w:val="000000"/>
                <w:sz w:val="20"/>
                <w:szCs w:val="20"/>
              </w:rPr>
              <w:t xml:space="preserve">0.5897</w:t>
            </w:r>
          </w:p>
        </w:tc>
      </w:tr>
      <w:tr>
        <w:tc>
          <w:tcPr>
            <w:tcW w:type="dxa" w:w="1900"/>
          </w:tcPr>
          <w:p>
            <w:r>
              <w:rPr>
                <w:b w:val="false"/>
                <w:bCs w:val="false"/>
                <w:color w:val="000000"/>
                <w:sz w:val="20"/>
                <w:szCs w:val="20"/>
              </w:rPr>
              <w:t xml:space="preserve">Neural Network</w:t>
            </w:r>
          </w:p>
        </w:tc>
        <w:tc>
          <w:tcPr>
            <w:tcW w:type="dxa" w:w="2000"/>
          </w:tcPr>
          <w:p>
            <w:r>
              <w:rPr>
                <w:b w:val="false"/>
                <w:bCs w:val="false"/>
                <w:color w:val="000000"/>
                <w:sz w:val="20"/>
                <w:szCs w:val="20"/>
              </w:rPr>
              <w:t xml:space="preserve">0.3537</w:t>
            </w:r>
          </w:p>
        </w:tc>
        <w:tc>
          <w:tcPr>
            <w:tcW w:type="dxa" w:w="2000"/>
          </w:tcPr>
          <w:p>
            <w:r>
              <w:rPr>
                <w:b w:val="false"/>
                <w:bCs w:val="false"/>
                <w:color w:val="000000"/>
                <w:sz w:val="20"/>
                <w:szCs w:val="20"/>
              </w:rPr>
              <w:t xml:space="preserve">0.4756</w:t>
            </w:r>
          </w:p>
        </w:tc>
        <w:tc>
          <w:tcPr>
            <w:tcW w:type="dxa" w:w="2000"/>
          </w:tcPr>
          <w:p>
            <w:r>
              <w:rPr>
                <w:b w:val="false"/>
                <w:bCs w:val="false"/>
                <w:color w:val="000000"/>
                <w:sz w:val="20"/>
                <w:szCs w:val="20"/>
              </w:rPr>
              <w:t xml:space="preserve">0.4113</w:t>
            </w:r>
          </w:p>
        </w:tc>
        <w:tc>
          <w:tcPr>
            <w:tcW w:type="dxa" w:w="2000"/>
          </w:tcPr>
          <w:p>
            <w:r>
              <w:rPr>
                <w:b w:val="false"/>
                <w:bCs w:val="false"/>
                <w:color w:val="000000"/>
                <w:sz w:val="20"/>
                <w:szCs w:val="20"/>
              </w:rPr>
              <w:t xml:space="preserve">0.3881</w:t>
            </w:r>
          </w:p>
        </w:tc>
      </w:tr>
    </w:tbl>
    <w:p>
      <w:pPr>
        <w:spacing w:after="160"/>
      </w:pPr>
    </w:p>
    <w:p>
      <w:pPr>
        <w:spacing w:after="160"/>
        <w:jc w:val="both"/>
      </w:pPr>
      <w:r>
        <w:t xml:space="preserve">SMOTE substantially improved recall and F1 for the tree-based models: Random Forest recall rose from 0.34 to 0.57 (F1 0.44 → 0.51) and XGBoost recall rose from 0.40 to 0.56 (F1 0.51 → 0.59). This matters in practice — a defect predictor that misses most real defects (low recall) is far less useful for testing triage than one with a few more false alarms.</w:t>
      </w:r>
    </w:p>
    <w:p>
      <w:pPr>
        <w:pStyle w:val="Heading1"/>
        <w:spacing w:after="160" w:before="300"/>
      </w:pPr>
      <w:r>
        <w:t xml:space="preserve">6. Discussion</w:t>
      </w:r>
    </w:p>
    <w:p>
      <w:pPr>
        <w:spacing w:after="160"/>
        <w:jc w:val="both"/>
      </w:pPr>
      <w:r>
        <w:t xml:space="preserve">RQ1: defects are predictable from static metrics well above chance (ROC-AUC 0.85), though far from perfect — static metrics capture size/complexity but not semantic bugs like logic errors, so a defect predictor is a triage tool, not a replacement for testing.</w:t>
      </w:r>
    </w:p>
    <w:p>
      <w:pPr>
        <w:spacing w:after="160"/>
        <w:jc w:val="both"/>
      </w:pPr>
      <w:r>
        <w:t xml:space="preserve">RQ2: both McCabe complexity and Halstead size/effort metrics contribute independent predictive signal; Halstead length, volume, and unique-operand counts were consistently the top features across experiments.</w:t>
      </w:r>
    </w:p>
    <w:p>
      <w:pPr>
        <w:spacing w:after="160"/>
        <w:jc w:val="both"/>
      </w:pPr>
      <w:r>
        <w:t xml:space="preserve">RQ3: XGBoost was the best model overall, and SMOTE balancing meaningfully improved its ability to catch defective modules without a large precision cost — the final deployed model uses XGBoost + SMOTE.</w:t>
      </w:r>
    </w:p>
    <w:p>
      <w:pPr>
        <w:pStyle w:val="Heading1"/>
        <w:spacing w:after="160" w:before="300"/>
      </w:pPr>
      <w:r>
        <w:t xml:space="preserve">7. A Prediction Dashboard</w:t>
      </w:r>
    </w:p>
    <w:p>
      <w:pPr>
        <w:spacing w:after="160"/>
        <w:jc w:val="both"/>
      </w:pPr>
      <w:r>
        <w:t xml:space="preserve">The final XGBoost + SMOTE model was wrapped in a small Flask web application (“Module Risk Console”) that accepts a module's static metrics and returns a defect probability and a Low / Medium / High risk tier, intended as a lightweight triage aid alongside code review.</w:t>
      </w:r>
    </w:p>
    <w:p>
      <w:pPr>
        <w:pStyle w:val="Heading1"/>
        <w:spacing w:after="160" w:before="300"/>
      </w:pPr>
      <w:r>
        <w:t xml:space="preserve">8. Limitations</w:t>
      </w:r>
    </w:p>
    <w:p>
      <w:pPr>
        <w:pStyle w:val="ListParagraph"/>
        <w:numPr>
          <w:ilvl w:val="0"/>
          <w:numId w:val="1"/>
        </w:numPr>
        <w:spacing w:after="80"/>
      </w:pPr>
      <w:r>
        <w:t xml:space="preserve">KC1 is a single, ~20-year-old C++ system — findings may not transfer directly to other languages or codebases; cross-project validation is future work.</w:t>
      </w:r>
    </w:p>
    <w:p>
      <w:pPr>
        <w:pStyle w:val="ListParagraph"/>
        <w:numPr>
          <w:ilvl w:val="0"/>
          <w:numId w:val="1"/>
        </w:numPr>
        <w:spacing w:after="80"/>
      </w:pPr>
      <w:r>
        <w:t xml:space="preserve">Static metrics say nothing about a module's actual logic, so false negatives (subtle bugs in ‘simple-looking’ code) are expected.</w:t>
      </w:r>
    </w:p>
    <w:p>
      <w:pPr>
        <w:pStyle w:val="ListParagraph"/>
        <w:numPr>
          <w:ilvl w:val="0"/>
          <w:numId w:val="1"/>
        </w:numPr>
        <w:spacing w:after="80"/>
      </w:pPr>
      <w:r>
        <w:t xml:space="preserve">Class imbalance (15.5% defective) limits achievable precision at high recall; more data or cost-sensitive thresholds could help.</w:t>
      </w:r>
    </w:p>
    <w:p>
      <w:pPr>
        <w:pStyle w:val="Heading1"/>
        <w:spacing w:after="160" w:before="300"/>
      </w:pPr>
      <w:r>
        <w:t xml:space="preserve">9. Conclusion</w:t>
      </w:r>
    </w:p>
    <w:p>
      <w:pPr>
        <w:spacing w:after="160"/>
        <w:jc w:val="both"/>
      </w:pPr>
      <w:r>
        <w:t xml:space="preserve">This study shows that static code metrics can predict defect-prone modules with meaningful accuracy (ROC-AUC 0.85), that both complexity and size/effort metrics matter, and that class balancing is an important, cheap step for imbalanced defect datasets. XGBoost combined with SMOTE gave the best held-out performance and powers a working prediction dashboard.</w:t>
      </w:r>
    </w:p>
    <w:p>
      <w:pPr>
        <w:pStyle w:val="Heading1"/>
        <w:spacing w:after="160" w:before="300"/>
      </w:pPr>
      <w:r>
        <w:t xml:space="preserve">References</w:t>
      </w:r>
    </w:p>
    <w:p>
      <w:pPr>
        <w:spacing w:after="160"/>
        <w:jc w:val="both"/>
      </w:pPr>
      <w:r>
        <w:t xml:space="preserve">[1] Menzies, T., DiStefano, J., Orrego, A., &amp; Chapman, R. (2004). Assessing Predictors of Software Defects. PROMISE Workshop, ICSE 2004.</w:t>
      </w:r>
    </w:p>
    <w:p>
      <w:pPr>
        <w:spacing w:after="160"/>
        <w:jc w:val="both"/>
      </w:pPr>
      <w:r>
        <w:t xml:space="preserve">[2] Koru, A. G., &amp; Liu, H. (2005). An Investigation of the Effect of Module Size on Defect Prediction Using Static Measures. PROMISE Workshop, ICSE 2005.</w:t>
      </w:r>
    </w:p>
    <w:p>
      <w:pPr>
        <w:spacing w:after="160"/>
        <w:jc w:val="both"/>
      </w:pPr>
      <w:r>
        <w:t xml:space="preserve">[3] NASA PROMISE Software Engineering Repository — KC1 dataset. http://promise.site.uottawa.ca/SERepository</w:t>
      </w:r>
    </w:p>
    <w:p>
      <w:pPr>
        <w:spacing w:after="160"/>
        <w:jc w:val="both"/>
      </w:pPr>
      <w:r>
        <w:t xml:space="preserve">[4] Chawla, N. V., et al. (2002). SMOTE: Synthetic Minority Over-sampling Technique. Journal of Artificial Intelligence Research, 16, 321–357.</w:t>
      </w:r>
    </w:p>
    <w:p>
      <w:pPr>
        <w:spacing w:after="160"/>
        <w:jc w:val="both"/>
      </w:pPr>
      <w:r>
        <w:t xml:space="preserve">[5] Chen, T., &amp; Guestrin, C. (2016). XGBoost: A Scalable Tree Boosting System. KDD 2016.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9e43908eb433a68e6dfa4b3581451844dc3d97.png"/><Relationship Id="rId8" Type="http://schemas.openxmlformats.org/officeDocument/2006/relationships/image" Target="media/caa101b4f0e2d7f3ed23777e35293a7d6c1c4539.png"/><Relationship Id="rId9" Type="http://schemas.openxmlformats.org/officeDocument/2006/relationships/image" Target="media/4d69736316ea52d720403d9dd99bedb335fe3684.png"/><Relationship Id="rId10" Type="http://schemas.openxmlformats.org/officeDocument/2006/relationships/image" Target="media/dea2e6428a7a5fcd793c2b93e566b477625d1e51.png"/><Relationship Id="rId11" Type="http://schemas.openxmlformats.org/officeDocument/2006/relationships/image" Target="media/fe0ef4c8daeaaf8ea66205a571c866d85d6cecf1.png"/><Relationship Id="rId12" Type="http://schemas.openxmlformats.org/officeDocument/2006/relationships/image" Target="media/96c2181e7d1c43924366685c6cba182d1af6b38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2026-09-14T19:09:13.587Z</dcterms:created>
  <dcterms:modified xsi:type="dcterms:W3CDTF">2026-09-14T19:09:13.587Z</dcterms:modified>
</cp:coreProperties>
</file>

<file path=docProps/custom.xml><?xml version="1.0" encoding="utf-8"?>
<Properties xmlns="http://schemas.openxmlformats.org/officeDocument/2006/custom-properties" xmlns:vt="http://schemas.openxmlformats.org/officeDocument/2006/docPropsVTypes"/>
</file>