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R134a ORC 冷启动数值诊断进展说明</w:t>
      </w:r>
    </w:p>
    <w:p>
      <w:pPr>
        <w:pStyle w:val="SubtitleCustom"/>
        <w:jc w:val="center"/>
      </w:pPr>
      <w:r>
        <w:t>基于近期 Step01 / TestbenchA 测试结果的阶段性总结与后续建议</w:t>
        <w:br/>
      </w:r>
      <w:r>
        <w:t>日期：2026-04-18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B7CDE6"/>
          <w:left w:val="single" w:sz="10" w:space="0" w:color="B7CDE6"/>
          <w:bottom w:val="single" w:sz="10" w:space="0" w:color="B7CDE6"/>
          <w:right w:val="single" w:sz="10" w:space="0" w:color="B7CDE6"/>
          <w:insideH w:val="single" w:sz="10" w:space="0" w:color="B7CDE6"/>
          <w:insideV w:val="single" w:sz="10" w:space="0" w:color="B7CDE6"/>
        </w:tblBorders>
      </w:tblPr>
      <w:tblGrid>
        <w:gridCol w:w="9746"/>
      </w:tblGrid>
      <w:tr>
        <w:trPr>
          <w:tblHeader w:val="true"/>
        </w:trPr>
        <w:tc>
          <w:tcPr>
            <w:tcW w:type="dxa" w:w="9746"/>
            <w:shd w:fill="EEF5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>执行摘要：</w:t>
            </w:r>
            <w:r>
              <w:t>当前问题已经从“能否跑通”转为“为何前 1.6–4 s 极慢，以及如何建立稳定且可复现的数值基线”。多轮 A/B 结果表明，</w:t>
            </w:r>
            <w:r>
              <w:rPr>
                <w:b/>
                <w:color w:val="C0504D"/>
              </w:rPr>
              <w:t>低压侧储能不足</w:t>
            </w:r>
            <w:r>
              <w:t xml:space="preserve"> 是主矛盾；将 </w:t>
            </w:r>
            <w:r>
              <w:rPr>
                <w:b/>
                <w:color w:val="C0504D"/>
              </w:rPr>
              <w:t>receiver.V</w:t>
            </w:r>
            <w:r>
              <w:t xml:space="preserve"> 从 2 提升到 10 后，1000 s 仿真 CPU 时间从数百秒量级下降到约 58.7 s。与此同时，steady 动量、主阀全开、继续软化 HX 都未带来改善，部分情况下反而恶化。</w:t>
            </w:r>
          </w:p>
        </w:tc>
      </w:tr>
    </w:tbl>
    <w:p/>
    <w:p>
      <w:pPr>
        <w:pStyle w:val="Heading1Custom"/>
      </w:pPr>
      <w:r>
        <w:t>1. 项目背景与当前目标</w:t>
      </w:r>
    </w:p>
    <w:p>
      <w:pPr>
        <w:spacing w:after="80"/>
      </w:pPr>
      <w:r>
        <w:t>当前工作聚焦于纯 R134a ORC 冷启动阶段（Step01 / TestbenchA）的数值可解性与求解速度问题。模型保留了完整主回路与双换热器架构：pump → evaporator → mainValve → condenser → receiver，并带有 expansionTank → expPipe → receiver 低压锚定支路。</w:t>
      </w:r>
    </w:p>
    <w:p>
      <w:pPr>
        <w:spacing w:after="80"/>
      </w:pPr>
      <w:r>
        <w:t>近期工作的核心目标已从“是否能跑通”转向“如何在不破坏主拓扑与主要物理机理的前提下，把前 1–4 s 启动边界层刚度压到可接受范围，并建立可用于下一阶段功能验证的数值基线”。</w:t>
      </w:r>
    </w:p>
    <w:p>
      <w:pPr>
        <w:pStyle w:val="Heading1Custom"/>
      </w:pPr>
      <w:r>
        <w:t>2. 当前模型基线（TestbenchA）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6520"/>
      </w:tblGrid>
      <w:tr>
        <w:trPr>
          <w:tblHeader w:val="true"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工质侧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R134a_ph；主回路采用 p,h 初始化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水侧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ConstantPropertyLiquidWater；冷热源边界为 MassFlowSource_T / Boundary_pT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换热器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两台 BasicHX，已软化为 length=2, nNodes=2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低压锚定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expansionTank → expPipe → receiver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主阀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mainValve，由 valve_k 控制开度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当前最佳速度基线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receiver.V = 10，expPipe.length = 0.5，dynamic，valve_k = 0.9</w:t>
            </w:r>
          </w:p>
        </w:tc>
      </w:tr>
    </w:tbl>
    <w:p>
      <w:pPr>
        <w:pStyle w:val="Heading1Custom"/>
      </w:pPr>
      <w:r>
        <w:t>3. 关键日志与 A/B 试验结果</w:t>
      </w:r>
    </w:p>
    <w:p>
      <w:pPr>
        <w:spacing w:after="120"/>
      </w:pPr>
      <w:r>
        <w:t>以下结果均为近期对求解速度影响最显著的测试点。重点关注 CPU time、前几秒卡顿是否延长，以及是否影响全程可跑通性。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试验项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主要修改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结果（1000 s 或 50 s）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19"/>
              </w:rPr>
              <w:t>结论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原始可跑基线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原始代码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1000 s / 299.939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可跑，但过慢；用于证明拓扑并非接错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dynamic vs steady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动量 steady 化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50 s: dynamic 102.831 s；steady 354.968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steady 无效且恶化，不是正确方向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主阀全开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valve_k: 0.9 → 1.0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50 s: 108.806 s → 1007.45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主阀全开显著恶化；0.9 提供了有益数值阻尼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继续软化 HX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areaScale/wallScale/dT_hx 更激进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50 s / 1121.22 s；卡顿延长到约 3.9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继续软化 HX 不是提速方向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只改 receiver.V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V: 2 → 10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1000 s / 47.227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一号有效改动，数量级改善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只改 expPipe.length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0.5 → 5，V 保持 2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1000 s / 150.088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有一定帮助，但只是次要改动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组合测试 A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V=10, length=5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1000 s / 116.606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不如 V=10,length=0.5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组合测试 B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V=10, length=0.1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1000 s / 128.62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过短也更差，说明 length 存在甜点位</w:t>
            </w:r>
          </w:p>
        </w:tc>
      </w:tr>
      <w:tr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 回扫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V=4/6/8/10, length=0.5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V=4: 194.53 s；V=6: 525.563 s；V=8: 470.919 s；V=10: 58.677 s</w:t>
            </w:r>
          </w:p>
        </w:tc>
        <w:tc>
          <w:tcPr>
            <w:tcW w:type="dxa" w:w="24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 对速度高度非单调；10 明显最好</w:t>
            </w:r>
          </w:p>
        </w:tc>
      </w:tr>
    </w:tbl>
    <w:p>
      <w:pPr>
        <w:pStyle w:val="Heading1Custom"/>
      </w:pPr>
      <w:r>
        <w:t>4. 已被证伪或不推荐继续投入的方向</w:t>
      </w:r>
    </w:p>
    <w:p>
      <w:pPr>
        <w:pStyle w:val="BodySmall"/>
        <w:ind w:left="283" w:hanging="227"/>
      </w:pPr>
      <w:r>
        <w:rPr>
          <w:b/>
        </w:rPr>
        <w:t xml:space="preserve">• </w:t>
      </w:r>
      <w:r>
        <w:t>将 momentumDynamics 改为 SteadyState：实测更慢，说明当前问题不是简单的“快动量波没被滤掉”。</w:t>
      </w:r>
    </w:p>
    <w:p>
      <w:pPr>
        <w:pStyle w:val="BodySmall"/>
        <w:ind w:left="283" w:hanging="227"/>
      </w:pPr>
      <w:r>
        <w:rPr>
          <w:b/>
        </w:rPr>
        <w:t xml:space="preserve">• </w:t>
      </w:r>
      <w:r>
        <w:t>将主阀开度提高到 1.0：实测显著恶化，说明主阀 0.9 的有限阻力反而在给系统提供数值阻尼。</w:t>
      </w:r>
    </w:p>
    <w:p>
      <w:pPr>
        <w:pStyle w:val="BodySmall"/>
        <w:ind w:left="283" w:hanging="227"/>
      </w:pPr>
      <w:r>
        <w:rPr>
          <w:b/>
        </w:rPr>
        <w:t xml:space="preserve">• </w:t>
      </w:r>
      <w:r>
        <w:t>继续软化 HX（进一步削弱热参与度）：实测更慢，且前期卡顿延长，说明 HX 并非当前一号病灶。</w:t>
      </w:r>
    </w:p>
    <w:p>
      <w:pPr>
        <w:pStyle w:val="BodySmall"/>
        <w:ind w:left="283" w:hanging="227"/>
      </w:pPr>
      <w:r>
        <w:rPr>
          <w:b/>
        </w:rPr>
        <w:t xml:space="preserve">• </w:t>
      </w:r>
      <w:r>
        <w:t>继续扫描 expPipe.length：已证明 0.5 左右最好，过短和过长都更差。</w:t>
      </w:r>
    </w:p>
    <w:p>
      <w:pPr>
        <w:pStyle w:val="BodySmall"/>
        <w:ind w:left="283" w:hanging="227"/>
      </w:pPr>
      <w:r>
        <w:rPr>
          <w:b/>
        </w:rPr>
        <w:t xml:space="preserve">• </w:t>
      </w:r>
      <w:r>
        <w:t>继续扫描 V=4/6/8：已证明这些中间值反而更差，后续继续沿这一方向扫点的性价比很低。</w:t>
      </w:r>
    </w:p>
    <w:p>
      <w:pPr>
        <w:pStyle w:val="Heading1Custom"/>
      </w:pPr>
      <w:r>
        <w:t>5. 当前最可信的工程解释</w:t>
      </w:r>
    </w:p>
    <w:p>
      <w:pPr>
        <w:spacing w:after="80"/>
      </w:pPr>
      <w:r>
        <w:t>目前可以将问题定性为：低压侧储能不足导致冷启动边界层刚度过大。其核心症状是前 1.6–4 s 内 CPU 时间异常集中，而一旦跨过该边界层，求解器步长就能明显放大。</w:t>
      </w:r>
    </w:p>
    <w:p>
      <w:pPr>
        <w:spacing w:after="80"/>
      </w:pPr>
      <w:r>
        <w:t>把 receiver.V 从 2 增加到 10 后，低压侧的压力/焓导数被显著钝化，前几秒的状态重排不再那么激烈，因此 CPU 时间出现数量级改善。这说明主病并不是接线错误，也不是主阀太小或快动量必须去掉，而是低压侧储能规模与整条主回路耦合时间尺度不匹配。</w:t>
      </w:r>
    </w:p>
    <w:p>
      <w:pPr>
        <w:spacing w:after="80"/>
      </w:pPr>
      <w:r>
        <w:t>expPipe.length 的测试表明，低压边界锚定也有影响，但只是次级因素：长度太短会使锚定过硬，长度太长又会引入过度滞后或额外阻力，最佳点恰好在原来的 0.5 附近。</w:t>
      </w:r>
    </w:p>
    <w:p>
      <w:pPr>
        <w:pStyle w:val="Heading1Custom"/>
      </w:pPr>
      <w:r>
        <w:t>6. 推荐的新基线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  <w:shd w:fill="D9EAF7"/>
          </w:tcPr>
          <w:p>
            <w:pPr>
              <w:spacing w:before="0" w:after="0" w:line="264" w:lineRule="auto"/>
              <w:jc w:val="center"/>
            </w:pP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receiver.V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10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expPipe.length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0.5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动量设定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保持 dynamic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主阀开度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valve_k = 0.9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HX 设置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保持当前 length=2, nNodes=2，不再继续软化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水侧介质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Microsoft YaHei"/>
                <w:sz w:val="19"/>
              </w:rPr>
              <w:t>保持 ConstantPropertyLiquidWater</w:t>
            </w:r>
          </w:p>
        </w:tc>
      </w:tr>
    </w:tbl>
    <w:p>
      <w:r>
        <w:rPr>
          <w:b/>
        </w:rPr>
        <w:t>说明：</w:t>
      </w:r>
      <w:r>
        <w:t>上述配置不是“理论上最完美”的组合，而是当前最有证据支撑、最适合作为后续功能验证母版的数值基线。</w:t>
      </w:r>
    </w:p>
    <w:p>
      <w:pPr>
        <w:pStyle w:val="Heading1Custom"/>
      </w:pPr>
      <w:r>
        <w:t>7. 下一阶段工作建议</w:t>
      </w:r>
    </w:p>
    <w:p>
      <w:pPr>
        <w:ind w:left="227" w:hanging="227"/>
      </w:pPr>
      <w:r>
        <w:rPr>
          <w:b/>
        </w:rPr>
        <w:t xml:space="preserve">1. </w:t>
      </w:r>
      <w:r>
        <w:t>停止继续扫描 receiver.V 和 expPipe.length。当前这条线已经收敛到明确结论，再扫收益很低。</w:t>
      </w:r>
    </w:p>
    <w:p>
      <w:pPr>
        <w:ind w:left="227" w:hanging="227"/>
      </w:pPr>
      <w:r>
        <w:rPr>
          <w:b/>
        </w:rPr>
        <w:t xml:space="preserve">2. </w:t>
      </w:r>
      <w:r>
        <w:t>基于新基线，转入功能验证：检查启动阶段流量、压力和热源接入后的平滑性，而不是继续纠结“还能不能再快 10 秒”。</w:t>
      </w:r>
    </w:p>
    <w:p>
      <w:pPr>
        <w:ind w:left="227" w:hanging="227"/>
      </w:pPr>
      <w:r>
        <w:rPr>
          <w:b/>
        </w:rPr>
        <w:t xml:space="preserve">3. </w:t>
      </w:r>
      <w:r>
        <w:t>若后续仍有速度问题，不再优先从参数扫描入手，而应转向结构级检查，例如：低压侧真实储能需求、Step02 建岛时序、以及是否需要为后续功能阶段引入更明确的启动平台段。</w:t>
      </w:r>
    </w:p>
    <w:p>
      <w:pPr>
        <w:ind w:left="227" w:hanging="227"/>
      </w:pPr>
      <w:r>
        <w:rPr>
          <w:b/>
        </w:rPr>
        <w:t xml:space="preserve">4. </w:t>
      </w:r>
      <w:r>
        <w:t>对外沟通时，可将当前结论概括为：问题已从“模型是否接错/是否能跑”转为“低压侧储能尺度导致的启动边界层刚度”。</w:t>
      </w:r>
    </w:p>
    <w:p>
      <w:pPr>
        <w:pStyle w:val="Heading1Custom"/>
      </w:pPr>
      <w:r>
        <w:t>8. 阶段性总结</w:t>
      </w:r>
    </w:p>
    <w:p>
      <w:r>
        <w:rPr>
          <w:b/>
        </w:rPr>
        <w:t>阶段性判断：</w:t>
      </w:r>
      <w:r>
        <w:t>当前最重要的进展不是“模型更物理了”，而是已经通过多轮 A/B 把速度瓶颈收缩到了足够小的范围，并找到了可以稳定复现的可用基线。</w:t>
      </w:r>
    </w:p>
    <w:p>
      <w:r>
        <w:rPr>
          <w:b/>
        </w:rPr>
        <w:t>关键结论：</w:t>
      </w:r>
      <w:r>
        <w:t>低压侧储能不足是一号矛盾；receiver.V=10 是决定性优化；expPipe.length=0.5 是当前甜点位；steady 动量、主阀全开和继续软化 HX 都不是正确方向。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>R134a ORC 诊断进展说明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120"/>
    </w:pPr>
    <w:rPr>
      <w:rFonts w:ascii="Arial" w:hAnsi="Arial" w:eastAsia="Microsoft YaHei"/>
      <w:b/>
      <w:color w:val="1F4E79"/>
      <w:sz w:val="44"/>
    </w:rPr>
  </w:style>
  <w:style w:type="paragraph" w:customStyle="1" w:styleId="SubtitleCustom">
    <w:name w:val="SubtitleCustom"/>
    <w:pPr>
      <w:spacing w:after="240"/>
    </w:pPr>
    <w:rPr>
      <w:rFonts w:ascii="Arial" w:hAnsi="Arial" w:eastAsia="Microsoft YaHei"/>
      <w:color w:val="595959"/>
      <w:sz w:val="22"/>
    </w:rPr>
  </w:style>
  <w:style w:type="paragraph" w:customStyle="1" w:styleId="Heading1Custom">
    <w:name w:val="Heading1Custom"/>
    <w:basedOn w:val="Heading1"/>
    <w:pPr>
      <w:keepNext/>
      <w:spacing w:before="200" w:after="80"/>
    </w:pPr>
    <w:rPr>
      <w:rFonts w:ascii="Arial" w:hAnsi="Arial" w:eastAsia="Microsoft YaHei"/>
      <w:b/>
      <w:color w:val="1F4E79"/>
      <w:sz w:val="28"/>
    </w:rPr>
  </w:style>
  <w:style w:type="paragraph" w:customStyle="1" w:styleId="Heading2Custom">
    <w:name w:val="Heading2Custom"/>
    <w:basedOn w:val="Heading2"/>
    <w:pPr>
      <w:keepNext/>
      <w:spacing w:before="160" w:after="40"/>
    </w:pPr>
    <w:rPr>
      <w:rFonts w:ascii="Arial" w:hAnsi="Arial" w:eastAsia="Microsoft YaHei"/>
      <w:b/>
      <w:color w:val="373737"/>
      <w:sz w:val="23"/>
    </w:rPr>
  </w:style>
  <w:style w:type="paragraph" w:customStyle="1" w:styleId="BodySmall">
    <w:name w:val="BodySmall"/>
    <w:pPr>
      <w:spacing w:after="80"/>
    </w:pPr>
    <w:rPr>
      <w:rFonts w:ascii="Arial" w:hAnsi="Arial" w:eastAsia="Microsoft YaHei"/>
      <w:sz w:val="19"/>
    </w:rPr>
  </w:style>
  <w:style w:type="paragraph" w:customStyle="1" w:styleId="Callout">
    <w:name w:val="Callout"/>
    <w:pPr>
      <w:spacing w:before="40" w:after="40"/>
      <w:ind w:left="113"/>
    </w:pPr>
    <w:rPr>
      <w:rFonts w:ascii="Arial" w:hAnsi="Arial" w:eastAsia="Microsoft YaHei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