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  <w:jc w:val="center"/>
      </w:pPr>
      <w:r>
        <w:rPr>
          <w:rFonts w:ascii="Noto Sans CJK SC" w:hAnsi="Noto Sans CJK SC" w:eastAsia="Noto Sans CJK SC"/>
          <w:b/>
          <w:color w:val="13375C"/>
          <w:sz w:val="40"/>
        </w:rPr>
        <w:t>R134a ORC 阶段性技术总结（热态母版定稿）</w:t>
      </w:r>
    </w:p>
    <w:p>
      <w:pPr>
        <w:pStyle w:val="MySubtitle"/>
        <w:spacing w:before="0" w:after="40" w:line="293" w:lineRule="auto"/>
        <w:jc w:val="center"/>
      </w:pPr>
      <w:r>
        <w:rPr>
          <w:rFonts w:ascii="Noto Sans CJK SC" w:hAnsi="Noto Sans CJK SC" w:eastAsia="Noto Sans CJK SC"/>
          <w:color w:val="5A6672"/>
          <w:sz w:val="21"/>
        </w:rPr>
        <w:t>覆盖冷态数值基线、真实换热开启、热源温度/流量边界与后续母版建议</w:t>
      </w:r>
    </w:p>
    <w:p>
      <w:pPr>
        <w:pStyle w:val="MySubtitle"/>
        <w:spacing w:before="0" w:after="240" w:line="293" w:lineRule="auto"/>
        <w:jc w:val="center"/>
      </w:pPr>
      <w:r>
        <w:rPr>
          <w:rFonts w:ascii="Noto Sans CJK SC" w:hAnsi="Noto Sans CJK SC" w:eastAsia="Noto Sans CJK SC"/>
          <w:color w:val="5A6672"/>
          <w:sz w:val="21"/>
        </w:rPr>
        <w:t>日期：2026-04-18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632"/>
            <w:shd w:fill="EE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93" w:lineRule="auto"/>
            </w:pPr>
            <w:r>
              <w:rPr>
                <w:rFonts w:ascii="Noto Sans CJK SC" w:hAnsi="Noto Sans CJK SC" w:eastAsia="Noto Sans CJK SC"/>
                <w:b/>
                <w:color w:val="19535F"/>
                <w:sz w:val="23"/>
              </w:rPr>
              <w:t>执行摘要</w:t>
            </w:r>
          </w:p>
          <w:p>
            <w:pPr>
              <w:pStyle w:val="Callout"/>
              <w:spacing w:before="0" w:after="0" w:line="293" w:lineRule="auto"/>
            </w:pPr>
            <w:r>
              <w:rPr>
                <w:rFonts w:ascii="Noto Sans CJK SC" w:hAnsi="Noto Sans CJK SC" w:eastAsia="Noto Sans CJK SC"/>
                <w:sz w:val="20"/>
              </w:rPr>
              <w:t>本阶段工作的核心结论已经从“模型是否接错/能否跑通”转向“在保留主回路与真实换热骨架的前提下，当前 R134a 单回路热启动模型的可稳定工作窗口在哪里”。冷态数值主病已经通过低压侧储能重构被有效压住；热态阶段则识别出一个窄稳定窗口：在 hotTDuration=150 s 条件下，热源终点温度 303.15 K 与 308.15 K 为健康工作点，而热源流量上限约为 hotM_ramp.height≈0.55，超过该值即难以稳定运行。现阶段推荐的热态母版为 303.15 K / 150 s / hotM_ramp.height=0.50。</w:t>
            </w:r>
          </w:p>
        </w:tc>
      </w:tr>
    </w:tbl>
    <w:p/>
    <w:p>
      <w:pPr>
        <w:pStyle w:val="H1"/>
        <w:spacing w:before="120" w:after="120" w:line="293" w:lineRule="auto"/>
      </w:pPr>
      <w:r>
        <w:rPr>
          <w:rFonts w:ascii="Noto Sans CJK SC" w:hAnsi="Noto Sans CJK SC" w:eastAsia="Noto Sans CJK SC"/>
          <w:b/>
          <w:color w:val="19535F"/>
          <w:sz w:val="28"/>
        </w:rPr>
        <w:t>1. 模型背景与阶段目标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sz w:val="21"/>
        </w:rPr>
        <w:t>当前对象为 R134a 单回路热启动模型（Step02_HotStart 语境），主拓扑保持为 pump → evaporator → mainValve → condenser → receiver，并通过 expansionTank(Boundary_ph) 与 expPipe 对低压侧进行锚定。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sz w:val="21"/>
        </w:rPr>
        <w:t>本轮工作的目标不是进一步“退化系统”换取数值便利，而是在保留双换热器、固定主阀、动态求解与常物性水侧的前提下，建立一个可复现、可扩展、可继续进入后续 ORC 结构验证的热态母版。</w:t>
      </w:r>
    </w:p>
    <w:p>
      <w:pPr>
        <w:pStyle w:val="H2"/>
        <w:spacing w:before="80" w:after="80" w:line="293" w:lineRule="auto"/>
      </w:pPr>
      <w:r>
        <w:rPr>
          <w:rFonts w:ascii="Noto Sans CJK SC" w:hAnsi="Noto Sans CJK SC" w:eastAsia="Noto Sans CJK SC"/>
          <w:b/>
          <w:sz w:val="23"/>
        </w:rPr>
        <w:t>1.1 当前冻结的基线参数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DEBF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模块</w:t>
            </w:r>
          </w:p>
        </w:tc>
        <w:tc>
          <w:tcPr>
            <w:tcW w:type="dxa" w:w="2408"/>
            <w:shd w:fill="DDEBF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参数</w:t>
            </w:r>
          </w:p>
        </w:tc>
        <w:tc>
          <w:tcPr>
            <w:tcW w:type="dxa" w:w="2408"/>
            <w:shd w:fill="DDEBF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当前值</w:t>
            </w:r>
          </w:p>
        </w:tc>
        <w:tc>
          <w:tcPr>
            <w:tcW w:type="dxa" w:w="2408"/>
            <w:shd w:fill="DDEBF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低压侧骨架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receiver.V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已验证为决定性优化；V=4/6/8 均不如 10。</w:t>
            </w:r>
          </w:p>
        </w:tc>
      </w:tr>
      <w:tr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低压侧边界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expPipe.length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0.5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已验证为甜点位；0.1 与 5.0 均更差。</w:t>
            </w:r>
          </w:p>
        </w:tc>
      </w:tr>
      <w:tr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主阀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valve_k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0.9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全开更差；当前开度提供了有效的数值阻尼。</w:t>
            </w:r>
          </w:p>
        </w:tc>
      </w:tr>
      <w:tr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热端时序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hotFlowStart / hotTStart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100 s / 150 s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先建流再升温，避免冷态与热端扰动完全重叠。</w:t>
            </w:r>
          </w:p>
        </w:tc>
      </w:tr>
      <w:tr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热端基线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hotTDuration / T_end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150 s / 303.15 K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推荐的保守热态母版工作点。</w:t>
            </w:r>
          </w:p>
        </w:tc>
      </w:tr>
      <w:tr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热端流量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hotM_ramp.height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0.50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已知 0.55 附近为当前结构上限。</w:t>
            </w:r>
          </w:p>
        </w:tc>
      </w:tr>
    </w:tbl>
    <w:p/>
    <w:p>
      <w:pPr>
        <w:pStyle w:val="H1"/>
        <w:spacing w:before="120" w:after="120" w:line="293" w:lineRule="auto"/>
      </w:pPr>
      <w:r>
        <w:rPr>
          <w:rFonts w:ascii="Noto Sans CJK SC" w:hAnsi="Noto Sans CJK SC" w:eastAsia="Noto Sans CJK SC"/>
          <w:b/>
          <w:color w:val="19535F"/>
          <w:sz w:val="28"/>
        </w:rPr>
        <w:t>2. 冷态数值基线与已证伪方向</w:t>
      </w:r>
    </w:p>
    <w:p>
      <w:pPr>
        <w:spacing w:before="0" w:after="100" w:line="293" w:lineRule="auto"/>
        <w:ind w:left="312"/>
      </w:pPr>
      <w:r>
        <w:rPr>
          <w:rFonts w:ascii="Noto Sans CJK SC" w:hAnsi="Noto Sans CJK SC" w:eastAsia="Noto Sans CJK SC"/>
          <w:sz w:val="21"/>
        </w:rPr>
        <w:t>• 冷态基线已通过 1000 s 长时验收，CPU time 约 26.889 s，可认为“可用而非勉强跑通”。</w:t>
      </w:r>
    </w:p>
    <w:p>
      <w:pPr>
        <w:spacing w:before="0" w:after="100" w:line="293" w:lineRule="auto"/>
        <w:ind w:left="312"/>
      </w:pPr>
      <w:r>
        <w:rPr>
          <w:rFonts w:ascii="Noto Sans CJK SC" w:hAnsi="Noto Sans CJK SC" w:eastAsia="Noto Sans CJK SC"/>
          <w:sz w:val="21"/>
        </w:rPr>
        <w:t>• 仅开启热源流量（不升温）同样通过 1000 s 验收，CPU time 约 28.74 s，说明热源流量接入本身不是主病。</w:t>
      </w:r>
    </w:p>
    <w:p>
      <w:pPr>
        <w:spacing w:before="0" w:after="100" w:line="293" w:lineRule="auto"/>
        <w:ind w:left="312"/>
      </w:pPr>
      <w:r>
        <w:rPr>
          <w:rFonts w:ascii="Noto Sans CJK SC" w:hAnsi="Noto Sans CJK SC" w:eastAsia="Noto Sans CJK SC"/>
          <w:sz w:val="21"/>
        </w:rPr>
        <w:t>• 以下方向已被实测证伪或不建议继续投入：momentumDynamics=SteadyState、主阀全开、继续软化 HX、继续扫描 expPipe.length、继续回扫中间 V。</w:t>
      </w:r>
    </w:p>
    <w:p>
      <w:pPr>
        <w:pStyle w:val="H2"/>
        <w:spacing w:before="80" w:after="80" w:line="293" w:lineRule="auto"/>
      </w:pPr>
      <w:r>
        <w:rPr>
          <w:rFonts w:ascii="Noto Sans CJK SC" w:hAnsi="Noto Sans CJK SC" w:eastAsia="Noto Sans CJK SC"/>
          <w:b/>
          <w:sz w:val="23"/>
        </w:rPr>
        <w:t>2.1 冷态阶段的核心解释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sz w:val="21"/>
        </w:rPr>
        <w:t>当前最可信的冷态机理是：低压侧储能不足导致启动前 1–4 s 的边界层刚度过大，而不是接线错误、主阀太小或快动量必须移除。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sz w:val="21"/>
        </w:rPr>
        <w:t>receiver.V 从 2 提高到 10 后，低压侧压力/焓导数被显著钝化，求解器得以更快跨过冷启动边界层；这也是为什么后续热态工作必须建立在 V=10 的冷态母版上。</w:t>
      </w:r>
    </w:p>
    <w:p>
      <w:pPr>
        <w:pStyle w:val="H1"/>
        <w:spacing w:before="120" w:after="120" w:line="293" w:lineRule="auto"/>
      </w:pPr>
      <w:r>
        <w:rPr>
          <w:rFonts w:ascii="Noto Sans CJK SC" w:hAnsi="Noto Sans CJK SC" w:eastAsia="Noto Sans CJK SC"/>
          <w:b/>
          <w:color w:val="19535F"/>
          <w:sz w:val="28"/>
        </w:rPr>
        <w:t>3. 真实换热开启后的阶段性发现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sz w:val="21"/>
        </w:rPr>
        <w:t>B 轮工作的重点从“速度是否进一步优化”切换为“真实换热开启后，热端稳定边界在哪里”。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sz w:val="21"/>
        </w:rPr>
        <w:t>先后完成了：仅热源流量接入验证、热源温度扫描、升温时长扫描、303.15 K/308.15 K 健康点对比，以及热源流量上限试探。</w:t>
      </w:r>
    </w:p>
    <w:p>
      <w:pPr>
        <w:pStyle w:val="H2"/>
        <w:spacing w:before="80" w:after="80" w:line="293" w:lineRule="auto"/>
      </w:pPr>
      <w:r>
        <w:rPr>
          <w:rFonts w:ascii="Noto Sans CJK SC" w:hAnsi="Noto Sans CJK SC" w:eastAsia="Noto Sans CJK SC"/>
          <w:b/>
          <w:sz w:val="23"/>
        </w:rPr>
        <w:t>3.1 升温时长 × 终点温度扫描结果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升温时长</w:t>
            </w:r>
          </w:p>
        </w:tc>
        <w:tc>
          <w:tcPr>
            <w:tcW w:type="dxa" w:w="2408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顺利工况</w:t>
            </w:r>
          </w:p>
        </w:tc>
        <w:tc>
          <w:tcPr>
            <w:tcW w:type="dxa" w:w="2408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很慢/临界工况</w:t>
            </w:r>
          </w:p>
        </w:tc>
        <w:tc>
          <w:tcPr>
            <w:tcW w:type="dxa" w:w="2408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解释</w:t>
            </w:r>
          </w:p>
        </w:tc>
      </w:tr>
      <w:tr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100 s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仅 293.15 K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其余点均很慢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升温斜率过大，热端扰动直接触发蒸发器热-流-物性重排。</w:t>
            </w:r>
          </w:p>
        </w:tc>
      </w:tr>
      <w:tr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150 s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293.15 / 303.15 / 308.15 K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298.15 K、313.15 K 很慢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中间窗口开始显现；过弱加热与过强加热都不理想。</w:t>
            </w:r>
          </w:p>
        </w:tc>
      </w:tr>
      <w:tr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200 s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298.15 / 303.15 / 308.15 K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293.15 K、313.15 K 很慢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斜率进一步降低后，弱加热点被慢慢带离边界层，但高温坏区仍存在。</w:t>
            </w:r>
          </w:p>
        </w:tc>
      </w:tr>
    </w:tbl>
    <w:p/>
    <w:p>
      <w:pPr>
        <w:pStyle w:val="H2"/>
        <w:spacing w:before="80" w:after="80" w:line="293" w:lineRule="auto"/>
      </w:pPr>
      <w:r>
        <w:rPr>
          <w:rFonts w:ascii="Noto Sans CJK SC" w:hAnsi="Noto Sans CJK SC" w:eastAsia="Noto Sans CJK SC"/>
          <w:b/>
          <w:sz w:val="23"/>
        </w:rPr>
        <w:t>3.2 现象背后的机理解释</w:t>
      </w:r>
    </w:p>
    <w:p>
      <w:pPr>
        <w:spacing w:before="0" w:after="100" w:line="293" w:lineRule="auto"/>
        <w:ind w:left="312"/>
      </w:pPr>
      <w:r>
        <w:rPr>
          <w:rFonts w:ascii="Noto Sans CJK SC" w:hAnsi="Noto Sans CJK SC" w:eastAsia="Noto Sans CJK SC"/>
          <w:b/>
          <w:color w:val="19535F"/>
          <w:sz w:val="21"/>
        </w:rPr>
        <w:t>弱加热边界层：</w:t>
      </w:r>
      <w:r>
        <w:rPr>
          <w:rFonts w:ascii="Noto Sans CJK SC" w:hAnsi="Noto Sans CJK SC" w:eastAsia="Noto Sans CJK SC"/>
          <w:sz w:val="21"/>
        </w:rPr>
        <w:t>• 298.15 K 一类工况并非“温度太高”，而是热端驱动力刚刚出现但又不足以迅速把系统带离近零换热区，求解器会在该边界层内反复试探，表现为仿真极慢。</w:t>
      </w:r>
    </w:p>
    <w:p>
      <w:pPr>
        <w:spacing w:before="0" w:after="100" w:line="293" w:lineRule="auto"/>
        <w:ind w:left="312"/>
      </w:pPr>
      <w:r>
        <w:rPr>
          <w:rFonts w:ascii="Noto Sans CJK SC" w:hAnsi="Noto Sans CJK SC" w:eastAsia="Noto Sans CJK SC"/>
          <w:b/>
          <w:color w:val="19535F"/>
          <w:sz w:val="21"/>
        </w:rPr>
        <w:t>强加热坏区：</w:t>
      </w:r>
      <w:r>
        <w:rPr>
          <w:rFonts w:ascii="Noto Sans CJK SC" w:hAnsi="Noto Sans CJK SC" w:eastAsia="Noto Sans CJK SC"/>
          <w:sz w:val="21"/>
        </w:rPr>
        <w:t>• 313.15 K 一类工况则属于热端过强。当前模型尚未接入真实膨胀机与负载链，多余热量更多体现为工质库存升焓和降密度，而不是被做功消耗，因此更容易进入热库存积累主导区。</w:t>
      </w:r>
    </w:p>
    <w:p>
      <w:pPr>
        <w:spacing w:before="0" w:after="100" w:line="293" w:lineRule="auto"/>
        <w:ind w:left="312"/>
      </w:pPr>
      <w:r>
        <w:rPr>
          <w:rFonts w:ascii="Noto Sans CJK SC" w:hAnsi="Noto Sans CJK SC" w:eastAsia="Noto Sans CJK SC"/>
          <w:b/>
          <w:color w:val="19535F"/>
          <w:sz w:val="21"/>
        </w:rPr>
        <w:t>斜率效应：</w:t>
      </w:r>
      <w:r>
        <w:rPr>
          <w:rFonts w:ascii="Noto Sans CJK SC" w:hAnsi="Noto Sans CJK SC" w:eastAsia="Noto Sans CJK SC"/>
          <w:sz w:val="21"/>
        </w:rPr>
        <w:t>• 同一个终点温度，若 hotTDuration 过短，会让蒸发器水侧、壁面与 R134a 侧同时快速偏离原冷态平衡，Jacobians 频繁重建，导致 100 s 档普遍很慢。</w:t>
      </w:r>
    </w:p>
    <w:p>
      <w:pPr>
        <w:spacing w:before="0" w:after="100" w:line="293" w:lineRule="auto"/>
        <w:ind w:left="312"/>
      </w:pPr>
      <w:r>
        <w:rPr>
          <w:rFonts w:ascii="Noto Sans CJK SC" w:hAnsi="Noto Sans CJK SC" w:eastAsia="Noto Sans CJK SC"/>
          <w:b/>
          <w:color w:val="19535F"/>
          <w:sz w:val="21"/>
        </w:rPr>
        <w:t>数值路径依赖：</w:t>
      </w:r>
      <w:r>
        <w:rPr>
          <w:rFonts w:ascii="Noto Sans CJK SC" w:hAnsi="Noto Sans CJK SC" w:eastAsia="Noto Sans CJK SC"/>
          <w:sz w:val="21"/>
        </w:rPr>
        <w:t>• 293.15 K 在个别时长下也出现很慢，更接近算法路径依赖与步长历史敏感，而不应解读为新的物理边界。</w:t>
      </w:r>
    </w:p>
    <w:p>
      <w:pPr>
        <w:pStyle w:val="H1"/>
        <w:spacing w:before="120" w:after="120" w:line="293" w:lineRule="auto"/>
      </w:pPr>
      <w:r>
        <w:rPr>
          <w:rFonts w:ascii="Noto Sans CJK SC" w:hAnsi="Noto Sans CJK SC" w:eastAsia="Noto Sans CJK SC"/>
          <w:b/>
          <w:color w:val="19535F"/>
          <w:sz w:val="28"/>
        </w:rPr>
        <w:t>4. 303.15 K 与 308.15 K 健康工况对比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sz w:val="21"/>
        </w:rPr>
        <w:t>在 hotTDuration=150 s 条件下，303.15 K 与 308.15 K 两个点均表现为健康运行点：蒸发器与冷凝器换热量平滑建立后进入平台，mainValve.m_flow 基本恒定，蒸发器与 receiver 压力均保持稳定。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sz w:val="21"/>
        </w:rPr>
        <w:t>两者的差别不在于“是否稳定”，而在于热库存抬升程度：308.15 K 下蒸发器吸热更高，receiver 焓更高、密度后段下降更明显，因此更接近当前热端上沿。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DEB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比较项</w:t>
            </w:r>
          </w:p>
        </w:tc>
        <w:tc>
          <w:tcPr>
            <w:tcW w:type="dxa" w:w="2408"/>
            <w:shd w:fill="DDEB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303.15 K</w:t>
            </w:r>
          </w:p>
        </w:tc>
        <w:tc>
          <w:tcPr>
            <w:tcW w:type="dxa" w:w="2408"/>
            <w:shd w:fill="DDEB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308.15 K</w:t>
            </w:r>
          </w:p>
        </w:tc>
        <w:tc>
          <w:tcPr>
            <w:tcW w:type="dxa" w:w="2408"/>
            <w:shd w:fill="DDEB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判断</w:t>
            </w:r>
          </w:p>
        </w:tc>
      </w:tr>
      <w:tr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蒸发器吸热平台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约 50 kW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约 58 kW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308.15 K 热驱动更强。</w:t>
            </w:r>
          </w:p>
        </w:tc>
      </w:tr>
      <w:tr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冷凝器放热平台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约 6.1 kW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约 6.5 kW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冷端也相应抬升，但幅度有限。</w:t>
            </w:r>
          </w:p>
        </w:tc>
      </w:tr>
      <w:tr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mainValve.m_flow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约 1.7 kg/s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约 1.7 kg/s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主回路通流能力几乎不变。</w:t>
            </w:r>
          </w:p>
        </w:tc>
      </w:tr>
      <w:tr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receiver 状态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焓值抬升较温和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焓值更高、密度下降更快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308.15 K 更靠近热库存上沿。</w:t>
            </w:r>
          </w:p>
        </w:tc>
      </w:tr>
      <w:tr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适用角色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保守母版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上沿参考点</w:t>
            </w:r>
          </w:p>
        </w:tc>
        <w:tc>
          <w:tcPr>
            <w:tcW w:type="dxa" w:w="2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不建议仅以 308.15 K 作为唯一母版。</w:t>
            </w:r>
          </w:p>
        </w:tc>
      </w:tr>
    </w:tbl>
    <w:p/>
    <w:p>
      <w:pPr>
        <w:pStyle w:val="H1"/>
        <w:spacing w:before="120" w:after="120" w:line="293" w:lineRule="auto"/>
      </w:pPr>
      <w:r>
        <w:rPr>
          <w:rFonts w:ascii="Noto Sans CJK SC" w:hAnsi="Noto Sans CJK SC" w:eastAsia="Noto Sans CJK SC"/>
          <w:b/>
          <w:color w:val="19535F"/>
          <w:sz w:val="28"/>
        </w:rPr>
        <w:t>5. 热源流量扫描结论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sz w:val="21"/>
        </w:rPr>
        <w:t>在 303.15 K 与 308.15 K 两条温度线上进行热源流量扫描后，结论高度一致：hotM_ramp.height 超过约 0.55 即难以稳定运行。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sz w:val="21"/>
        </w:rPr>
        <w:t>这说明当前结构下先撞到的限制不是温度本身，而是热源流量上限。流量继续上调后，系统无法把额外热量有效转化为更大的循环通流能力，只能体现为工质库存持续升焓与降密度，最终进入热库存积累主导区。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FCE4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热端母版点</w:t>
            </w:r>
          </w:p>
        </w:tc>
        <w:tc>
          <w:tcPr>
            <w:tcW w:type="dxa" w:w="3211"/>
            <w:shd w:fill="FCE4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  <w:tc>
          <w:tcPr>
            <w:tcW w:type="dxa" w:w="3211"/>
            <w:shd w:fill="FCE4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备注</w:t>
            </w:r>
          </w:p>
        </w:tc>
      </w:tr>
      <w:tr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303.15 K / hotM=0.50</w:t>
            </w:r>
          </w:p>
        </w:tc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推荐母版</w:t>
            </w:r>
          </w:p>
        </w:tc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稳健且留有余量，适合作为后续结构扩展起点。</w:t>
            </w:r>
          </w:p>
        </w:tc>
      </w:tr>
      <w:tr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308.15 K / hotM=0.50</w:t>
            </w:r>
          </w:p>
        </w:tc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上沿参考</w:t>
            </w:r>
          </w:p>
        </w:tc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可运行，但更接近热库存上边界。</w:t>
            </w:r>
          </w:p>
        </w:tc>
      </w:tr>
      <w:tr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任一温度线 / hotM&gt;0.55</w:t>
            </w:r>
          </w:p>
        </w:tc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不推荐</w:t>
            </w:r>
          </w:p>
        </w:tc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已触及当前结构上限，继续提高性价比很低。</w:t>
            </w:r>
          </w:p>
        </w:tc>
      </w:tr>
    </w:tbl>
    <w:p/>
    <w:p>
      <w:pPr>
        <w:pStyle w:val="H1"/>
        <w:spacing w:before="120" w:after="120" w:line="293" w:lineRule="auto"/>
      </w:pPr>
      <w:r>
        <w:rPr>
          <w:rFonts w:ascii="Noto Sans CJK SC" w:hAnsi="Noto Sans CJK SC" w:eastAsia="Noto Sans CJK SC"/>
          <w:b/>
          <w:color w:val="19535F"/>
          <w:sz w:val="28"/>
        </w:rPr>
        <w:t>6. 当前定稿建议与下一步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sz w:val="21"/>
        </w:rPr>
        <w:t>当前热态母版建议固定为：receiver.V=10，expPipe.length=0.5，valve_k=0.9，hotTDuration=150 s，终点温度 303.15 K，hotM_ramp.height=0.50。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sz w:val="21"/>
        </w:rPr>
        <w:t>308.15 K 可保留为上沿验证工况，用于判断模型离热端边界还有多少余量；但在未引入真实膨胀机与负载链之前，不建议将更高温度或更大热源流量作为长期工作点。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sz w:val="21"/>
        </w:rPr>
        <w:t>后续若继续推进，优先方向不是再做大范围参数乱扫，而是基于上述热态母版进入下一阶段结构验证，例如：接入更真实的膨胀/做功元件、检验高压岛是否真正建立、以及验证热量是否能从“库存升焓”转向“有效循环转换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632"/>
            <w:shd w:fill="F8F6E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93" w:lineRule="auto"/>
            </w:pPr>
            <w:r>
              <w:rPr>
                <w:rFonts w:ascii="Noto Sans CJK SC" w:hAnsi="Noto Sans CJK SC" w:eastAsia="Noto Sans CJK SC"/>
                <w:b/>
                <w:color w:val="7A4E00"/>
                <w:sz w:val="23"/>
              </w:rPr>
              <w:t>阶段性定稿结论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sz w:val="20"/>
              </w:rPr>
              <w:t>当前模型已经完成从“冷态可跑”到“热态有稳定窗口”的跨越。现阶段最重要的工程收获不是把热端一味推高，而是识别出一个可复现、可扩展、且具有明确边界的热态母版：303.15 K / 150 s / hotM_ramp.height=0.50。</w:t>
            </w:r>
          </w:p>
        </w:tc>
      </w:tr>
    </w:tbl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Normal"/>
    <w:rPr>
      <w:rFonts w:ascii="Noto Sans CJK SC" w:hAnsi="Noto Sans CJK SC" w:eastAsia="Noto Sans CJK SC"/>
      <w:b/>
      <w:color w:val="13375C"/>
      <w:sz w:val="40"/>
    </w:rPr>
  </w:style>
  <w:style w:type="paragraph" w:customStyle="1" w:styleId="MySubtitle">
    <w:name w:val="MySubtitle"/>
    <w:basedOn w:val="Normal"/>
    <w:rPr>
      <w:rFonts w:ascii="Noto Sans CJK SC" w:hAnsi="Noto Sans CJK SC" w:eastAsia="Noto Sans CJK SC"/>
      <w:b w:val="0"/>
      <w:color w:val="5A6672"/>
      <w:sz w:val="21"/>
    </w:rPr>
  </w:style>
  <w:style w:type="paragraph" w:customStyle="1" w:styleId="H1">
    <w:name w:val="H1"/>
    <w:basedOn w:val="Normal"/>
    <w:rPr>
      <w:rFonts w:ascii="Noto Sans CJK SC" w:hAnsi="Noto Sans CJK SC" w:eastAsia="Noto Sans CJK SC"/>
      <w:b/>
      <w:color w:val="19535F"/>
      <w:sz w:val="28"/>
    </w:rPr>
  </w:style>
  <w:style w:type="paragraph" w:customStyle="1" w:styleId="H2">
    <w:name w:val="H2"/>
    <w:basedOn w:val="Normal"/>
    <w:rPr>
      <w:rFonts w:ascii="Noto Sans CJK SC" w:hAnsi="Noto Sans CJK SC" w:eastAsia="Noto Sans CJK SC"/>
      <w:b/>
      <w:color w:val="222222"/>
      <w:sz w:val="23"/>
    </w:rPr>
  </w:style>
  <w:style w:type="paragraph" w:customStyle="1" w:styleId="Callout">
    <w:name w:val="Callout"/>
    <w:basedOn w:val="Normal"/>
    <w:rPr>
      <w:rFonts w:ascii="Noto Sans CJK SC" w:hAnsi="Noto Sans CJK SC" w:eastAsia="Noto Sans CJK SC"/>
      <w:b w:val="0"/>
      <w:color w:val="22222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