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jc w:val="center"/>
      </w:pPr>
      <w:r>
        <w:rPr>
          <w:rFonts w:ascii="Noto Sans CJK SC" w:hAnsi="Noto Sans CJK SC" w:eastAsia="Noto Sans CJK SC"/>
        </w:rPr>
        <w:t>透平回归阶段测试总结</w:t>
      </w:r>
    </w:p>
    <w:p>
      <w:pPr>
        <w:pStyle w:val="DocSubtitle"/>
        <w:jc w:val="center"/>
      </w:pPr>
      <w:r>
        <w:rPr>
          <w:rFonts w:ascii="Noto Sans CJK SC" w:hAnsi="Noto Sans CJK SC" w:eastAsia="Noto Sans CJK SC"/>
        </w:rPr>
        <w:t>适用模型：R134a_ORC_Step03_C1_MinOnlineTurbine_Fixed</w:t>
      </w:r>
      <w:r>
        <w:br/>
      </w:r>
      <w:r>
        <w:rPr>
          <w:rFonts w:ascii="Noto Sans CJK SC" w:hAnsi="Noto Sans CJK SC" w:eastAsia="Noto Sans CJK SC"/>
        </w:rPr>
        <w:t>主题：透平在线接入、参数扫描、判据收敛与当前冻结基线</w:t>
      </w:r>
      <w:r>
        <w:br/>
      </w:r>
      <w:r>
        <w:rPr>
          <w:rFonts w:ascii="Noto Sans CJK SC" w:hAnsi="Noto Sans CJK SC" w:eastAsia="Noto Sans CJK SC"/>
        </w:rPr>
        <w:t>版本：阶段整理稿</w:t>
      </w:r>
      <w:r>
        <w:br/>
      </w:r>
    </w:p>
    <w:tbl>
      <w:tblPr>
        <w:tblW w:type="auto" w:w="0"/>
        <w:jc w:val="center"/>
        <w:tblLayout w:type="fixed"/>
        <w:tblLook w:firstColumn="1" w:firstRow="1" w:lastColumn="0" w:lastRow="0" w:noHBand="0" w:noVBand="1" w:val="04A0"/>
      </w:tblPr>
      <w:tblGrid>
        <w:gridCol w:w="8957"/>
      </w:tblGrid>
      <w:tr>
        <w:tc>
          <w:tcPr>
            <w:tcW w:type="dxa" w:w="9632"/>
            <w:shd w:fill="EAF2F8"/>
            <w:tcMar>
              <w:top w:w="120" w:type="dxa"/>
              <w:start w:w="140" w:type="dxa"/>
              <w:bottom w:w="120" w:type="dxa"/>
              <w:end w:w="140" w:type="dxa"/>
            </w:tcMar>
            <w:vAlign w:val="center"/>
          </w:tcPr>
          <w:p>
            <w:pPr>
              <w:spacing w:before="0" w:after="40" w:line="283" w:lineRule="auto"/>
            </w:pPr>
            <w:r>
              <w:rPr>
                <w:rFonts w:ascii="Noto Sans CJK SC" w:hAnsi="Noto Sans CJK SC" w:eastAsia="Noto Sans CJK SC"/>
                <w:sz w:val="20"/>
              </w:rPr>
              <w:t>• 阶段结论：C1 轮“透平最小在线接入”目标已经完成。系统可稳定通过 0 s，并能在 1000–2000 s 窗口内保持热侧母版连续运行。</w:t>
            </w:r>
          </w:p>
          <w:p>
            <w:pPr>
              <w:spacing w:before="0" w:after="40" w:line="283" w:lineRule="auto"/>
            </w:pPr>
            <w:r>
              <w:rPr>
                <w:rFonts w:ascii="Noto Sans CJK SC" w:hAnsi="Noto Sans CJK SC" w:eastAsia="Noto Sans CJK SC"/>
                <w:sz w:val="20"/>
              </w:rPr>
              <w:t>• 当前最稳妥冻结基线：valve_k = 0.5，turbineInValveRamp.startTime = 500 s，duration = 50 s（100 s 作为保守备份），V_s 暂维持 300e-6 m³。</w:t>
            </w:r>
          </w:p>
          <w:p>
            <w:pPr>
              <w:spacing w:before="0" w:after="40" w:line="283" w:lineRule="auto"/>
            </w:pPr>
            <w:r>
              <w:rPr>
                <w:rFonts w:ascii="Noto Sans CJK SC" w:hAnsi="Noto Sans CJK SC" w:eastAsia="Noto Sans CJK SC"/>
                <w:sz w:val="20"/>
              </w:rPr>
              <w:t>• 方法论结论：后续不应继续深挖启机参数，而应转入 C2 的“负载接入 + 旁路收缩”验证。</w:t>
            </w:r>
          </w:p>
        </w:tc>
      </w:tr>
    </w:tbl>
    <w:p/>
    <w:p>
      <w:pPr>
        <w:pStyle w:val="Heading1"/>
        <w:spacing w:before="160" w:after="80" w:line="264" w:lineRule="auto"/>
      </w:pPr>
      <w:r>
        <w:rPr>
          <w:rFonts w:ascii="Noto Sans CJK SC" w:hAnsi="Noto Sans CJK SC" w:eastAsia="Noto Sans CJK SC"/>
        </w:rPr>
        <w:t>1. 阶段目标与回归边界</w:t>
      </w:r>
    </w:p>
    <w:p>
      <w:pPr>
        <w:spacing w:before="0" w:after="80" w:line="307" w:lineRule="auto"/>
      </w:pPr>
      <w:r>
        <w:rPr>
          <w:rFonts w:ascii="Noto Sans CJK SC" w:hAnsi="Noto Sans CJK SC" w:eastAsia="Noto Sans CJK SC"/>
        </w:rPr>
        <w:t>本轮“透平回归”不是为了直接追求高发电功率，而是为了验证透平支路能否在不破坏现有热侧母版的前提下稳定上线，并把影响收敛到一套可冻结、可复现实验基线。</w:t>
      </w:r>
    </w:p>
    <w:p>
      <w:pPr>
        <w:spacing w:before="0" w:after="60" w:line="293" w:lineRule="auto"/>
        <w:ind w:left="227" w:hanging="227"/>
      </w:pPr>
      <w:r>
        <w:rPr>
          <w:rFonts w:ascii="Noto Sans CJK SC" w:hAnsi="Noto Sans CJK SC" w:eastAsia="Noto Sans CJK SC"/>
        </w:rPr>
        <w:t>• 验证透平支路接入后，模型能稳定通过 0 s 初始化与后续长时段积分。</w:t>
      </w:r>
    </w:p>
    <w:p>
      <w:pPr>
        <w:spacing w:before="0" w:after="60" w:line="293" w:lineRule="auto"/>
        <w:ind w:left="227" w:hanging="227"/>
      </w:pPr>
      <w:r>
        <w:rPr>
          <w:rFonts w:ascii="Noto Sans CJK SC" w:hAnsi="Noto Sans CJK SC" w:eastAsia="Noto Sans CJK SC"/>
        </w:rPr>
        <w:t>• 在保持主旁路可工作的前提下，让透平支路逐步接管一部分工质，而不触发新的数值硬点。</w:t>
      </w:r>
    </w:p>
    <w:p>
      <w:pPr>
        <w:spacing w:before="0" w:after="60" w:line="293" w:lineRule="auto"/>
        <w:ind w:left="227" w:hanging="227"/>
      </w:pPr>
      <w:r>
        <w:rPr>
          <w:rFonts w:ascii="Noto Sans CJK SC" w:hAnsi="Noto Sans CJK SC" w:eastAsia="Noto Sans CJK SC"/>
        </w:rPr>
        <w:t>• 通过单变量扫描识别“可运行、可复现、可继续扩展”的参数窗口，为下一阶段 C2 的负载接入做准备。</w:t>
      </w:r>
    </w:p>
    <w:p>
      <w:pPr>
        <w:pStyle w:val="Heading1"/>
        <w:spacing w:before="160" w:after="80" w:line="264" w:lineRule="auto"/>
      </w:pPr>
      <w:r>
        <w:rPr>
          <w:rFonts w:ascii="Noto Sans CJK SC" w:hAnsi="Noto Sans CJK SC" w:eastAsia="Noto Sans CJK SC"/>
        </w:rPr>
        <w:t>2. 模型对象与当前拓扑认识</w:t>
      </w:r>
    </w:p>
    <w:p>
      <w:pPr>
        <w:spacing w:before="0" w:after="80" w:line="307" w:lineRule="auto"/>
      </w:pPr>
      <w:r>
        <w:rPr>
          <w:rFonts w:ascii="Noto Sans CJK SC" w:hAnsi="Noto Sans CJK SC" w:eastAsia="Noto Sans CJK SC"/>
        </w:rPr>
        <w:t>当前回归对象为 R134a_ORC_Step03_C1_MinOnlineTurbine_Fixed。系统采用“主旁路 + 透平支路并联”的接入方式，透平入口前保留小前室（plenum）以维持 V–F–V 链条，透平出口直接并回低压侧。</w:t>
      </w:r>
    </w:p>
    <w:p>
      <w:pPr>
        <w:spacing w:before="0" w:after="60" w:line="293" w:lineRule="auto"/>
        <w:ind w:left="227" w:hanging="227"/>
      </w:pPr>
      <w:r>
        <w:rPr>
          <w:rFonts w:ascii="Noto Sans CJK SC" w:hAnsi="Noto Sans CJK SC" w:eastAsia="Noto Sans CJK SC"/>
        </w:rPr>
        <w:t>• 主旁路继续承担系统的“保底通流”职责，保证热侧母版先稳住。</w:t>
      </w:r>
    </w:p>
    <w:p>
      <w:pPr>
        <w:spacing w:before="0" w:after="60" w:line="293" w:lineRule="auto"/>
        <w:ind w:left="227" w:hanging="227"/>
      </w:pPr>
      <w:r>
        <w:rPr>
          <w:rFonts w:ascii="Noto Sans CJK SC" w:hAnsi="Noto Sans CJK SC" w:eastAsia="Noto Sans CJK SC"/>
        </w:rPr>
        <w:t>• 透平入口阀负责控制支路上线时刻与上线强度。</w:t>
      </w:r>
    </w:p>
    <w:p>
      <w:pPr>
        <w:spacing w:before="0" w:after="60" w:line="293" w:lineRule="auto"/>
        <w:ind w:left="227" w:hanging="227"/>
      </w:pPr>
      <w:r>
        <w:rPr>
          <w:rFonts w:ascii="Noto Sans CJK SC" w:hAnsi="Noto Sans CJK SC" w:eastAsia="Noto Sans CJK SC"/>
        </w:rPr>
        <w:t>• 透平前室保留为必要的缓冲容积；现阶段不再额外引入新的 V–V 冗余容积。</w:t>
      </w:r>
    </w:p>
    <w:p>
      <w:pPr>
        <w:spacing w:before="0" w:after="60" w:line="293" w:lineRule="auto"/>
        <w:ind w:left="227" w:hanging="227"/>
      </w:pPr>
      <w:r>
        <w:rPr>
          <w:rFonts w:ascii="Noto Sans CJK SC" w:hAnsi="Noto Sans CJK SC" w:eastAsia="Noto Sans CJK SC"/>
        </w:rPr>
        <w:t>• 机械链保持最小化：透平—惯量—阻尼—固定端。当前阶段暂不引入控制器。</w:t>
      </w:r>
    </w:p>
    <w:p>
      <w:pPr>
        <w:pStyle w:val="Heading2"/>
        <w:spacing w:before="120" w:after="60" w:line="259" w:lineRule="auto"/>
      </w:pPr>
      <w:r>
        <w:rPr>
          <w:rFonts w:ascii="Noto Sans CJK SC" w:hAnsi="Noto Sans CJK SC" w:eastAsia="Noto Sans CJK SC"/>
        </w:rPr>
        <w:t>2.1 从 C0 到 C1 的认识</w:t>
      </w:r>
    </w:p>
    <w:p>
      <w:pPr>
        <w:spacing w:before="0" w:after="80" w:line="307" w:lineRule="auto"/>
      </w:pPr>
      <w:r>
        <w:rPr>
          <w:rFonts w:ascii="Noto Sans CJK SC" w:hAnsi="Noto Sans CJK SC" w:eastAsia="Noto Sans CJK SC"/>
        </w:rPr>
        <w:t>C0 单机台架证明了透平白盒模型本体可以稳定运行，但它并不能自动保证系统级并联接入成功。真正的难点来自系统拓扑、stream 语义以及支路上线瞬态。</w:t>
      </w:r>
    </w:p>
    <w:p>
      <w:pPr>
        <w:spacing w:before="0" w:after="80" w:line="307" w:lineRule="auto"/>
      </w:pPr>
      <w:r>
        <w:rPr>
          <w:rFonts w:ascii="Noto Sans CJK SC" w:hAnsi="Noto Sans CJK SC" w:eastAsia="Noto Sans CJK SC"/>
        </w:rPr>
        <w:t>C1_FIXED 的意义在于：在成功热态母版上把透平支路重新收敛为“可稳定上线的最小扰动支路”，并用扫描把参数窗口摸出来。</w:t>
      </w:r>
    </w:p>
    <w:p>
      <w:pPr>
        <w:pStyle w:val="Heading1"/>
        <w:spacing w:before="160" w:after="80" w:line="264" w:lineRule="auto"/>
      </w:pPr>
      <w:r>
        <w:rPr>
          <w:rFonts w:ascii="Noto Sans CJK SC" w:hAnsi="Noto Sans CJK SC" w:eastAsia="Noto Sans CJK SC"/>
        </w:rPr>
        <w:t>3. 回归过程中确认的关键技术结论</w:t>
      </w:r>
    </w:p>
    <w:p>
      <w:pPr>
        <w:spacing w:before="0" w:after="60" w:line="293" w:lineRule="auto"/>
        <w:ind w:left="227" w:hanging="227"/>
      </w:pPr>
      <w:r>
        <w:rPr>
          <w:rFonts w:ascii="Noto Sans CJK SC" w:hAnsi="Noto Sans CJK SC" w:eastAsia="Noto Sans CJK SC"/>
        </w:rPr>
        <w:t>• 透平回归的核心不是“把阀开大”，而是先把在线过程做成数值上温和的相变支路接入。</w:t>
      </w:r>
    </w:p>
    <w:p>
      <w:pPr>
        <w:spacing w:before="0" w:after="60" w:line="293" w:lineRule="auto"/>
        <w:ind w:left="227" w:hanging="227"/>
      </w:pPr>
      <w:r>
        <w:rPr>
          <w:rFonts w:ascii="Noto Sans CJK SC" w:hAnsi="Noto Sans CJK SC" w:eastAsia="Noto Sans CJK SC"/>
        </w:rPr>
        <w:t>• 对当前模型来说，主旁路仍是系统稳定性的主要保障；透平支路是在其上逐步提高参与度。</w:t>
      </w:r>
    </w:p>
    <w:p>
      <w:pPr>
        <w:spacing w:before="0" w:after="60" w:line="293" w:lineRule="auto"/>
        <w:ind w:left="227" w:hanging="227"/>
      </w:pPr>
      <w:r>
        <w:rPr>
          <w:rFonts w:ascii="Noto Sans CJK SC" w:hAnsi="Noto Sans CJK SC" w:eastAsia="Noto Sans CJK SC"/>
        </w:rPr>
        <w:t>• 在 near-zero-flow 区间，stream 变量（尤其 port_in.h_outflow / port_out.h_outflow）可能出现极大或极小的非物理数值，这属于 stream 语义在零流附近的占位结果，不能直接拿来当物理判据。</w:t>
      </w:r>
    </w:p>
    <w:p>
      <w:pPr>
        <w:spacing w:before="0" w:after="60" w:line="293" w:lineRule="auto"/>
        <w:ind w:left="227" w:hanging="227"/>
      </w:pPr>
      <w:r>
        <w:rPr>
          <w:rFonts w:ascii="Noto Sans CJK SC" w:hAnsi="Noto Sans CJK SC" w:eastAsia="Noto Sans CJK SC"/>
        </w:rPr>
        <w:t>• 因此，验收时应优先看 receiver.medium.p/h/d、蒸发器换热量、透平真实质量流量、轴速、功率和透平两端压差，而不是盯着 h_outflow 的瞬时尖峰。</w:t>
      </w:r>
    </w:p>
    <w:p>
      <w:pPr>
        <w:pStyle w:val="Heading1"/>
        <w:spacing w:before="160" w:after="80" w:line="264" w:lineRule="auto"/>
      </w:pPr>
      <w:r>
        <w:rPr>
          <w:rFonts w:ascii="Noto Sans CJK SC" w:hAnsi="Noto Sans CJK SC" w:eastAsia="Noto Sans CJK SC"/>
        </w:rPr>
        <w:t>4. 参数扫描回归结果</w:t>
      </w:r>
    </w:p>
    <w:p>
      <w:pPr>
        <w:pStyle w:val="Heading2"/>
        <w:spacing w:before="120" w:after="60" w:line="259" w:lineRule="auto"/>
      </w:pPr>
      <w:r>
        <w:rPr>
          <w:rFonts w:ascii="Noto Sans CJK SC" w:hAnsi="Noto Sans CJK SC" w:eastAsia="Noto Sans CJK SC"/>
        </w:rPr>
        <w:t>4.1 回归扫描总表</w:t>
      </w:r>
    </w:p>
    <w:tbl>
      <w:tblPr>
        <w:tblStyle w:val="TableGrid"/>
        <w:tblW w:type="auto" w:w="0"/>
        <w:jc w:val="center"/>
        <w:tblLook w:firstColumn="1" w:firstRow="1" w:lastColumn="0" w:lastRow="0" w:noHBand="0" w:noVBand="1" w:val="04A0"/>
      </w:tblPr>
      <w:tblGrid>
        <w:gridCol w:w="1701"/>
        <w:gridCol w:w="2438"/>
        <w:gridCol w:w="3458"/>
        <w:gridCol w:w="1701"/>
      </w:tblGrid>
      <w:tr>
        <w:tc>
          <w:tcPr>
            <w:tcW w:type="dxa" w:w="2408"/>
            <w:shd w:fill="D9E7F5"/>
            <w:tcMar>
              <w:top w:w="90" w:type="dxa"/>
              <w:start w:w="100" w:type="dxa"/>
              <w:bottom w:w="90" w:type="dxa"/>
              <w:end w:w="100" w:type="dxa"/>
            </w:tcMar>
            <w:vAlign w:val="center"/>
          </w:tcPr>
          <w:p>
            <w:pPr>
              <w:jc w:val="center"/>
            </w:pPr>
            <w:r>
              <w:rPr>
                <w:rFonts w:ascii="Noto Sans CJK SC" w:hAnsi="Noto Sans CJK SC" w:eastAsia="Noto Sans CJK SC"/>
                <w:b/>
                <w:sz w:val="19"/>
              </w:rPr>
              <w:t>扫描项</w:t>
            </w:r>
          </w:p>
        </w:tc>
        <w:tc>
          <w:tcPr>
            <w:tcW w:type="dxa" w:w="2408"/>
            <w:shd w:fill="D9E7F5"/>
            <w:tcMar>
              <w:top w:w="90" w:type="dxa"/>
              <w:start w:w="100" w:type="dxa"/>
              <w:bottom w:w="90" w:type="dxa"/>
              <w:end w:w="100" w:type="dxa"/>
            </w:tcMar>
            <w:vAlign w:val="center"/>
          </w:tcPr>
          <w:p>
            <w:pPr>
              <w:jc w:val="center"/>
            </w:pPr>
            <w:r>
              <w:rPr>
                <w:rFonts w:ascii="Noto Sans CJK SC" w:hAnsi="Noto Sans CJK SC" w:eastAsia="Noto Sans CJK SC"/>
                <w:b/>
                <w:sz w:val="19"/>
              </w:rPr>
              <w:t>范围 / 代表工况</w:t>
            </w:r>
          </w:p>
        </w:tc>
        <w:tc>
          <w:tcPr>
            <w:tcW w:type="dxa" w:w="2408"/>
            <w:shd w:fill="D9E7F5"/>
            <w:tcMar>
              <w:top w:w="90" w:type="dxa"/>
              <w:start w:w="100" w:type="dxa"/>
              <w:bottom w:w="90" w:type="dxa"/>
              <w:end w:w="100" w:type="dxa"/>
            </w:tcMar>
            <w:vAlign w:val="center"/>
          </w:tcPr>
          <w:p>
            <w:pPr>
              <w:jc w:val="center"/>
            </w:pPr>
            <w:r>
              <w:rPr>
                <w:rFonts w:ascii="Noto Sans CJK SC" w:hAnsi="Noto Sans CJK SC" w:eastAsia="Noto Sans CJK SC"/>
                <w:b/>
                <w:sz w:val="19"/>
              </w:rPr>
              <w:t>主要现象</w:t>
            </w:r>
          </w:p>
        </w:tc>
        <w:tc>
          <w:tcPr>
            <w:tcW w:type="dxa" w:w="2408"/>
            <w:shd w:fill="D9E7F5"/>
            <w:tcMar>
              <w:top w:w="90" w:type="dxa"/>
              <w:start w:w="100" w:type="dxa"/>
              <w:bottom w:w="90" w:type="dxa"/>
              <w:end w:w="100" w:type="dxa"/>
            </w:tcMar>
            <w:vAlign w:val="center"/>
          </w:tcPr>
          <w:p>
            <w:pPr>
              <w:jc w:val="center"/>
            </w:pPr>
            <w:r>
              <w:rPr>
                <w:rFonts w:ascii="Noto Sans CJK SC" w:hAnsi="Noto Sans CJK SC" w:eastAsia="Noto Sans CJK SC"/>
                <w:b/>
                <w:sz w:val="19"/>
              </w:rPr>
              <w:t>阶段结论</w:t>
            </w:r>
          </w:p>
        </w:tc>
      </w:tr>
      <w:tr>
        <w:tc>
          <w:tcPr>
            <w:tcW w:type="dxa" w:w="1701"/>
            <w:tcMar>
              <w:top w:w="90" w:type="dxa"/>
              <w:start w:w="100" w:type="dxa"/>
              <w:bottom w:w="90" w:type="dxa"/>
              <w:end w:w="100" w:type="dxa"/>
            </w:tcMar>
            <w:vAlign w:val="center"/>
          </w:tcPr>
          <w:p>
            <w:pPr>
              <w:jc w:val="center"/>
            </w:pPr>
            <w:r>
              <w:rPr>
                <w:rFonts w:ascii="Noto Sans CJK SC" w:hAnsi="Noto Sans CJK SC" w:eastAsia="Noto Sans CJK SC"/>
                <w:sz w:val="18"/>
              </w:rPr>
              <w:t>主旁路开度</w:t>
              <w:br/>
              <w:t>valve_k</w:t>
            </w:r>
          </w:p>
        </w:tc>
        <w:tc>
          <w:tcPr>
            <w:tcW w:type="dxa" w:w="2438"/>
            <w:tcMar>
              <w:top w:w="90" w:type="dxa"/>
              <w:start w:w="100" w:type="dxa"/>
              <w:bottom w:w="90" w:type="dxa"/>
              <w:end w:w="100" w:type="dxa"/>
            </w:tcMar>
            <w:vAlign w:val="center"/>
          </w:tcPr>
          <w:p>
            <w:pPr>
              <w:jc w:val="center"/>
            </w:pPr>
            <w:r>
              <w:rPr>
                <w:rFonts w:ascii="Noto Sans CJK SC" w:hAnsi="Noto Sans CJK SC" w:eastAsia="Noto Sans CJK SC"/>
                <w:sz w:val="18"/>
              </w:rPr>
              <w:t>0.9 / 0.8 / 0.7 / 0.6 / 0.5</w:t>
            </w:r>
          </w:p>
        </w:tc>
        <w:tc>
          <w:tcPr>
            <w:tcW w:type="dxa" w:w="3458"/>
            <w:tcMar>
              <w:top w:w="90" w:type="dxa"/>
              <w:start w:w="100" w:type="dxa"/>
              <w:bottom w:w="90" w:type="dxa"/>
              <w:end w:w="100" w:type="dxa"/>
            </w:tcMar>
            <w:vAlign w:val="center"/>
          </w:tcPr>
          <w:p>
            <w:pPr>
              <w:jc w:val="left"/>
            </w:pPr>
            <w:r>
              <w:rPr>
                <w:rFonts w:ascii="Noto Sans CJK SC" w:hAnsi="Noto Sans CJK SC" w:eastAsia="Noto Sans CJK SC"/>
                <w:sz w:val="18"/>
              </w:rPr>
              <w:t>开度减小时，主旁路流量下降，透平流量、轴速和输出提升；但 0.4 以下数值代价明显变高，0.3、0.2 已不适合作为现阶段基线。</w:t>
            </w:r>
          </w:p>
        </w:tc>
        <w:tc>
          <w:tcPr>
            <w:tcW w:type="dxa" w:w="1701"/>
            <w:tcMar>
              <w:top w:w="90" w:type="dxa"/>
              <w:start w:w="100" w:type="dxa"/>
              <w:bottom w:w="90" w:type="dxa"/>
              <w:end w:w="100" w:type="dxa"/>
            </w:tcMar>
            <w:vAlign w:val="center"/>
          </w:tcPr>
          <w:p>
            <w:pPr>
              <w:jc w:val="center"/>
            </w:pPr>
            <w:r>
              <w:rPr>
                <w:rFonts w:ascii="Noto Sans CJK SC" w:hAnsi="Noto Sans CJK SC" w:eastAsia="Noto Sans CJK SC"/>
                <w:sz w:val="18"/>
              </w:rPr>
              <w:t>0.5 最平衡</w:t>
            </w:r>
          </w:p>
        </w:tc>
      </w:tr>
      <w:tr>
        <w:tc>
          <w:tcPr>
            <w:tcW w:type="dxa" w:w="1701"/>
            <w:tcMar>
              <w:top w:w="90" w:type="dxa"/>
              <w:start w:w="100" w:type="dxa"/>
              <w:bottom w:w="90" w:type="dxa"/>
              <w:end w:w="100" w:type="dxa"/>
            </w:tcMar>
            <w:vAlign w:val="center"/>
          </w:tcPr>
          <w:p>
            <w:pPr>
              <w:jc w:val="center"/>
            </w:pPr>
            <w:r>
              <w:rPr>
                <w:rFonts w:ascii="Noto Sans CJK SC" w:hAnsi="Noto Sans CJK SC" w:eastAsia="Noto Sans CJK SC"/>
                <w:sz w:val="18"/>
              </w:rPr>
              <w:t>透平上线时刻</w:t>
              <w:br/>
              <w:t>startTime</w:t>
            </w:r>
          </w:p>
        </w:tc>
        <w:tc>
          <w:tcPr>
            <w:tcW w:type="dxa" w:w="2438"/>
            <w:tcMar>
              <w:top w:w="90" w:type="dxa"/>
              <w:start w:w="100" w:type="dxa"/>
              <w:bottom w:w="90" w:type="dxa"/>
              <w:end w:w="100" w:type="dxa"/>
            </w:tcMar>
            <w:vAlign w:val="center"/>
          </w:tcPr>
          <w:p>
            <w:pPr>
              <w:jc w:val="center"/>
            </w:pPr>
            <w:r>
              <w:rPr>
                <w:rFonts w:ascii="Noto Sans CJK SC" w:hAnsi="Noto Sans CJK SC" w:eastAsia="Noto Sans CJK SC"/>
                <w:sz w:val="18"/>
              </w:rPr>
              <w:t>300 / 500 / 700 / 900 s</w:t>
            </w:r>
          </w:p>
        </w:tc>
        <w:tc>
          <w:tcPr>
            <w:tcW w:type="dxa" w:w="3458"/>
            <w:tcMar>
              <w:top w:w="90" w:type="dxa"/>
              <w:start w:w="100" w:type="dxa"/>
              <w:bottom w:w="90" w:type="dxa"/>
              <w:end w:w="100" w:type="dxa"/>
            </w:tcMar>
            <w:vAlign w:val="center"/>
          </w:tcPr>
          <w:p>
            <w:pPr>
              <w:jc w:val="left"/>
            </w:pPr>
            <w:r>
              <w:rPr>
                <w:rFonts w:ascii="Noto Sans CJK SC" w:hAnsi="Noto Sans CJK SC" w:eastAsia="Noto Sans CJK SC"/>
                <w:sz w:val="18"/>
              </w:rPr>
              <w:t>热侧母版曲线几乎重合；变化主要体现为透平上线被整体右移，最终稳态差别很小。</w:t>
            </w:r>
          </w:p>
        </w:tc>
        <w:tc>
          <w:tcPr>
            <w:tcW w:type="dxa" w:w="1701"/>
            <w:tcMar>
              <w:top w:w="90" w:type="dxa"/>
              <w:start w:w="100" w:type="dxa"/>
              <w:bottom w:w="90" w:type="dxa"/>
              <w:end w:w="100" w:type="dxa"/>
            </w:tcMar>
            <w:vAlign w:val="center"/>
          </w:tcPr>
          <w:p>
            <w:pPr>
              <w:jc w:val="center"/>
            </w:pPr>
            <w:r>
              <w:rPr>
                <w:rFonts w:ascii="Noto Sans CJK SC" w:hAnsi="Noto Sans CJK SC" w:eastAsia="Noto Sans CJK SC"/>
                <w:sz w:val="18"/>
              </w:rPr>
              <w:t>500 s 合适</w:t>
            </w:r>
          </w:p>
        </w:tc>
      </w:tr>
      <w:tr>
        <w:tc>
          <w:tcPr>
            <w:tcW w:type="dxa" w:w="1701"/>
            <w:tcMar>
              <w:top w:w="90" w:type="dxa"/>
              <w:start w:w="100" w:type="dxa"/>
              <w:bottom w:w="90" w:type="dxa"/>
              <w:end w:w="100" w:type="dxa"/>
            </w:tcMar>
            <w:vAlign w:val="center"/>
          </w:tcPr>
          <w:p>
            <w:pPr>
              <w:jc w:val="center"/>
            </w:pPr>
            <w:r>
              <w:rPr>
                <w:rFonts w:ascii="Noto Sans CJK SC" w:hAnsi="Noto Sans CJK SC" w:eastAsia="Noto Sans CJK SC"/>
                <w:sz w:val="18"/>
              </w:rPr>
              <w:t>透平开阀时长</w:t>
              <w:br/>
              <w:t>duration</w:t>
            </w:r>
          </w:p>
        </w:tc>
        <w:tc>
          <w:tcPr>
            <w:tcW w:type="dxa" w:w="2438"/>
            <w:tcMar>
              <w:top w:w="90" w:type="dxa"/>
              <w:start w:w="100" w:type="dxa"/>
              <w:bottom w:w="90" w:type="dxa"/>
              <w:end w:w="100" w:type="dxa"/>
            </w:tcMar>
            <w:vAlign w:val="center"/>
          </w:tcPr>
          <w:p>
            <w:pPr>
              <w:jc w:val="center"/>
            </w:pPr>
            <w:r>
              <w:rPr>
                <w:rFonts w:ascii="Noto Sans CJK SC" w:hAnsi="Noto Sans CJK SC" w:eastAsia="Noto Sans CJK SC"/>
                <w:sz w:val="18"/>
              </w:rPr>
              <w:t>20 / 50 / 100 / 120 / 200 s</w:t>
            </w:r>
          </w:p>
        </w:tc>
        <w:tc>
          <w:tcPr>
            <w:tcW w:type="dxa" w:w="3458"/>
            <w:tcMar>
              <w:top w:w="90" w:type="dxa"/>
              <w:start w:w="100" w:type="dxa"/>
              <w:bottom w:w="90" w:type="dxa"/>
              <w:end w:w="100" w:type="dxa"/>
            </w:tcMar>
            <w:vAlign w:val="center"/>
          </w:tcPr>
          <w:p>
            <w:pPr>
              <w:jc w:val="left"/>
            </w:pPr>
            <w:r>
              <w:rPr>
                <w:rFonts w:ascii="Noto Sans CJK SC" w:hAnsi="Noto Sans CJK SC" w:eastAsia="Noto Sans CJK SC"/>
                <w:sz w:val="18"/>
              </w:rPr>
              <w:t>更长 duration 会减缓上线冲击，但会拖慢支路建立；最终稳态基本一致。</w:t>
            </w:r>
          </w:p>
        </w:tc>
        <w:tc>
          <w:tcPr>
            <w:tcW w:type="dxa" w:w="1701"/>
            <w:tcMar>
              <w:top w:w="90" w:type="dxa"/>
              <w:start w:w="100" w:type="dxa"/>
              <w:bottom w:w="90" w:type="dxa"/>
              <w:end w:w="100" w:type="dxa"/>
            </w:tcMar>
            <w:vAlign w:val="center"/>
          </w:tcPr>
          <w:p>
            <w:pPr>
              <w:jc w:val="center"/>
            </w:pPr>
            <w:r>
              <w:rPr>
                <w:rFonts w:ascii="Noto Sans CJK SC" w:hAnsi="Noto Sans CJK SC" w:eastAsia="Noto Sans CJK SC"/>
                <w:sz w:val="18"/>
              </w:rPr>
              <w:t>50 s 优先，100 s 备份</w:t>
            </w:r>
          </w:p>
        </w:tc>
      </w:tr>
      <w:tr>
        <w:tc>
          <w:tcPr>
            <w:tcW w:type="dxa" w:w="1701"/>
            <w:tcMar>
              <w:top w:w="90" w:type="dxa"/>
              <w:start w:w="100" w:type="dxa"/>
              <w:bottom w:w="90" w:type="dxa"/>
              <w:end w:w="100" w:type="dxa"/>
            </w:tcMar>
            <w:vAlign w:val="center"/>
          </w:tcPr>
          <w:p>
            <w:pPr>
              <w:jc w:val="center"/>
            </w:pPr>
            <w:r>
              <w:rPr>
                <w:rFonts w:ascii="Noto Sans CJK SC" w:hAnsi="Noto Sans CJK SC" w:eastAsia="Noto Sans CJK SC"/>
                <w:sz w:val="18"/>
              </w:rPr>
              <w:t>透平排量 V_s</w:t>
            </w:r>
          </w:p>
        </w:tc>
        <w:tc>
          <w:tcPr>
            <w:tcW w:type="dxa" w:w="2438"/>
            <w:tcMar>
              <w:top w:w="90" w:type="dxa"/>
              <w:start w:w="100" w:type="dxa"/>
              <w:bottom w:w="90" w:type="dxa"/>
              <w:end w:w="100" w:type="dxa"/>
            </w:tcMar>
            <w:vAlign w:val="center"/>
          </w:tcPr>
          <w:p>
            <w:pPr>
              <w:jc w:val="center"/>
            </w:pPr>
            <w:r>
              <w:rPr>
                <w:rFonts w:ascii="Noto Sans CJK SC" w:hAnsi="Noto Sans CJK SC" w:eastAsia="Noto Sans CJK SC"/>
                <w:sz w:val="18"/>
              </w:rPr>
              <w:t>0.3 / 0.5 / 0.8 / 1.0 / 1.5</w:t>
              <w:br/>
              <w:t>×10^-3 m³</w:t>
            </w:r>
          </w:p>
        </w:tc>
        <w:tc>
          <w:tcPr>
            <w:tcW w:type="dxa" w:w="3458"/>
            <w:tcMar>
              <w:top w:w="90" w:type="dxa"/>
              <w:start w:w="100" w:type="dxa"/>
              <w:bottom w:w="90" w:type="dxa"/>
              <w:end w:w="100" w:type="dxa"/>
            </w:tcMar>
            <w:vAlign w:val="center"/>
          </w:tcPr>
          <w:p>
            <w:pPr>
              <w:jc w:val="left"/>
            </w:pPr>
            <w:r>
              <w:rPr>
                <w:rFonts w:ascii="Noto Sans CJK SC" w:hAnsi="Noto Sans CJK SC" w:eastAsia="Noto Sans CJK SC"/>
                <w:sz w:val="18"/>
              </w:rPr>
              <w:t>更大排量可抬高支路流量，但同时压缩支路压差、降低轴速，并使功率收益不再单调变好。</w:t>
            </w:r>
          </w:p>
        </w:tc>
        <w:tc>
          <w:tcPr>
            <w:tcW w:type="dxa" w:w="1701"/>
            <w:tcMar>
              <w:top w:w="90" w:type="dxa"/>
              <w:start w:w="100" w:type="dxa"/>
              <w:bottom w:w="90" w:type="dxa"/>
              <w:end w:w="100" w:type="dxa"/>
            </w:tcMar>
            <w:vAlign w:val="center"/>
          </w:tcPr>
          <w:p>
            <w:pPr>
              <w:jc w:val="center"/>
            </w:pPr>
            <w:r>
              <w:rPr>
                <w:rFonts w:ascii="Noto Sans CJK SC" w:hAnsi="Noto Sans CJK SC" w:eastAsia="Noto Sans CJK SC"/>
                <w:sz w:val="18"/>
              </w:rPr>
              <w:t>暂维持 0.3×10^-3</w:t>
              <w:br/>
              <w:t xml:space="preserve"> m³</w:t>
            </w:r>
          </w:p>
        </w:tc>
      </w:tr>
    </w:tbl>
    <w:p/>
    <w:p>
      <w:pPr>
        <w:pStyle w:val="Heading2"/>
        <w:spacing w:before="120" w:after="60" w:line="259" w:lineRule="auto"/>
      </w:pPr>
      <w:r>
        <w:rPr>
          <w:rFonts w:ascii="Noto Sans CJK SC" w:hAnsi="Noto Sans CJK SC" w:eastAsia="Noto Sans CJK SC"/>
        </w:rPr>
        <w:t>4.2 主旁路开度 valve_k 扫描</w:t>
      </w:r>
    </w:p>
    <w:p>
      <w:pPr>
        <w:spacing w:before="0" w:after="80" w:line="307" w:lineRule="auto"/>
      </w:pPr>
      <w:r>
        <w:rPr>
          <w:rFonts w:ascii="Noto Sans CJK SC" w:hAnsi="Noto Sans CJK SC" w:eastAsia="Noto Sans CJK SC"/>
        </w:rPr>
        <w:t>这是当前回归中最关键的一组单变量扫描。结果非常明确：随着 valve_k 从 0.9 逐步降到 0.5，主旁路质量流量稳定下降，而透平流量、轴速和机械输出同步抬升，说明更多工质开始真正走透平支路。</w:t>
      </w:r>
    </w:p>
    <w:p>
      <w:pPr>
        <w:spacing w:before="0" w:after="80" w:line="307" w:lineRule="auto"/>
      </w:pPr>
      <w:r>
        <w:rPr>
          <w:rFonts w:ascii="Noto Sans CJK SC" w:hAnsi="Noto Sans CJK SC" w:eastAsia="Noto Sans CJK SC"/>
        </w:rPr>
        <w:t>但这一趋势并不是“越小越好”。从运行日志看，0.4 工况虽然可以跑通 1500 s，但 CPU 时间达到 286.166 s；而 0.5 和 0.6 分别约为 162.526 s 和 106.651 s。也就是说，继续压缩旁路会显著放大数值代价。</w:t>
      </w:r>
    </w:p>
    <w:p>
      <w:pPr>
        <w:spacing w:before="0" w:after="60" w:line="293" w:lineRule="auto"/>
        <w:ind w:left="227" w:hanging="227"/>
      </w:pPr>
      <w:r>
        <w:rPr>
          <w:rFonts w:ascii="Noto Sans CJK SC" w:hAnsi="Noto Sans CJK SC" w:eastAsia="Noto Sans CJK SC"/>
        </w:rPr>
        <w:t>• 0.6：最省计算，但透平参与度偏保守。</w:t>
      </w:r>
    </w:p>
    <w:p>
      <w:pPr>
        <w:spacing w:before="0" w:after="60" w:line="293" w:lineRule="auto"/>
        <w:ind w:left="227" w:hanging="227"/>
      </w:pPr>
      <w:r>
        <w:rPr>
          <w:rFonts w:ascii="Noto Sans CJK SC" w:hAnsi="Noto Sans CJK SC" w:eastAsia="Noto Sans CJK SC"/>
        </w:rPr>
        <w:t>• 0.5：透平参与度明显提升，且数值代价尚可接受，是当前最适合冻结的平衡点。</w:t>
      </w:r>
    </w:p>
    <w:p>
      <w:pPr>
        <w:spacing w:before="0" w:after="60" w:line="293" w:lineRule="auto"/>
        <w:ind w:left="227" w:hanging="227"/>
      </w:pPr>
      <w:r>
        <w:rPr>
          <w:rFonts w:ascii="Noto Sans CJK SC" w:hAnsi="Noto Sans CJK SC" w:eastAsia="Noto Sans CJK SC"/>
        </w:rPr>
        <w:t>• 0.4：物理上更激进，但当前阶段计算成本过高，不宜作为主基线。</w:t>
      </w:r>
    </w:p>
    <w:p>
      <w:pPr>
        <w:pStyle w:val="Heading2"/>
        <w:spacing w:before="120" w:after="60" w:line="259" w:lineRule="auto"/>
      </w:pPr>
      <w:r>
        <w:rPr>
          <w:rFonts w:ascii="Noto Sans CJK SC" w:hAnsi="Noto Sans CJK SC" w:eastAsia="Noto Sans CJK SC"/>
        </w:rPr>
        <w:t>4.3 透平上线时刻 startTime 扫描</w:t>
      </w:r>
    </w:p>
    <w:p>
      <w:pPr>
        <w:spacing w:before="0" w:after="80" w:line="307" w:lineRule="auto"/>
      </w:pPr>
      <w:r>
        <w:rPr>
          <w:rFonts w:ascii="Noto Sans CJK SC" w:hAnsi="Noto Sans CJK SC" w:eastAsia="Noto Sans CJK SC"/>
        </w:rPr>
        <w:t>startTime 扫描表明：一旦热侧母版已经建立，改变透平上线时刻只是在时间轴上平移“透平开始参与”的瞬态，对热侧稳态与最终透平稳态影响很小。</w:t>
      </w:r>
    </w:p>
    <w:p>
      <w:pPr>
        <w:spacing w:before="0" w:after="60" w:line="293" w:lineRule="auto"/>
        <w:ind w:left="227" w:hanging="227"/>
      </w:pPr>
      <w:r>
        <w:rPr>
          <w:rFonts w:ascii="Noto Sans CJK SC" w:hAnsi="Noto Sans CJK SC" w:eastAsia="Noto Sans CJK SC"/>
        </w:rPr>
        <w:t>• 过早上线会让透平更早卷入母版建立过程，不利于问题隔离。</w:t>
      </w:r>
    </w:p>
    <w:p>
      <w:pPr>
        <w:spacing w:before="0" w:after="60" w:line="293" w:lineRule="auto"/>
        <w:ind w:left="227" w:hanging="227"/>
      </w:pPr>
      <w:r>
        <w:rPr>
          <w:rFonts w:ascii="Noto Sans CJK SC" w:hAnsi="Noto Sans CJK SC" w:eastAsia="Noto Sans CJK SC"/>
        </w:rPr>
        <w:t>• 过晚上线则没有新增收益，只是拉长测试时间。</w:t>
      </w:r>
    </w:p>
    <w:p>
      <w:pPr>
        <w:spacing w:before="0" w:after="60" w:line="293" w:lineRule="auto"/>
        <w:ind w:left="227" w:hanging="227"/>
      </w:pPr>
      <w:r>
        <w:rPr>
          <w:rFonts w:ascii="Noto Sans CJK SC" w:hAnsi="Noto Sans CJK SC" w:eastAsia="Noto Sans CJK SC"/>
        </w:rPr>
        <w:t>• 500 s 可以在“热侧已经起来”和“无需拖太久”之间取得合理平衡。</w:t>
      </w:r>
    </w:p>
    <w:p>
      <w:pPr>
        <w:pStyle w:val="Heading2"/>
        <w:spacing w:before="120" w:after="60" w:line="259" w:lineRule="auto"/>
      </w:pPr>
      <w:r>
        <w:rPr>
          <w:rFonts w:ascii="Noto Sans CJK SC" w:hAnsi="Noto Sans CJK SC" w:eastAsia="Noto Sans CJK SC"/>
        </w:rPr>
        <w:t>4.4 透平开阀时长 duration 扫描</w:t>
      </w:r>
    </w:p>
    <w:p>
      <w:pPr>
        <w:spacing w:before="0" w:after="80" w:line="307" w:lineRule="auto"/>
      </w:pPr>
      <w:r>
        <w:rPr>
          <w:rFonts w:ascii="Noto Sans CJK SC" w:hAnsi="Noto Sans CJK SC" w:eastAsia="Noto Sans CJK SC"/>
        </w:rPr>
        <w:t>duration 的作用主要体现在“上线斜率”而非最终稳态。20 s 较快，容易带来更尖的瞬态；50 s 与 100 s 均能保持较平顺的上线；120–200 s 虽然更柔和，但会显著拖慢透平支路建立，不利于后续批量测试效率。</w:t>
      </w:r>
    </w:p>
    <w:p>
      <w:pPr>
        <w:spacing w:before="0" w:after="80" w:line="307" w:lineRule="auto"/>
      </w:pPr>
      <w:r>
        <w:rPr>
          <w:rFonts w:ascii="Noto Sans CJK SC" w:hAnsi="Noto Sans CJK SC" w:eastAsia="Noto Sans CJK SC"/>
        </w:rPr>
        <w:t>因此，duration 的推荐选择不是越大越好，而是要刚好把瞬态削平。就当前回归结果看，50 s 已足够温和，100 s 可作为保守备份。</w:t>
      </w:r>
    </w:p>
    <w:p>
      <w:pPr>
        <w:pStyle w:val="Heading2"/>
        <w:spacing w:before="120" w:after="60" w:line="259" w:lineRule="auto"/>
      </w:pPr>
      <w:r>
        <w:rPr>
          <w:rFonts w:ascii="Noto Sans CJK SC" w:hAnsi="Noto Sans CJK SC" w:eastAsia="Noto Sans CJK SC"/>
        </w:rPr>
        <w:t>4.5 透平排量 V_s 扫描</w:t>
      </w:r>
    </w:p>
    <w:p>
      <w:pPr>
        <w:spacing w:before="0" w:after="80" w:line="307" w:lineRule="auto"/>
      </w:pPr>
      <w:r>
        <w:rPr>
          <w:rFonts w:ascii="Noto Sans CJK SC" w:hAnsi="Noto Sans CJK SC" w:eastAsia="Noto Sans CJK SC"/>
        </w:rPr>
        <w:t>V_s 扫描给出的结论很重要：更大的排量虽然会提高透平支路质量流量，但并不会自动带来更好的输出状态。实际结果显示，随着 V_s 增大，轴速反而下降，系统更多表现为“流量占比上去，但压差与速度利用率被吃掉”。</w:t>
      </w:r>
    </w:p>
    <w:p>
      <w:pPr>
        <w:spacing w:before="0" w:after="60" w:line="293" w:lineRule="auto"/>
        <w:ind w:left="227" w:hanging="227"/>
      </w:pPr>
      <w:r>
        <w:rPr>
          <w:rFonts w:ascii="Noto Sans CJK SC" w:hAnsi="Noto Sans CJK SC" w:eastAsia="Noto Sans CJK SC"/>
        </w:rPr>
        <w:t>• 说明当前系统还处在“旁路主导、透平并联接入”的阶段，透平并未进入独占压差的工作方式。</w:t>
      </w:r>
    </w:p>
    <w:p>
      <w:pPr>
        <w:spacing w:before="0" w:after="60" w:line="293" w:lineRule="auto"/>
        <w:ind w:left="227" w:hanging="227"/>
      </w:pPr>
      <w:r>
        <w:rPr>
          <w:rFonts w:ascii="Noto Sans CJK SC" w:hAnsi="Noto Sans CJK SC" w:eastAsia="Noto Sans CJK SC"/>
        </w:rPr>
        <w:t>• 在这一阶段盲目放大 V_s，只会把系统更快推向高流量、低压差、低转速区。</w:t>
      </w:r>
    </w:p>
    <w:p>
      <w:pPr>
        <w:spacing w:before="0" w:after="60" w:line="293" w:lineRule="auto"/>
        <w:ind w:left="227" w:hanging="227"/>
      </w:pPr>
      <w:r>
        <w:rPr>
          <w:rFonts w:ascii="Noto Sans CJK SC" w:hAnsi="Noto Sans CJK SC" w:eastAsia="Noto Sans CJK SC"/>
        </w:rPr>
        <w:t>• 因此 V_s 现阶段不宜继续加大，应先维持 300e-6 m³，等 C2 负载接入后再讨论是否需要二次优化。</w:t>
      </w:r>
    </w:p>
    <w:p>
      <w:r>
        <w:br w:type="page"/>
      </w:r>
    </w:p>
    <w:p>
      <w:pPr>
        <w:pStyle w:val="Heading1"/>
        <w:spacing w:before="160" w:after="80" w:line="264" w:lineRule="auto"/>
      </w:pPr>
      <w:r>
        <w:rPr>
          <w:rFonts w:ascii="Noto Sans CJK SC" w:hAnsi="Noto Sans CJK SC" w:eastAsia="Noto Sans CJK SC"/>
        </w:rPr>
        <w:t>5. 透平回归的验收判据</w:t>
      </w:r>
    </w:p>
    <w:tbl>
      <w:tblPr>
        <w:tblStyle w:val="TableGrid"/>
        <w:tblW w:type="auto" w:w="0"/>
        <w:jc w:val="center"/>
        <w:tblLook w:firstColumn="1" w:firstRow="1" w:lastColumn="0" w:lastRow="0" w:noHBand="0" w:noVBand="1" w:val="04A0"/>
      </w:tblPr>
      <w:tblGrid>
        <w:gridCol w:w="1814"/>
        <w:gridCol w:w="4989"/>
        <w:gridCol w:w="2268"/>
      </w:tblGrid>
      <w:tr>
        <w:tc>
          <w:tcPr>
            <w:tcW w:type="dxa" w:w="3211"/>
            <w:shd w:fill="D9E7F5"/>
            <w:tcMar>
              <w:top w:w="90" w:type="dxa"/>
              <w:start w:w="100" w:type="dxa"/>
              <w:bottom w:w="90" w:type="dxa"/>
              <w:end w:w="100" w:type="dxa"/>
            </w:tcMar>
          </w:tcPr>
          <w:p>
            <w:pPr>
              <w:jc w:val="center"/>
            </w:pPr>
            <w:r>
              <w:rPr>
                <w:rFonts w:ascii="Noto Sans CJK SC" w:hAnsi="Noto Sans CJK SC" w:eastAsia="Noto Sans CJK SC"/>
                <w:b/>
                <w:sz w:val="19"/>
              </w:rPr>
              <w:t>类别</w:t>
            </w:r>
          </w:p>
        </w:tc>
        <w:tc>
          <w:tcPr>
            <w:tcW w:type="dxa" w:w="3211"/>
            <w:shd w:fill="D9E7F5"/>
            <w:tcMar>
              <w:top w:w="90" w:type="dxa"/>
              <w:start w:w="100" w:type="dxa"/>
              <w:bottom w:w="90" w:type="dxa"/>
              <w:end w:w="100" w:type="dxa"/>
            </w:tcMar>
          </w:tcPr>
          <w:p>
            <w:pPr>
              <w:jc w:val="center"/>
            </w:pPr>
            <w:r>
              <w:rPr>
                <w:rFonts w:ascii="Noto Sans CJK SC" w:hAnsi="Noto Sans CJK SC" w:eastAsia="Noto Sans CJK SC"/>
                <w:b/>
                <w:sz w:val="19"/>
              </w:rPr>
              <w:t>建议判据</w:t>
            </w:r>
          </w:p>
        </w:tc>
        <w:tc>
          <w:tcPr>
            <w:tcW w:type="dxa" w:w="3211"/>
            <w:shd w:fill="D9E7F5"/>
            <w:tcMar>
              <w:top w:w="90" w:type="dxa"/>
              <w:start w:w="100" w:type="dxa"/>
              <w:bottom w:w="90" w:type="dxa"/>
              <w:end w:w="100" w:type="dxa"/>
            </w:tcMar>
          </w:tcPr>
          <w:p>
            <w:pPr>
              <w:jc w:val="center"/>
            </w:pPr>
            <w:r>
              <w:rPr>
                <w:rFonts w:ascii="Noto Sans CJK SC" w:hAnsi="Noto Sans CJK SC" w:eastAsia="Noto Sans CJK SC"/>
                <w:b/>
                <w:sz w:val="19"/>
              </w:rPr>
              <w:t>当前状态</w:t>
            </w:r>
          </w:p>
        </w:tc>
      </w:tr>
      <w:tr>
        <w:tc>
          <w:tcPr>
            <w:tcW w:type="dxa" w:w="1814"/>
            <w:tcMar>
              <w:top w:w="90" w:type="dxa"/>
              <w:start w:w="100" w:type="dxa"/>
              <w:bottom w:w="90" w:type="dxa"/>
              <w:end w:w="100" w:type="dxa"/>
            </w:tcMar>
          </w:tcPr>
          <w:p>
            <w:pPr>
              <w:jc w:val="center"/>
            </w:pPr>
            <w:r>
              <w:rPr>
                <w:rFonts w:ascii="Noto Sans CJK SC" w:hAnsi="Noto Sans CJK SC" w:eastAsia="Noto Sans CJK SC"/>
                <w:sz w:val="18"/>
              </w:rPr>
              <w:t>初始化</w:t>
            </w:r>
          </w:p>
        </w:tc>
        <w:tc>
          <w:tcPr>
            <w:tcW w:type="dxa" w:w="4989"/>
            <w:tcMar>
              <w:top w:w="90" w:type="dxa"/>
              <w:start w:w="100" w:type="dxa"/>
              <w:bottom w:w="90" w:type="dxa"/>
              <w:end w:w="100" w:type="dxa"/>
            </w:tcMar>
          </w:tcPr>
          <w:p>
            <w:pPr>
              <w:jc w:val="left"/>
            </w:pPr>
            <w:r>
              <w:rPr>
                <w:rFonts w:ascii="Noto Sans CJK SC" w:hAnsi="Noto Sans CJK SC" w:eastAsia="Noto Sans CJK SC"/>
                <w:sz w:val="18"/>
              </w:rPr>
              <w:t>能够稳定通过 0 s，不再出现 divide-zero 或 nonlinear initialization failure。</w:t>
            </w:r>
          </w:p>
        </w:tc>
        <w:tc>
          <w:tcPr>
            <w:tcW w:type="dxa" w:w="2268"/>
            <w:tcMar>
              <w:top w:w="90" w:type="dxa"/>
              <w:start w:w="100" w:type="dxa"/>
              <w:bottom w:w="90" w:type="dxa"/>
              <w:end w:w="100" w:type="dxa"/>
            </w:tcMar>
          </w:tcPr>
          <w:p>
            <w:pPr>
              <w:jc w:val="center"/>
            </w:pPr>
            <w:r>
              <w:rPr>
                <w:rFonts w:ascii="Noto Sans CJK SC" w:hAnsi="Noto Sans CJK SC" w:eastAsia="Noto Sans CJK SC"/>
                <w:sz w:val="18"/>
              </w:rPr>
              <w:t>已满足</w:t>
            </w:r>
          </w:p>
        </w:tc>
      </w:tr>
      <w:tr>
        <w:tc>
          <w:tcPr>
            <w:tcW w:type="dxa" w:w="1814"/>
            <w:tcMar>
              <w:top w:w="90" w:type="dxa"/>
              <w:start w:w="100" w:type="dxa"/>
              <w:bottom w:w="90" w:type="dxa"/>
              <w:end w:w="100" w:type="dxa"/>
            </w:tcMar>
          </w:tcPr>
          <w:p>
            <w:pPr>
              <w:jc w:val="center"/>
            </w:pPr>
            <w:r>
              <w:rPr>
                <w:rFonts w:ascii="Noto Sans CJK SC" w:hAnsi="Noto Sans CJK SC" w:eastAsia="Noto Sans CJK SC"/>
                <w:sz w:val="18"/>
              </w:rPr>
              <w:t>热侧连续性</w:t>
            </w:r>
          </w:p>
        </w:tc>
        <w:tc>
          <w:tcPr>
            <w:tcW w:type="dxa" w:w="4989"/>
            <w:tcMar>
              <w:top w:w="90" w:type="dxa"/>
              <w:start w:w="100" w:type="dxa"/>
              <w:bottom w:w="90" w:type="dxa"/>
              <w:end w:w="100" w:type="dxa"/>
            </w:tcMar>
          </w:tcPr>
          <w:p>
            <w:pPr>
              <w:jc w:val="left"/>
            </w:pPr>
            <w:r>
              <w:rPr>
                <w:rFonts w:ascii="Noto Sans CJK SC" w:hAnsi="Noto Sans CJK SC" w:eastAsia="Noto Sans CJK SC"/>
                <w:sz w:val="18"/>
              </w:rPr>
              <w:t>receiver.medium.p/h/d 与蒸发器 Q_flow 在透平上线前后保持连续、可解释、无灾变突跳。</w:t>
            </w:r>
          </w:p>
        </w:tc>
        <w:tc>
          <w:tcPr>
            <w:tcW w:type="dxa" w:w="2268"/>
            <w:tcMar>
              <w:top w:w="90" w:type="dxa"/>
              <w:start w:w="100" w:type="dxa"/>
              <w:bottom w:w="90" w:type="dxa"/>
              <w:end w:w="100" w:type="dxa"/>
            </w:tcMar>
          </w:tcPr>
          <w:p>
            <w:pPr>
              <w:jc w:val="center"/>
            </w:pPr>
            <w:r>
              <w:rPr>
                <w:rFonts w:ascii="Noto Sans CJK SC" w:hAnsi="Noto Sans CJK SC" w:eastAsia="Noto Sans CJK SC"/>
                <w:sz w:val="18"/>
              </w:rPr>
              <w:t>已满足</w:t>
            </w:r>
          </w:p>
        </w:tc>
      </w:tr>
      <w:tr>
        <w:tc>
          <w:tcPr>
            <w:tcW w:type="dxa" w:w="1814"/>
            <w:tcMar>
              <w:top w:w="90" w:type="dxa"/>
              <w:start w:w="100" w:type="dxa"/>
              <w:bottom w:w="90" w:type="dxa"/>
              <w:end w:w="100" w:type="dxa"/>
            </w:tcMar>
          </w:tcPr>
          <w:p>
            <w:pPr>
              <w:jc w:val="center"/>
            </w:pPr>
            <w:r>
              <w:rPr>
                <w:rFonts w:ascii="Noto Sans CJK SC" w:hAnsi="Noto Sans CJK SC" w:eastAsia="Noto Sans CJK SC"/>
                <w:sz w:val="18"/>
              </w:rPr>
              <w:t>透平支路建立</w:t>
            </w:r>
          </w:p>
        </w:tc>
        <w:tc>
          <w:tcPr>
            <w:tcW w:type="dxa" w:w="4989"/>
            <w:tcMar>
              <w:top w:w="90" w:type="dxa"/>
              <w:start w:w="100" w:type="dxa"/>
              <w:bottom w:w="90" w:type="dxa"/>
              <w:end w:w="100" w:type="dxa"/>
            </w:tcMar>
          </w:tcPr>
          <w:p>
            <w:pPr>
              <w:jc w:val="left"/>
            </w:pPr>
            <w:r>
              <w:rPr>
                <w:rFonts w:ascii="Noto Sans CJK SC" w:hAnsi="Noto Sans CJK SC" w:eastAsia="Noto Sans CJK SC"/>
                <w:sz w:val="18"/>
              </w:rPr>
              <w:t>turbine.m_flow、shaftInertia.w、W_dot_mech / W_dot_fluid 在上线后能够收敛到新稳态。</w:t>
            </w:r>
          </w:p>
        </w:tc>
        <w:tc>
          <w:tcPr>
            <w:tcW w:type="dxa" w:w="2268"/>
            <w:tcMar>
              <w:top w:w="90" w:type="dxa"/>
              <w:start w:w="100" w:type="dxa"/>
              <w:bottom w:w="90" w:type="dxa"/>
              <w:end w:w="100" w:type="dxa"/>
            </w:tcMar>
          </w:tcPr>
          <w:p>
            <w:pPr>
              <w:jc w:val="center"/>
            </w:pPr>
            <w:r>
              <w:rPr>
                <w:rFonts w:ascii="Noto Sans CJK SC" w:hAnsi="Noto Sans CJK SC" w:eastAsia="Noto Sans CJK SC"/>
                <w:sz w:val="18"/>
              </w:rPr>
              <w:t>已满足</w:t>
            </w:r>
          </w:p>
        </w:tc>
      </w:tr>
      <w:tr>
        <w:tc>
          <w:tcPr>
            <w:tcW w:type="dxa" w:w="1814"/>
            <w:tcMar>
              <w:top w:w="90" w:type="dxa"/>
              <w:start w:w="100" w:type="dxa"/>
              <w:bottom w:w="90" w:type="dxa"/>
              <w:end w:w="100" w:type="dxa"/>
            </w:tcMar>
          </w:tcPr>
          <w:p>
            <w:pPr>
              <w:jc w:val="center"/>
            </w:pPr>
            <w:r>
              <w:rPr>
                <w:rFonts w:ascii="Noto Sans CJK SC" w:hAnsi="Noto Sans CJK SC" w:eastAsia="Noto Sans CJK SC"/>
                <w:sz w:val="18"/>
              </w:rPr>
              <w:t>判据选择</w:t>
            </w:r>
          </w:p>
        </w:tc>
        <w:tc>
          <w:tcPr>
            <w:tcW w:type="dxa" w:w="4989"/>
            <w:tcMar>
              <w:top w:w="90" w:type="dxa"/>
              <w:start w:w="100" w:type="dxa"/>
              <w:bottom w:w="90" w:type="dxa"/>
              <w:end w:w="100" w:type="dxa"/>
            </w:tcMar>
          </w:tcPr>
          <w:p>
            <w:pPr>
              <w:jc w:val="left"/>
            </w:pPr>
            <w:r>
              <w:rPr>
                <w:rFonts w:ascii="Noto Sans CJK SC" w:hAnsi="Noto Sans CJK SC" w:eastAsia="Noto Sans CJK SC"/>
                <w:sz w:val="18"/>
              </w:rPr>
              <w:t>不把 port_in.h_outflow / port_out.h_outflow 的零流尖峰当作物理失败证据。</w:t>
            </w:r>
          </w:p>
        </w:tc>
        <w:tc>
          <w:tcPr>
            <w:tcW w:type="dxa" w:w="2268"/>
            <w:tcMar>
              <w:top w:w="90" w:type="dxa"/>
              <w:start w:w="100" w:type="dxa"/>
              <w:bottom w:w="90" w:type="dxa"/>
              <w:end w:w="100" w:type="dxa"/>
            </w:tcMar>
          </w:tcPr>
          <w:p>
            <w:pPr>
              <w:jc w:val="center"/>
            </w:pPr>
            <w:r>
              <w:rPr>
                <w:rFonts w:ascii="Noto Sans CJK SC" w:hAnsi="Noto Sans CJK SC" w:eastAsia="Noto Sans CJK SC"/>
                <w:sz w:val="18"/>
              </w:rPr>
              <w:t>已校正</w:t>
            </w:r>
          </w:p>
        </w:tc>
      </w:tr>
      <w:tr>
        <w:tc>
          <w:tcPr>
            <w:tcW w:type="dxa" w:w="1814"/>
            <w:tcMar>
              <w:top w:w="90" w:type="dxa"/>
              <w:start w:w="100" w:type="dxa"/>
              <w:bottom w:w="90" w:type="dxa"/>
              <w:end w:w="100" w:type="dxa"/>
            </w:tcMar>
          </w:tcPr>
          <w:p>
            <w:pPr>
              <w:jc w:val="center"/>
            </w:pPr>
            <w:r>
              <w:rPr>
                <w:rFonts w:ascii="Noto Sans CJK SC" w:hAnsi="Noto Sans CJK SC" w:eastAsia="Noto Sans CJK SC"/>
                <w:sz w:val="18"/>
              </w:rPr>
              <w:t>数值成本</w:t>
            </w:r>
          </w:p>
        </w:tc>
        <w:tc>
          <w:tcPr>
            <w:tcW w:type="dxa" w:w="4989"/>
            <w:tcMar>
              <w:top w:w="90" w:type="dxa"/>
              <w:start w:w="100" w:type="dxa"/>
              <w:bottom w:w="90" w:type="dxa"/>
              <w:end w:w="100" w:type="dxa"/>
            </w:tcMar>
          </w:tcPr>
          <w:p>
            <w:pPr>
              <w:jc w:val="left"/>
            </w:pPr>
            <w:r>
              <w:rPr>
                <w:rFonts w:ascii="Noto Sans CJK SC" w:hAnsi="Noto Sans CJK SC" w:eastAsia="Noto Sans CJK SC"/>
                <w:sz w:val="18"/>
              </w:rPr>
              <w:t>CPU 时间需在可接受范围内，避免为微小性能提升付出过高计算代价。</w:t>
            </w:r>
          </w:p>
        </w:tc>
        <w:tc>
          <w:tcPr>
            <w:tcW w:type="dxa" w:w="2268"/>
            <w:tcMar>
              <w:top w:w="90" w:type="dxa"/>
              <w:start w:w="100" w:type="dxa"/>
              <w:bottom w:w="90" w:type="dxa"/>
              <w:end w:w="100" w:type="dxa"/>
            </w:tcMar>
          </w:tcPr>
          <w:p>
            <w:pPr>
              <w:jc w:val="center"/>
            </w:pPr>
            <w:r>
              <w:rPr>
                <w:rFonts w:ascii="Noto Sans CJK SC" w:hAnsi="Noto Sans CJK SC" w:eastAsia="Noto Sans CJK SC"/>
                <w:sz w:val="18"/>
              </w:rPr>
              <w:t>0.5 可接受</w:t>
            </w:r>
          </w:p>
        </w:tc>
      </w:tr>
    </w:tbl>
    <w:p/>
    <w:p>
      <w:pPr>
        <w:spacing w:before="0" w:after="80" w:line="307" w:lineRule="auto"/>
      </w:pPr>
      <w:r>
        <w:rPr>
          <w:rFonts w:ascii="Noto Sans CJK SC" w:hAnsi="Noto Sans CJK SC" w:eastAsia="Noto Sans CJK SC"/>
        </w:rPr>
        <w:t>据此判断，C1 轮“透平回归”已经完成：问题不再是“透平能不能在线”，而是“在已经能稳定在线的前提下，下一步如何接入负载并继续降低旁路占比”。</w:t>
      </w:r>
    </w:p>
    <w:p>
      <w:pPr>
        <w:pStyle w:val="Heading1"/>
        <w:spacing w:before="160" w:after="80" w:line="264" w:lineRule="auto"/>
      </w:pPr>
      <w:r>
        <w:rPr>
          <w:rFonts w:ascii="Noto Sans CJK SC" w:hAnsi="Noto Sans CJK SC" w:eastAsia="Noto Sans CJK SC"/>
        </w:rPr>
        <w:t>6. 当前冻结基线与下一步建议</w:t>
      </w:r>
    </w:p>
    <w:tbl>
      <w:tblPr>
        <w:tblW w:type="auto" w:w="0"/>
        <w:jc w:val="center"/>
        <w:tblLayout w:type="fixed"/>
        <w:tblLook w:firstColumn="1" w:firstRow="1" w:lastColumn="0" w:lastRow="0" w:noHBand="0" w:noVBand="1" w:val="04A0"/>
      </w:tblPr>
      <w:tblGrid>
        <w:gridCol w:w="8957"/>
      </w:tblGrid>
      <w:tr>
        <w:tc>
          <w:tcPr>
            <w:tcW w:type="dxa" w:w="9632"/>
            <w:shd w:fill="F6F8FB"/>
            <w:tcMar>
              <w:top w:w="110" w:type="dxa"/>
              <w:start w:w="130" w:type="dxa"/>
              <w:bottom w:w="110" w:type="dxa"/>
              <w:end w:w="130" w:type="dxa"/>
            </w:tcMar>
          </w:tcPr>
          <w:p>
            <w:pPr>
              <w:spacing w:before="0" w:after="40" w:line="283" w:lineRule="auto"/>
            </w:pPr>
            <w:r>
              <w:rPr>
                <w:rFonts w:ascii="Noto Sans CJK SC" w:hAnsi="Noto Sans CJK SC" w:eastAsia="Noto Sans CJK SC"/>
                <w:b/>
                <w:color w:val="1F4E79"/>
                <w:sz w:val="20"/>
              </w:rPr>
              <w:t>推荐冻结基线：</w:t>
            </w:r>
          </w:p>
          <w:p>
            <w:pPr>
              <w:spacing w:before="0" w:after="40" w:line="283" w:lineRule="auto"/>
            </w:pPr>
            <w:r>
              <w:rPr>
                <w:rFonts w:ascii="Noto Sans CJK SC" w:hAnsi="Noto Sans CJK SC" w:eastAsia="Noto Sans CJK SC"/>
                <w:sz w:val="20"/>
              </w:rPr>
              <w:t>1) valve_k = 0.5；</w:t>
            </w:r>
          </w:p>
          <w:p>
            <w:pPr>
              <w:spacing w:before="0" w:after="40" w:line="283" w:lineRule="auto"/>
            </w:pPr>
            <w:r>
              <w:rPr>
                <w:rFonts w:ascii="Noto Sans CJK SC" w:hAnsi="Noto Sans CJK SC" w:eastAsia="Noto Sans CJK SC"/>
                <w:sz w:val="20"/>
              </w:rPr>
              <w:t>2) turbineInValveRamp.startTime = 500 s；</w:t>
            </w:r>
          </w:p>
          <w:p>
            <w:pPr>
              <w:spacing w:before="0" w:after="40" w:line="283" w:lineRule="auto"/>
            </w:pPr>
            <w:r>
              <w:rPr>
                <w:rFonts w:ascii="Noto Sans CJK SC" w:hAnsi="Noto Sans CJK SC" w:eastAsia="Noto Sans CJK SC"/>
                <w:sz w:val="20"/>
              </w:rPr>
              <w:t>3) turbineInValveRamp.duration = 50 s（若后续接载变硬，可回退到 100 s）；</w:t>
            </w:r>
          </w:p>
          <w:p>
            <w:pPr>
              <w:spacing w:before="0" w:after="40" w:line="283" w:lineRule="auto"/>
            </w:pPr>
            <w:r>
              <w:rPr>
                <w:rFonts w:ascii="Noto Sans CJK SC" w:hAnsi="Noto Sans CJK SC" w:eastAsia="Noto Sans CJK SC"/>
                <w:sz w:val="20"/>
              </w:rPr>
              <w:t>4) turbine V_s = 300e-6 m³；</w:t>
            </w:r>
          </w:p>
          <w:p>
            <w:pPr>
              <w:spacing w:before="0" w:after="40" w:line="283" w:lineRule="auto"/>
            </w:pPr>
            <w:r>
              <w:rPr>
                <w:rFonts w:ascii="Noto Sans CJK SC" w:hAnsi="Noto Sans CJK SC" w:eastAsia="Noto Sans CJK SC"/>
                <w:sz w:val="20"/>
              </w:rPr>
              <w:t>5) 当前拓扑、透平前室与透平方程组暂不再改动。</w:t>
            </w:r>
          </w:p>
        </w:tc>
      </w:tr>
    </w:tbl>
    <w:p/>
    <w:p>
      <w:pPr>
        <w:spacing w:before="0" w:after="80" w:line="307" w:lineRule="auto"/>
      </w:pPr>
      <w:r>
        <w:rPr>
          <w:rFonts w:ascii="Noto Sans CJK SC" w:hAnsi="Noto Sans CJK SC" w:eastAsia="Noto Sans CJK SC"/>
        </w:rPr>
        <w:t>下一步不建议继续在 C1 内部反复扫描启机参数，而应进入 C2：在冻结上述基线后，增加小幅外负载扭矩扫描，优先回答“透平已上线后，系统能否稳定带载”这一更关键的问题。</w:t>
      </w:r>
    </w:p>
    <w:p>
      <w:pPr>
        <w:spacing w:before="0" w:after="60" w:line="293" w:lineRule="auto"/>
        <w:ind w:left="227" w:hanging="227"/>
      </w:pPr>
      <w:r>
        <w:rPr>
          <w:rFonts w:ascii="Noto Sans CJK SC" w:hAnsi="Noto Sans CJK SC" w:eastAsia="Noto Sans CJK SC"/>
        </w:rPr>
        <w:t>• 优先扫描建议：T_load = -0.02 / -0.05 / -0.08 / -0.10 N·m。</w:t>
      </w:r>
    </w:p>
    <w:p>
      <w:pPr>
        <w:spacing w:before="0" w:after="60" w:line="293" w:lineRule="auto"/>
        <w:ind w:left="227" w:hanging="227"/>
      </w:pPr>
      <w:r>
        <w:rPr>
          <w:rFonts w:ascii="Noto Sans CJK SC" w:hAnsi="Noto Sans CJK SC" w:eastAsia="Noto Sans CJK SC"/>
        </w:rPr>
        <w:t>• 只有在带载仍稳定的前提下，才继续做旁路收缩（例如 valve_k = 0.55 / 0.50 / 0.45）以提高透平分流占比。</w:t>
      </w:r>
    </w:p>
    <w:p>
      <w:pPr>
        <w:spacing w:before="0" w:after="60" w:line="293" w:lineRule="auto"/>
        <w:ind w:left="227" w:hanging="227"/>
      </w:pPr>
      <w:r>
        <w:rPr>
          <w:rFonts w:ascii="Noto Sans CJK SC" w:hAnsi="Noto Sans CJK SC" w:eastAsia="Noto Sans CJK SC"/>
        </w:rPr>
        <w:t>• 现阶段不建议继续以 h_outflow 尖峰作为主要否决项，应以真实状态量与整体运行代价作为判据。</w:t>
      </w:r>
    </w:p>
    <w:sectPr w:rsidR="00FC693F" w:rsidRPr="0006063C" w:rsidSect="00034616">
      <w:footerReference w:type="default" r:id="rId9"/>
      <w:pgSz w:w="12240" w:h="15840"/>
      <w:pgMar w:top="1191"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rPr>
      <w:t xml:space="preserve">第 </w:t>
    </w:r>
    <w:fldSimple w:instr="PAGE">
      <w:r>
        <w:t>1</w:t>
      </w:r>
    </w:fldSimple>
    <w:r>
      <w:rPr>
        <w:rFonts w:ascii="Noto Sans CJK SC" w:hAnsi="Noto Sans CJK SC" w:eastAsia="Noto Sans CJK SC"/>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2F5D8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rPr>
      <w:rFonts w:ascii="Noto Sans CJK SC" w:hAnsi="Noto Sans CJK SC" w:eastAsia="Noto Sans CJK SC"/>
      <w:b/>
      <w:color w:val="1F4E79"/>
      <w:sz w:val="40"/>
    </w:rPr>
  </w:style>
  <w:style w:type="paragraph" w:customStyle="1" w:styleId="DocSubtitle">
    <w:name w:val="DocSubtitle"/>
    <w:basedOn w:val="Normal"/>
    <w:rPr>
      <w:rFonts w:ascii="Noto Sans CJK SC" w:hAnsi="Noto Sans CJK SC" w:eastAsia="Noto Sans CJK SC"/>
      <w:b w:val="0"/>
      <w:color w:val="666666"/>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