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33C" w:rsidRDefault="00CD533C" w:rsidP="00CD533C">
      <w:pPr>
        <w:pStyle w:val="NormalWeb"/>
        <w:shd w:val="clear" w:color="auto" w:fill="FFFFFF"/>
        <w:spacing w:before="0" w:beforeAutospacing="0" w:after="210" w:afterAutospacing="0"/>
        <w:rPr>
          <w:rFonts w:ascii="Georgia" w:hAnsi="Georgia"/>
          <w:color w:val="666666"/>
          <w:sz w:val="27"/>
          <w:szCs w:val="27"/>
        </w:rPr>
      </w:pPr>
      <w:r>
        <w:rPr>
          <w:rFonts w:ascii="Georgia" w:hAnsi="Georgia"/>
          <w:color w:val="666666"/>
          <w:sz w:val="27"/>
          <w:szCs w:val="27"/>
        </w:rPr>
        <w:t xml:space="preserve">2. Using ancient texts as examples and </w:t>
      </w:r>
      <w:proofErr w:type="gramStart"/>
      <w:r>
        <w:rPr>
          <w:rFonts w:ascii="Georgia" w:hAnsi="Georgia"/>
          <w:color w:val="666666"/>
          <w:sz w:val="27"/>
          <w:szCs w:val="27"/>
        </w:rPr>
        <w:t>inspiration,</w:t>
      </w:r>
      <w:proofErr w:type="gramEnd"/>
      <w:r>
        <w:rPr>
          <w:rFonts w:ascii="Georgia" w:hAnsi="Georgia"/>
          <w:color w:val="666666"/>
          <w:sz w:val="27"/>
          <w:szCs w:val="27"/>
        </w:rPr>
        <w:t xml:space="preserve"> compose a Greek or Roman spell or erotic charm and then provide a detailed commentary on the features of the spell.</w:t>
      </w:r>
    </w:p>
    <w:p w:rsidR="00CD533C" w:rsidRDefault="00CD533C" w:rsidP="00CD533C">
      <w:pPr>
        <w:pStyle w:val="NormalWeb"/>
        <w:shd w:val="clear" w:color="auto" w:fill="FFFFFF"/>
        <w:spacing w:before="0" w:beforeAutospacing="0" w:after="210" w:afterAutospacing="0"/>
        <w:rPr>
          <w:rFonts w:ascii="Georgia" w:hAnsi="Georgia"/>
          <w:color w:val="666666"/>
          <w:sz w:val="27"/>
          <w:szCs w:val="27"/>
        </w:rPr>
      </w:pPr>
      <w:r>
        <w:rPr>
          <w:rFonts w:ascii="Georgia" w:hAnsi="Georgia"/>
          <w:i/>
          <w:iCs/>
          <w:color w:val="666666"/>
          <w:sz w:val="27"/>
          <w:szCs w:val="27"/>
        </w:rPr>
        <w:t>Guidelines</w:t>
      </w:r>
      <w:r>
        <w:rPr>
          <w:rFonts w:ascii="Georgia" w:hAnsi="Georgia"/>
          <w:color w:val="666666"/>
          <w:sz w:val="27"/>
          <w:szCs w:val="27"/>
        </w:rPr>
        <w:t>: The curse or charm should be set in an ancient context and modelled on ancient examples. In your commentary, you are expected to explain the ancient context of the magic, and comment on the person who casts the spell, the victim (or target), the means by which the magic operates and the divinities or superhuman powers involved. You should cite other spells that have the same feature or use an element in a similar way, for example similes, magical words, deity names, or ritual actions that are part of the procedure. You should also explain why you selected those particular elements and how they work in the spell you have composed, based on how they fit into the spells from which you took them. Since ancient magicians adapted the traditional formulas to the specific context of the spell, the client, the situation or the target, you can also innovate. Make sure to include any oral components or ritual actions that are part of the spell, as well as the inscribed or written component. For this topic, you do not need to follow the strict essay format (</w:t>
      </w:r>
      <w:proofErr w:type="spellStart"/>
      <w:r>
        <w:rPr>
          <w:rFonts w:ascii="Georgia" w:hAnsi="Georgia"/>
          <w:color w:val="666666"/>
          <w:sz w:val="27"/>
          <w:szCs w:val="27"/>
        </w:rPr>
        <w:t>eg</w:t>
      </w:r>
      <w:proofErr w:type="spellEnd"/>
      <w:r>
        <w:rPr>
          <w:rFonts w:ascii="Georgia" w:hAnsi="Georgia"/>
          <w:color w:val="666666"/>
          <w:sz w:val="27"/>
          <w:szCs w:val="27"/>
        </w:rPr>
        <w:t>. you can omit the introduction; simply start with your spell and continue with the commentary).</w:t>
      </w:r>
    </w:p>
    <w:p w:rsidR="004E49FC" w:rsidRDefault="00A82262" w:rsidP="005F09AD">
      <w:pPr>
        <w:ind w:left="284"/>
        <w:rPr>
          <w:lang w:val="en-US"/>
        </w:rPr>
      </w:pPr>
      <w:r>
        <w:rPr>
          <w:lang w:val="en-US"/>
        </w:rPr>
        <w:t>I, [male]</w:t>
      </w:r>
      <w:r w:rsidR="0074126D">
        <w:rPr>
          <w:lang w:val="en-US"/>
        </w:rPr>
        <w:t xml:space="preserve">, </w:t>
      </w:r>
      <w:r>
        <w:rPr>
          <w:lang w:val="en-US"/>
        </w:rPr>
        <w:t>bind [victim], born of [mother]</w:t>
      </w:r>
      <w:r w:rsidR="006B4F14">
        <w:rPr>
          <w:lang w:val="en-US"/>
        </w:rPr>
        <w:t>, to me, to come to me inflamed with desire.</w:t>
      </w:r>
      <w:r w:rsidR="00C51FED">
        <w:rPr>
          <w:lang w:val="en-US"/>
        </w:rPr>
        <w:t xml:space="preserve"> I adjure to Aphrodite </w:t>
      </w:r>
      <w:proofErr w:type="spellStart"/>
      <w:r w:rsidR="00C51FED">
        <w:rPr>
          <w:lang w:val="en-US"/>
        </w:rPr>
        <w:t>Pandemos</w:t>
      </w:r>
      <w:proofErr w:type="spellEnd"/>
      <w:r w:rsidR="00BD611C">
        <w:rPr>
          <w:lang w:val="en-US"/>
        </w:rPr>
        <w:t xml:space="preserve"> and </w:t>
      </w:r>
      <w:proofErr w:type="spellStart"/>
      <w:r w:rsidR="00BD611C">
        <w:rPr>
          <w:lang w:val="en-US"/>
        </w:rPr>
        <w:t>Hekate</w:t>
      </w:r>
      <w:proofErr w:type="spellEnd"/>
      <w:r w:rsidR="00BD611C">
        <w:rPr>
          <w:lang w:val="en-US"/>
        </w:rPr>
        <w:t xml:space="preserve"> of the Three Faces</w:t>
      </w:r>
      <w:r w:rsidR="00965A21">
        <w:rPr>
          <w:lang w:val="en-US"/>
        </w:rPr>
        <w:t>, ASKION KATASKION LIX TETRA DAMNAMENEUS AISION,</w:t>
      </w:r>
      <w:r w:rsidR="00C51FED">
        <w:rPr>
          <w:lang w:val="en-US"/>
        </w:rPr>
        <w:t xml:space="preserve"> to bring [victim] to me, [male], with a burning passion.</w:t>
      </w:r>
      <w:r w:rsidR="00D35078">
        <w:rPr>
          <w:lang w:val="en-US"/>
        </w:rPr>
        <w:t xml:space="preserve"> I</w:t>
      </w:r>
      <w:r w:rsidR="00D35078" w:rsidRPr="00D35078">
        <w:rPr>
          <w:lang w:val="en-US"/>
        </w:rPr>
        <w:t xml:space="preserve"> </w:t>
      </w:r>
      <w:r w:rsidR="00D35078">
        <w:rPr>
          <w:lang w:val="en-US"/>
        </w:rPr>
        <w:t>bind</w:t>
      </w:r>
      <w:r w:rsidR="00E025DC">
        <w:rPr>
          <w:lang w:val="en-US"/>
        </w:rPr>
        <w:t xml:space="preserve"> her heart, </w:t>
      </w:r>
      <w:proofErr w:type="gramStart"/>
      <w:r w:rsidR="00E025DC">
        <w:rPr>
          <w:lang w:val="en-US"/>
        </w:rPr>
        <w:t>her</w:t>
      </w:r>
      <w:proofErr w:type="gramEnd"/>
      <w:r w:rsidR="00E025DC">
        <w:rPr>
          <w:lang w:val="en-US"/>
        </w:rPr>
        <w:t xml:space="preserve"> mind,</w:t>
      </w:r>
      <w:r w:rsidR="00D35078">
        <w:rPr>
          <w:lang w:val="en-US"/>
        </w:rPr>
        <w:t xml:space="preserve"> her soul, her body,</w:t>
      </w:r>
      <w:r>
        <w:rPr>
          <w:lang w:val="en-US"/>
        </w:rPr>
        <w:t xml:space="preserve"> and her </w:t>
      </w:r>
      <w:r w:rsidR="00C56B36">
        <w:rPr>
          <w:lang w:val="en-US"/>
        </w:rPr>
        <w:t>vulva</w:t>
      </w:r>
      <w:r>
        <w:rPr>
          <w:lang w:val="en-US"/>
        </w:rPr>
        <w:t xml:space="preserve"> so she desires [male], son of [father]</w:t>
      </w:r>
      <w:r w:rsidR="00D35078">
        <w:rPr>
          <w:lang w:val="en-US"/>
        </w:rPr>
        <w:t>.</w:t>
      </w:r>
      <w:r w:rsidR="006B4F14">
        <w:rPr>
          <w:lang w:val="en-US"/>
        </w:rPr>
        <w:t xml:space="preserve"> If she eats, may she not eat; if she drinks, may she not drink; if she speaks, may her tongue be tied and her words confused, as the words of this tablet are confused. As I </w:t>
      </w:r>
      <w:r>
        <w:rPr>
          <w:lang w:val="en-US"/>
        </w:rPr>
        <w:t>bind [victim]</w:t>
      </w:r>
      <w:r w:rsidR="006B4F14">
        <w:rPr>
          <w:lang w:val="en-US"/>
        </w:rPr>
        <w:t xml:space="preserve"> to me, may she be filled with a burning fever</w:t>
      </w:r>
      <w:r w:rsidR="00F93325">
        <w:rPr>
          <w:lang w:val="en-US"/>
        </w:rPr>
        <w:t xml:space="preserve"> until she comes to me</w:t>
      </w:r>
      <w:r>
        <w:rPr>
          <w:lang w:val="en-US"/>
        </w:rPr>
        <w:t>, [male]</w:t>
      </w:r>
      <w:r w:rsidR="00F93325">
        <w:rPr>
          <w:lang w:val="en-US"/>
        </w:rPr>
        <w:t>. Burn her limbs, her woman’</w:t>
      </w:r>
      <w:r w:rsidR="00CF38A3">
        <w:rPr>
          <w:lang w:val="en-US"/>
        </w:rPr>
        <w:t>s body, her breasts</w:t>
      </w:r>
      <w:r w:rsidR="00F93325">
        <w:rPr>
          <w:lang w:val="en-US"/>
        </w:rPr>
        <w:t xml:space="preserve">, her mouth, until she comes to me. May she not </w:t>
      </w:r>
      <w:proofErr w:type="gramStart"/>
      <w:r w:rsidR="00F93325">
        <w:rPr>
          <w:lang w:val="en-US"/>
        </w:rPr>
        <w:t>eat</w:t>
      </w:r>
      <w:proofErr w:type="gramEnd"/>
      <w:r w:rsidR="00F93325">
        <w:rPr>
          <w:lang w:val="en-US"/>
        </w:rPr>
        <w:t xml:space="preserve">, </w:t>
      </w:r>
      <w:r w:rsidR="00493123">
        <w:rPr>
          <w:lang w:val="en-US"/>
        </w:rPr>
        <w:t>n</w:t>
      </w:r>
      <w:r w:rsidR="00F93325">
        <w:rPr>
          <w:lang w:val="en-US"/>
        </w:rPr>
        <w:t>or drink</w:t>
      </w:r>
      <w:r w:rsidR="00D35078">
        <w:rPr>
          <w:lang w:val="en-US"/>
        </w:rPr>
        <w:t xml:space="preserve">, </w:t>
      </w:r>
      <w:r w:rsidR="00493123">
        <w:rPr>
          <w:lang w:val="en-US"/>
        </w:rPr>
        <w:t xml:space="preserve">nor find any rest until she comes </w:t>
      </w:r>
      <w:r>
        <w:rPr>
          <w:lang w:val="en-US"/>
        </w:rPr>
        <w:t>to me [male]</w:t>
      </w:r>
      <w:r w:rsidR="00D35078">
        <w:rPr>
          <w:lang w:val="en-US"/>
        </w:rPr>
        <w:t>, crazed with de</w:t>
      </w:r>
      <w:r>
        <w:rPr>
          <w:lang w:val="en-US"/>
        </w:rPr>
        <w:t xml:space="preserve">sire and a burning lust. </w:t>
      </w:r>
      <w:proofErr w:type="gramStart"/>
      <w:r>
        <w:rPr>
          <w:lang w:val="en-US"/>
        </w:rPr>
        <w:t>May [victim]</w:t>
      </w:r>
      <w:r w:rsidR="00D35078">
        <w:rPr>
          <w:lang w:val="en-US"/>
        </w:rPr>
        <w:t xml:space="preserve"> lie sleepless at night with her mind empty except for her desire for me</w:t>
      </w:r>
      <w:r>
        <w:rPr>
          <w:lang w:val="en-US"/>
        </w:rPr>
        <w:t xml:space="preserve"> [male]</w:t>
      </w:r>
      <w:r w:rsidR="00D35078">
        <w:rPr>
          <w:lang w:val="en-US"/>
        </w:rPr>
        <w:t>.</w:t>
      </w:r>
      <w:proofErr w:type="gramEnd"/>
      <w:r w:rsidR="00D35078">
        <w:rPr>
          <w:lang w:val="en-US"/>
        </w:rPr>
        <w:t xml:space="preserve"> </w:t>
      </w:r>
      <w:r>
        <w:rPr>
          <w:lang w:val="en-US"/>
        </w:rPr>
        <w:t>May she not love another man, or have sex with another man, unless that man is [male], I alone am that man. May she find no pleasure</w:t>
      </w:r>
      <w:r w:rsidR="006D1F71">
        <w:rPr>
          <w:lang w:val="en-US"/>
        </w:rPr>
        <w:t xml:space="preserve"> or rest</w:t>
      </w:r>
      <w:r>
        <w:rPr>
          <w:lang w:val="en-US"/>
        </w:rPr>
        <w:t xml:space="preserve"> until she comes to me and loves me, [male], </w:t>
      </w:r>
      <w:proofErr w:type="gramStart"/>
      <w:r w:rsidR="001715E2">
        <w:rPr>
          <w:lang w:val="en-US"/>
        </w:rPr>
        <w:t>eternally</w:t>
      </w:r>
      <w:r>
        <w:rPr>
          <w:lang w:val="en-US"/>
        </w:rPr>
        <w:t>.</w:t>
      </w:r>
      <w:proofErr w:type="gramEnd"/>
    </w:p>
    <w:p w:rsidR="00812045" w:rsidRDefault="00A82262">
      <w:pPr>
        <w:rPr>
          <w:lang w:val="en-US"/>
        </w:rPr>
      </w:pPr>
      <w:r>
        <w:rPr>
          <w:lang w:val="en-US"/>
        </w:rPr>
        <w:t xml:space="preserve">The </w:t>
      </w:r>
      <w:r w:rsidR="0095631F">
        <w:rPr>
          <w:lang w:val="en-US"/>
        </w:rPr>
        <w:t>spell-caster</w:t>
      </w:r>
      <w:r>
        <w:rPr>
          <w:lang w:val="en-US"/>
        </w:rPr>
        <w:t xml:space="preserve"> wishes the victim to f</w:t>
      </w:r>
      <w:r w:rsidR="00CE33B3">
        <w:rPr>
          <w:lang w:val="en-US"/>
        </w:rPr>
        <w:t>all in love with him. The v</w:t>
      </w:r>
      <w:r w:rsidR="00E8038D">
        <w:rPr>
          <w:lang w:val="en-US"/>
        </w:rPr>
        <w:t xml:space="preserve">ictim doesn’t reciprocate his feelings and </w:t>
      </w:r>
      <w:r w:rsidR="005D77A9">
        <w:rPr>
          <w:lang w:val="en-US"/>
        </w:rPr>
        <w:t>hence he has turned to a spell, which seeks to drive the victim insane with lust and desire for the caster</w:t>
      </w:r>
      <w:r w:rsidR="003360B0">
        <w:rPr>
          <w:lang w:val="en-US"/>
        </w:rPr>
        <w:t>,</w:t>
      </w:r>
      <w:r w:rsidR="005D77A9">
        <w:rPr>
          <w:lang w:val="en-US"/>
        </w:rPr>
        <w:t xml:space="preserve"> and afflict her with illness that will only stop when she obeys the caster’s wishes. The spell is partly </w:t>
      </w:r>
      <w:proofErr w:type="gramStart"/>
      <w:r w:rsidR="005D77A9">
        <w:rPr>
          <w:lang w:val="en-US"/>
        </w:rPr>
        <w:t>a transferenc</w:t>
      </w:r>
      <w:r w:rsidR="0015678D">
        <w:rPr>
          <w:lang w:val="en-US"/>
        </w:rPr>
        <w:t>e</w:t>
      </w:r>
      <w:proofErr w:type="gramEnd"/>
      <w:r w:rsidR="0015678D">
        <w:rPr>
          <w:lang w:val="en-US"/>
        </w:rPr>
        <w:t xml:space="preserve"> of the unrequited love the caster</w:t>
      </w:r>
      <w:r w:rsidR="005D77A9">
        <w:rPr>
          <w:lang w:val="en-US"/>
        </w:rPr>
        <w:t xml:space="preserve"> feels, so that the victim </w:t>
      </w:r>
      <w:r w:rsidR="00880CF8">
        <w:rPr>
          <w:lang w:val="en-US"/>
        </w:rPr>
        <w:t>may “suffer the torments of unreciprocated</w:t>
      </w:r>
      <w:r w:rsidR="00B34721">
        <w:rPr>
          <w:lang w:val="en-US"/>
        </w:rPr>
        <w:t xml:space="preserve"> love for the curser,”</w:t>
      </w:r>
      <w:r w:rsidR="00A67BDF">
        <w:rPr>
          <w:lang w:val="en-US"/>
        </w:rPr>
        <w:t xml:space="preserve"> but overall</w:t>
      </w:r>
      <w:r w:rsidR="005D77A9">
        <w:rPr>
          <w:lang w:val="en-US"/>
        </w:rPr>
        <w:t xml:space="preserve"> </w:t>
      </w:r>
      <w:r w:rsidR="000A4545">
        <w:rPr>
          <w:lang w:val="en-US"/>
        </w:rPr>
        <w:t xml:space="preserve">is </w:t>
      </w:r>
      <w:r w:rsidR="005D77A9">
        <w:rPr>
          <w:lang w:val="en-US"/>
        </w:rPr>
        <w:t>an attraction spell, so that his love can be fulfilled.</w:t>
      </w:r>
      <w:r w:rsidR="00B34721">
        <w:rPr>
          <w:rStyle w:val="FootnoteReference"/>
          <w:lang w:val="en-US"/>
        </w:rPr>
        <w:footnoteReference w:id="1"/>
      </w:r>
      <w:r w:rsidR="005D77A9">
        <w:rPr>
          <w:lang w:val="en-US"/>
        </w:rPr>
        <w:t xml:space="preserve"> </w:t>
      </w:r>
      <w:r w:rsidR="00E8038D">
        <w:rPr>
          <w:lang w:val="en-US"/>
        </w:rPr>
        <w:t>The spell is written on a lead tablet, in the “boustrophedon” style, with the writing alternating from</w:t>
      </w:r>
      <w:r w:rsidR="00B34721">
        <w:rPr>
          <w:lang w:val="en-US"/>
        </w:rPr>
        <w:t xml:space="preserve"> left-to-right to right-to-left, </w:t>
      </w:r>
      <w:r w:rsidR="009B06A3">
        <w:rPr>
          <w:lang w:val="en-US"/>
        </w:rPr>
        <w:t>to</w:t>
      </w:r>
      <w:r w:rsidR="00B34721">
        <w:rPr>
          <w:lang w:val="en-US"/>
        </w:rPr>
        <w:t xml:space="preserve"> “[restrain] through confusion and ‘hobbling’.” </w:t>
      </w:r>
      <w:r w:rsidR="00E8038D">
        <w:rPr>
          <w:rStyle w:val="FootnoteReference"/>
          <w:lang w:val="en-US"/>
        </w:rPr>
        <w:footnoteReference w:id="2"/>
      </w:r>
      <w:r w:rsidR="00E8038D">
        <w:rPr>
          <w:lang w:val="en-US"/>
        </w:rPr>
        <w:t xml:space="preserve"> </w:t>
      </w:r>
      <w:proofErr w:type="spellStart"/>
      <w:r w:rsidR="005F09AD">
        <w:rPr>
          <w:lang w:val="en-US"/>
        </w:rPr>
        <w:t>Hekate</w:t>
      </w:r>
      <w:proofErr w:type="spellEnd"/>
      <w:r w:rsidR="005F09AD">
        <w:rPr>
          <w:lang w:val="en-US"/>
        </w:rPr>
        <w:t xml:space="preserve"> and Aphrodite</w:t>
      </w:r>
      <w:r w:rsidR="00DF2C11">
        <w:rPr>
          <w:lang w:val="en-US"/>
        </w:rPr>
        <w:t xml:space="preserve"> </w:t>
      </w:r>
      <w:proofErr w:type="spellStart"/>
      <w:r w:rsidR="00DF2C11">
        <w:rPr>
          <w:lang w:val="en-US"/>
        </w:rPr>
        <w:t>Pandemos</w:t>
      </w:r>
      <w:proofErr w:type="spellEnd"/>
      <w:r w:rsidR="005F09AD">
        <w:rPr>
          <w:lang w:val="en-US"/>
        </w:rPr>
        <w:t xml:space="preserve"> </w:t>
      </w:r>
      <w:r w:rsidR="00BD611C">
        <w:rPr>
          <w:lang w:val="en-US"/>
        </w:rPr>
        <w:t>are</w:t>
      </w:r>
      <w:r w:rsidR="00576B5C">
        <w:rPr>
          <w:lang w:val="en-US"/>
        </w:rPr>
        <w:t xml:space="preserve"> invoked:</w:t>
      </w:r>
      <w:r w:rsidR="005F09AD">
        <w:rPr>
          <w:lang w:val="en-US"/>
        </w:rPr>
        <w:t xml:space="preserve"> </w:t>
      </w:r>
      <w:proofErr w:type="spellStart"/>
      <w:r w:rsidR="005F09AD">
        <w:rPr>
          <w:lang w:val="en-US"/>
        </w:rPr>
        <w:t>Hekate</w:t>
      </w:r>
      <w:proofErr w:type="spellEnd"/>
      <w:r w:rsidR="005F09AD">
        <w:rPr>
          <w:lang w:val="en-US"/>
        </w:rPr>
        <w:t xml:space="preserve"> due to her magical abilities</w:t>
      </w:r>
      <w:r w:rsidR="00576B5C">
        <w:rPr>
          <w:lang w:val="en-US"/>
        </w:rPr>
        <w:t xml:space="preserve">, as she is invoked </w:t>
      </w:r>
      <w:r w:rsidR="00576B5C">
        <w:rPr>
          <w:lang w:val="en-US"/>
        </w:rPr>
        <w:lastRenderedPageBreak/>
        <w:t xml:space="preserve">in erotic and non-erotic </w:t>
      </w:r>
      <w:proofErr w:type="gramStart"/>
      <w:r w:rsidR="00576B5C">
        <w:rPr>
          <w:lang w:val="en-US"/>
        </w:rPr>
        <w:t>curses,</w:t>
      </w:r>
      <w:proofErr w:type="gramEnd"/>
      <w:r w:rsidR="005F09AD">
        <w:rPr>
          <w:lang w:val="en-US"/>
        </w:rPr>
        <w:t xml:space="preserve"> and Aphrodite </w:t>
      </w:r>
      <w:proofErr w:type="spellStart"/>
      <w:r w:rsidR="00DF2C11">
        <w:rPr>
          <w:lang w:val="en-US"/>
        </w:rPr>
        <w:t>Pandemos</w:t>
      </w:r>
      <w:proofErr w:type="spellEnd"/>
      <w:r w:rsidR="00DF2C11">
        <w:rPr>
          <w:lang w:val="en-US"/>
        </w:rPr>
        <w:t xml:space="preserve"> </w:t>
      </w:r>
      <w:r w:rsidR="005F09AD">
        <w:rPr>
          <w:lang w:val="en-US"/>
        </w:rPr>
        <w:t>du</w:t>
      </w:r>
      <w:r w:rsidR="005D77A9">
        <w:rPr>
          <w:lang w:val="en-US"/>
        </w:rPr>
        <w:t xml:space="preserve">e to her association with </w:t>
      </w:r>
      <w:r w:rsidR="00DD5E0D">
        <w:rPr>
          <w:lang w:val="en-US"/>
        </w:rPr>
        <w:t>sexual desire</w:t>
      </w:r>
      <w:r w:rsidR="00576B5C">
        <w:rPr>
          <w:lang w:val="en-US"/>
        </w:rPr>
        <w:t>.</w:t>
      </w:r>
      <w:r w:rsidR="007158DD">
        <w:rPr>
          <w:lang w:val="en-US"/>
        </w:rPr>
        <w:t xml:space="preserve"> This tablet is</w:t>
      </w:r>
      <w:r w:rsidR="005F09AD">
        <w:rPr>
          <w:lang w:val="en-US"/>
        </w:rPr>
        <w:t xml:space="preserve"> buried under the victim’s house, </w:t>
      </w:r>
      <w:r w:rsidR="001B5AA4">
        <w:rPr>
          <w:lang w:val="en-US"/>
        </w:rPr>
        <w:t>as</w:t>
      </w:r>
      <w:r w:rsidR="00557F6D">
        <w:rPr>
          <w:lang w:val="en-US"/>
        </w:rPr>
        <w:t xml:space="preserve"> tablets could be buried at sites specific to the victim</w:t>
      </w:r>
      <w:r w:rsidR="00033CA1">
        <w:rPr>
          <w:lang w:val="en-US"/>
        </w:rPr>
        <w:t>, or at sites considered most effective for the spell</w:t>
      </w:r>
      <w:r w:rsidR="00557F6D">
        <w:rPr>
          <w:lang w:val="en-US"/>
        </w:rPr>
        <w:t>.</w:t>
      </w:r>
      <w:r w:rsidR="00557F6D">
        <w:rPr>
          <w:rStyle w:val="FootnoteReference"/>
          <w:lang w:val="en-US"/>
        </w:rPr>
        <w:footnoteReference w:id="3"/>
      </w:r>
      <w:r w:rsidR="00557F6D">
        <w:rPr>
          <w:lang w:val="en-US"/>
        </w:rPr>
        <w:t xml:space="preserve"> </w:t>
      </w:r>
      <w:r w:rsidR="005F09AD">
        <w:rPr>
          <w:lang w:val="en-US"/>
        </w:rPr>
        <w:t xml:space="preserve">The tablet is rolled and pierced with a nail, as is customary. </w:t>
      </w:r>
      <w:r w:rsidR="009755E0">
        <w:rPr>
          <w:lang w:val="en-US"/>
        </w:rPr>
        <w:t>Buried with</w:t>
      </w:r>
      <w:r w:rsidR="005F09AD">
        <w:rPr>
          <w:lang w:val="en-US"/>
        </w:rPr>
        <w:t xml:space="preserve"> the tablet is a</w:t>
      </w:r>
      <w:r w:rsidR="009755E0">
        <w:rPr>
          <w:lang w:val="en-US"/>
        </w:rPr>
        <w:t xml:space="preserve"> wax figure of a woman with the victim’s </w:t>
      </w:r>
      <w:r w:rsidR="005F09AD">
        <w:rPr>
          <w:lang w:val="en-US"/>
        </w:rPr>
        <w:t xml:space="preserve">hair wrapped around it as a piece of </w:t>
      </w:r>
      <w:proofErr w:type="spellStart"/>
      <w:r w:rsidR="005F09AD">
        <w:rPr>
          <w:i/>
          <w:lang w:val="en-US"/>
        </w:rPr>
        <w:t>oustia</w:t>
      </w:r>
      <w:proofErr w:type="spellEnd"/>
      <w:r w:rsidR="005F09AD">
        <w:rPr>
          <w:lang w:val="en-US"/>
        </w:rPr>
        <w:t>. The figure has its hands bound behind its back and its head turned backwards, to restrain and confuse the</w:t>
      </w:r>
      <w:r w:rsidR="00AE0DFC">
        <w:rPr>
          <w:lang w:val="en-US"/>
        </w:rPr>
        <w:t xml:space="preserve"> victim as is stated in the tablet</w:t>
      </w:r>
      <w:r w:rsidR="005F09AD">
        <w:rPr>
          <w:lang w:val="en-US"/>
        </w:rPr>
        <w:t>.</w:t>
      </w:r>
      <w:r w:rsidR="006A0245">
        <w:rPr>
          <w:rStyle w:val="FootnoteReference"/>
          <w:lang w:val="en-US"/>
        </w:rPr>
        <w:footnoteReference w:id="4"/>
      </w:r>
      <w:r w:rsidR="005D77A9">
        <w:rPr>
          <w:lang w:val="en-US"/>
        </w:rPr>
        <w:t xml:space="preserve"> It was writ</w:t>
      </w:r>
      <w:r w:rsidR="00965A21">
        <w:rPr>
          <w:lang w:val="en-US"/>
        </w:rPr>
        <w:t>ten in Greece around the fourth century AD</w:t>
      </w:r>
      <w:r w:rsidR="005D77A9">
        <w:rPr>
          <w:lang w:val="en-US"/>
        </w:rPr>
        <w:t>.</w:t>
      </w:r>
      <w:r w:rsidR="00EF4C2E">
        <w:rPr>
          <w:lang w:val="en-US"/>
        </w:rPr>
        <w:t xml:space="preserve"> </w:t>
      </w:r>
      <w:r w:rsidR="00965A21">
        <w:rPr>
          <w:lang w:val="en-US"/>
        </w:rPr>
        <w:t>The</w:t>
      </w:r>
      <w:r w:rsidR="00EF4C2E">
        <w:rPr>
          <w:lang w:val="en-US"/>
        </w:rPr>
        <w:t xml:space="preserve"> tablet </w:t>
      </w:r>
      <w:r w:rsidR="00965A21">
        <w:rPr>
          <w:lang w:val="en-US"/>
        </w:rPr>
        <w:t>use</w:t>
      </w:r>
      <w:r w:rsidR="00EF4C2E">
        <w:rPr>
          <w:lang w:val="en-US"/>
        </w:rPr>
        <w:t>s</w:t>
      </w:r>
      <w:r w:rsidR="00965A21">
        <w:rPr>
          <w:lang w:val="en-US"/>
        </w:rPr>
        <w:t xml:space="preserve"> the </w:t>
      </w:r>
      <w:proofErr w:type="spellStart"/>
      <w:r w:rsidR="00965A21">
        <w:rPr>
          <w:i/>
          <w:lang w:val="en-US"/>
        </w:rPr>
        <w:t>ephesia</w:t>
      </w:r>
      <w:proofErr w:type="spellEnd"/>
      <w:r w:rsidR="00965A21">
        <w:rPr>
          <w:i/>
          <w:lang w:val="en-US"/>
        </w:rPr>
        <w:t xml:space="preserve"> </w:t>
      </w:r>
      <w:proofErr w:type="spellStart"/>
      <w:r w:rsidR="00965A21">
        <w:rPr>
          <w:i/>
          <w:lang w:val="en-US"/>
        </w:rPr>
        <w:t>grammata</w:t>
      </w:r>
      <w:proofErr w:type="spellEnd"/>
      <w:r w:rsidR="00965A21">
        <w:rPr>
          <w:lang w:val="en-US"/>
        </w:rPr>
        <w:t xml:space="preserve"> </w:t>
      </w:r>
      <w:r w:rsidR="00EF4C2E">
        <w:rPr>
          <w:lang w:val="en-US"/>
        </w:rPr>
        <w:t>as they were featured in many of the tablets from the imperial period</w:t>
      </w:r>
      <w:r w:rsidR="00C664CF">
        <w:rPr>
          <w:lang w:val="en-US"/>
        </w:rPr>
        <w:t xml:space="preserve"> – all discussed tablets use the </w:t>
      </w:r>
      <w:proofErr w:type="spellStart"/>
      <w:r w:rsidR="00C664CF">
        <w:rPr>
          <w:i/>
          <w:lang w:val="en-US"/>
        </w:rPr>
        <w:t>voces</w:t>
      </w:r>
      <w:proofErr w:type="spellEnd"/>
      <w:r w:rsidR="00C664CF">
        <w:rPr>
          <w:i/>
          <w:lang w:val="en-US"/>
        </w:rPr>
        <w:t xml:space="preserve"> </w:t>
      </w:r>
      <w:proofErr w:type="spellStart"/>
      <w:r w:rsidR="00C664CF">
        <w:rPr>
          <w:i/>
          <w:lang w:val="en-US"/>
        </w:rPr>
        <w:t>mysticae</w:t>
      </w:r>
      <w:proofErr w:type="spellEnd"/>
      <w:r w:rsidR="00EF4C2E">
        <w:rPr>
          <w:lang w:val="en-US"/>
        </w:rPr>
        <w:t>.</w:t>
      </w:r>
      <w:r w:rsidR="00CF38A3">
        <w:rPr>
          <w:rStyle w:val="FootnoteReference"/>
          <w:lang w:val="en-US"/>
        </w:rPr>
        <w:footnoteReference w:id="5"/>
      </w:r>
      <w:r w:rsidR="00EF4C2E">
        <w:rPr>
          <w:lang w:val="en-US"/>
        </w:rPr>
        <w:t xml:space="preserve"> Since erotic attraction spells only became major in the fourth century AD, the </w:t>
      </w:r>
      <w:proofErr w:type="spellStart"/>
      <w:r w:rsidR="00EF4C2E">
        <w:rPr>
          <w:i/>
          <w:lang w:val="en-US"/>
        </w:rPr>
        <w:t>ephesia</w:t>
      </w:r>
      <w:proofErr w:type="spellEnd"/>
      <w:r w:rsidR="00EF4C2E">
        <w:rPr>
          <w:i/>
          <w:lang w:val="en-US"/>
        </w:rPr>
        <w:t xml:space="preserve"> </w:t>
      </w:r>
      <w:proofErr w:type="spellStart"/>
      <w:r w:rsidR="00EF4C2E">
        <w:rPr>
          <w:i/>
          <w:lang w:val="en-US"/>
        </w:rPr>
        <w:t>grammata</w:t>
      </w:r>
      <w:proofErr w:type="spellEnd"/>
      <w:r w:rsidR="00EF4C2E">
        <w:rPr>
          <w:lang w:val="en-US"/>
        </w:rPr>
        <w:t xml:space="preserve"> would have become part of the “formula” for curse tablets.</w:t>
      </w:r>
      <w:r w:rsidR="00880CF8">
        <w:rPr>
          <w:rStyle w:val="FootnoteReference"/>
          <w:lang w:val="en-US"/>
        </w:rPr>
        <w:footnoteReference w:id="6"/>
      </w:r>
      <w:r w:rsidR="0032245A">
        <w:rPr>
          <w:lang w:val="en-US"/>
        </w:rPr>
        <w:t xml:space="preserve"> </w:t>
      </w:r>
      <w:r w:rsidR="00EF4C2E">
        <w:rPr>
          <w:lang w:val="en-US"/>
        </w:rPr>
        <w:t>No</w:t>
      </w:r>
      <w:r w:rsidR="00C51FED">
        <w:rPr>
          <w:lang w:val="en-US"/>
        </w:rPr>
        <w:t xml:space="preserve"> drawings or </w:t>
      </w:r>
      <w:proofErr w:type="spellStart"/>
      <w:r w:rsidR="00C51FED" w:rsidRPr="00C51FED">
        <w:rPr>
          <w:i/>
          <w:lang w:val="en-US"/>
        </w:rPr>
        <w:t>chara</w:t>
      </w:r>
      <w:r w:rsidR="00045ACE">
        <w:rPr>
          <w:i/>
          <w:lang w:val="en-US"/>
        </w:rPr>
        <w:t>kt</w:t>
      </w:r>
      <w:r w:rsidR="00045ACE">
        <w:rPr>
          <w:rFonts w:cstheme="minorHAnsi"/>
          <w:i/>
          <w:lang w:val="en-US"/>
        </w:rPr>
        <w:t>ē</w:t>
      </w:r>
      <w:r w:rsidR="00C51FED" w:rsidRPr="00C51FED">
        <w:rPr>
          <w:i/>
          <w:lang w:val="en-US"/>
        </w:rPr>
        <w:t>re</w:t>
      </w:r>
      <w:r w:rsidR="00045ACE">
        <w:rPr>
          <w:i/>
          <w:lang w:val="en-US"/>
        </w:rPr>
        <w:t>s</w:t>
      </w:r>
      <w:proofErr w:type="spellEnd"/>
      <w:r w:rsidR="00C51FED">
        <w:rPr>
          <w:lang w:val="en-US"/>
        </w:rPr>
        <w:t xml:space="preserve"> </w:t>
      </w:r>
      <w:r w:rsidR="00C51FED" w:rsidRPr="00C51FED">
        <w:rPr>
          <w:lang w:val="en-US"/>
        </w:rPr>
        <w:t>are</w:t>
      </w:r>
      <w:r w:rsidR="00C51FED">
        <w:rPr>
          <w:lang w:val="en-US"/>
        </w:rPr>
        <w:t xml:space="preserve"> included as they are not common to erotic attraction spells</w:t>
      </w:r>
      <w:r w:rsidR="00EF4C2E">
        <w:rPr>
          <w:lang w:val="en-US"/>
        </w:rPr>
        <w:t xml:space="preserve"> </w:t>
      </w:r>
      <w:r w:rsidR="00120C3B">
        <w:rPr>
          <w:lang w:val="en-US"/>
        </w:rPr>
        <w:t xml:space="preserve">nor </w:t>
      </w:r>
      <w:r w:rsidR="0032245A">
        <w:rPr>
          <w:lang w:val="en-US"/>
        </w:rPr>
        <w:t xml:space="preserve">are </w:t>
      </w:r>
      <w:r w:rsidR="009755E0">
        <w:rPr>
          <w:lang w:val="en-US"/>
        </w:rPr>
        <w:t xml:space="preserve">they </w:t>
      </w:r>
      <w:r w:rsidR="0032245A">
        <w:rPr>
          <w:lang w:val="en-US"/>
        </w:rPr>
        <w:t>required</w:t>
      </w:r>
      <w:r w:rsidR="009755E0">
        <w:rPr>
          <w:lang w:val="en-US"/>
        </w:rPr>
        <w:t>,</w:t>
      </w:r>
      <w:r w:rsidR="0032245A">
        <w:rPr>
          <w:lang w:val="en-US"/>
        </w:rPr>
        <w:t xml:space="preserve"> </w:t>
      </w:r>
      <w:r w:rsidR="00120C3B">
        <w:rPr>
          <w:lang w:val="en-US"/>
        </w:rPr>
        <w:t>unless the spell needed to be particularly powerful</w:t>
      </w:r>
      <w:r w:rsidR="00C51FED">
        <w:rPr>
          <w:lang w:val="en-US"/>
        </w:rPr>
        <w:t xml:space="preserve">. </w:t>
      </w:r>
      <w:r w:rsidR="005D77A9">
        <w:rPr>
          <w:lang w:val="en-US"/>
        </w:rPr>
        <w:t>No oral incantations are used either as the tablet is long enough and complex enough to negat</w:t>
      </w:r>
      <w:r w:rsidR="00965A21">
        <w:rPr>
          <w:lang w:val="en-US"/>
        </w:rPr>
        <w:t>e needing an oral accompaniment</w:t>
      </w:r>
      <w:r w:rsidR="0032245A">
        <w:rPr>
          <w:lang w:val="en-US"/>
        </w:rPr>
        <w:t>.</w:t>
      </w:r>
    </w:p>
    <w:p w:rsidR="00AB16B1" w:rsidRPr="00C51FED" w:rsidRDefault="00AB16B1">
      <w:pPr>
        <w:rPr>
          <w:lang w:val="en-US"/>
        </w:rPr>
      </w:pPr>
      <w:r>
        <w:rPr>
          <w:lang w:val="en-US"/>
        </w:rPr>
        <w:t>A voodoo doll is used in two attraction</w:t>
      </w:r>
      <w:r w:rsidR="00502D1D">
        <w:rPr>
          <w:lang w:val="en-US"/>
        </w:rPr>
        <w:t xml:space="preserve"> spell</w:t>
      </w:r>
      <w:r>
        <w:rPr>
          <w:lang w:val="en-US"/>
        </w:rPr>
        <w:t xml:space="preserve"> recipes (Ogden, 208 &amp; 209, p. 233). It i</w:t>
      </w:r>
      <w:r w:rsidR="00847A4B">
        <w:rPr>
          <w:lang w:val="en-US"/>
        </w:rPr>
        <w:t>s included</w:t>
      </w:r>
      <w:r>
        <w:rPr>
          <w:lang w:val="en-US"/>
        </w:rPr>
        <w:t xml:space="preserve"> to make the spell more powerful, since </w:t>
      </w:r>
      <w:proofErr w:type="spellStart"/>
      <w:r>
        <w:rPr>
          <w:i/>
          <w:lang w:val="en-US"/>
        </w:rPr>
        <w:t>oustia</w:t>
      </w:r>
      <w:proofErr w:type="spellEnd"/>
      <w:r>
        <w:rPr>
          <w:lang w:val="en-US"/>
        </w:rPr>
        <w:t xml:space="preserve"> </w:t>
      </w:r>
      <w:r w:rsidR="00BC3E2C">
        <w:rPr>
          <w:lang w:val="en-US"/>
        </w:rPr>
        <w:t>is used and thus acts as</w:t>
      </w:r>
      <w:r>
        <w:rPr>
          <w:lang w:val="en-US"/>
        </w:rPr>
        <w:t xml:space="preserve"> a direct link to the victim. It is possible that dolls may have accompanied the other examples discussed, but</w:t>
      </w:r>
      <w:r w:rsidR="0087010A">
        <w:rPr>
          <w:lang w:val="en-US"/>
        </w:rPr>
        <w:t xml:space="preserve"> have</w:t>
      </w:r>
      <w:r>
        <w:rPr>
          <w:lang w:val="en-US"/>
        </w:rPr>
        <w:t xml:space="preserve"> not been mentioned, or have decayed over time.</w:t>
      </w:r>
    </w:p>
    <w:p w:rsidR="005F09AD" w:rsidRDefault="005F09AD">
      <w:pPr>
        <w:rPr>
          <w:lang w:val="en-US"/>
        </w:rPr>
      </w:pPr>
      <w:r>
        <w:rPr>
          <w:lang w:val="en-US"/>
        </w:rPr>
        <w:t xml:space="preserve">A feature common to erotic attraction spells is the specific binding of body parts, as is present in </w:t>
      </w:r>
      <w:r w:rsidR="00E025DC">
        <w:rPr>
          <w:lang w:val="en-US"/>
        </w:rPr>
        <w:t>a fifth century AD Egyptian curse (Ogden, 207, p. 232) and a second century AD Egyptian curse (Ogden, 210, p.234). T</w:t>
      </w:r>
      <w:r w:rsidR="00C56B36">
        <w:rPr>
          <w:lang w:val="en-US"/>
        </w:rPr>
        <w:t xml:space="preserve">he four tablets discussed by Bravo </w:t>
      </w:r>
      <w:r w:rsidR="00E025DC">
        <w:rPr>
          <w:lang w:val="en-US"/>
        </w:rPr>
        <w:t xml:space="preserve">also </w:t>
      </w:r>
      <w:r w:rsidR="00C56B36">
        <w:rPr>
          <w:lang w:val="en-US"/>
        </w:rPr>
        <w:t>all feature the specific binding of genitals, as well as the</w:t>
      </w:r>
      <w:r w:rsidR="003E7F8F">
        <w:rPr>
          <w:lang w:val="en-US"/>
        </w:rPr>
        <w:t xml:space="preserve"> body, the soul, and other </w:t>
      </w:r>
      <w:r w:rsidR="00C56B36">
        <w:rPr>
          <w:lang w:val="en-US"/>
        </w:rPr>
        <w:t>body parts.</w:t>
      </w:r>
      <w:r w:rsidR="00C56B36">
        <w:rPr>
          <w:rStyle w:val="FootnoteReference"/>
          <w:lang w:val="en-US"/>
        </w:rPr>
        <w:footnoteReference w:id="7"/>
      </w:r>
      <w:r w:rsidR="00C56B36">
        <w:rPr>
          <w:lang w:val="en-US"/>
        </w:rPr>
        <w:t xml:space="preserve"> </w:t>
      </w:r>
      <w:r>
        <w:rPr>
          <w:lang w:val="en-US"/>
        </w:rPr>
        <w:t>The spell above binds the woman’</w:t>
      </w:r>
      <w:r w:rsidR="00F77DAF">
        <w:rPr>
          <w:lang w:val="en-US"/>
        </w:rPr>
        <w:t>s body</w:t>
      </w:r>
      <w:r>
        <w:rPr>
          <w:lang w:val="en-US"/>
        </w:rPr>
        <w:t xml:space="preserve">, as well as her heart and soul, </w:t>
      </w:r>
      <w:r w:rsidR="003E7F8F">
        <w:rPr>
          <w:lang w:val="en-US"/>
        </w:rPr>
        <w:t>to</w:t>
      </w:r>
      <w:r>
        <w:rPr>
          <w:lang w:val="en-US"/>
        </w:rPr>
        <w:t xml:space="preserve"> win her over to the</w:t>
      </w:r>
      <w:r w:rsidR="00CF38A3">
        <w:rPr>
          <w:lang w:val="en-US"/>
        </w:rPr>
        <w:t xml:space="preserve"> spell-</w:t>
      </w:r>
      <w:r>
        <w:rPr>
          <w:lang w:val="en-US"/>
        </w:rPr>
        <w:t>caster.</w:t>
      </w:r>
      <w:r w:rsidR="00E025DC">
        <w:rPr>
          <w:lang w:val="en-US"/>
        </w:rPr>
        <w:t xml:space="preserve"> Tablet 207 repeatedly mentions different parts of the victim’s body, binding her brain and heart as well as her vulva; and tablet 210 binds the victim’s soul and heart. These body parts have been bound as they are essential for love; the sexual organs have also been bound to give the lust desired. As such, the tablet above binds the victim’s mind and soul, so that she will love the spell-caster, and her body and vulva, so she desires the spell-caster.</w:t>
      </w:r>
    </w:p>
    <w:p w:rsidR="008E779E" w:rsidRDefault="006C34B3" w:rsidP="00C51FED">
      <w:pPr>
        <w:rPr>
          <w:lang w:val="en-US"/>
        </w:rPr>
      </w:pPr>
      <w:r>
        <w:rPr>
          <w:lang w:val="en-US"/>
        </w:rPr>
        <w:t>The tablet also “[utilizes] ideas of general or specific harm to the object” by using illness to inflame and burn the victim and prevent them from eating, drinking, and sleeping, “[assaulting] the victim with pain that, seemingly, will remit only in the presence of the spell-caster,” a feature very common to erotic attraction spells.</w:t>
      </w:r>
      <w:r>
        <w:rPr>
          <w:rStyle w:val="FootnoteReference"/>
          <w:lang w:val="en-US"/>
        </w:rPr>
        <w:footnoteReference w:id="8"/>
      </w:r>
      <w:r>
        <w:rPr>
          <w:lang w:val="en-US"/>
        </w:rPr>
        <w:t xml:space="preserve"> This could be considered an attempt to weaken the victim until they gave in to the caster’s efforts. </w:t>
      </w:r>
      <w:proofErr w:type="spellStart"/>
      <w:r w:rsidR="00045ACE">
        <w:rPr>
          <w:lang w:val="en-US"/>
        </w:rPr>
        <w:t>Pachoumi</w:t>
      </w:r>
      <w:proofErr w:type="spellEnd"/>
      <w:r w:rsidR="00045ACE">
        <w:rPr>
          <w:lang w:val="en-US"/>
        </w:rPr>
        <w:t xml:space="preserve"> also notes </w:t>
      </w:r>
      <w:r w:rsidR="00810B3A">
        <w:rPr>
          <w:lang w:val="en-US"/>
        </w:rPr>
        <w:t xml:space="preserve">that </w:t>
      </w:r>
      <w:r w:rsidR="00045ACE">
        <w:rPr>
          <w:lang w:val="en-US"/>
        </w:rPr>
        <w:t xml:space="preserve">“Greek and Roman physicians treat erotic passion as a disease,” </w:t>
      </w:r>
      <w:r w:rsidR="00810B3A">
        <w:rPr>
          <w:lang w:val="en-US"/>
        </w:rPr>
        <w:t xml:space="preserve">and as such </w:t>
      </w:r>
      <w:r w:rsidR="00045ACE">
        <w:rPr>
          <w:lang w:val="en-US"/>
        </w:rPr>
        <w:t>illness</w:t>
      </w:r>
      <w:r w:rsidR="00810B3A">
        <w:rPr>
          <w:lang w:val="en-US"/>
        </w:rPr>
        <w:t xml:space="preserve"> is used in</w:t>
      </w:r>
      <w:r w:rsidR="00045ACE">
        <w:rPr>
          <w:lang w:val="en-US"/>
        </w:rPr>
        <w:t xml:space="preserve"> erotic curse tablets</w:t>
      </w:r>
      <w:r w:rsidR="00810B3A">
        <w:rPr>
          <w:lang w:val="en-US"/>
        </w:rPr>
        <w:t xml:space="preserve"> to inflame desire</w:t>
      </w:r>
      <w:r w:rsidR="00045ACE">
        <w:rPr>
          <w:lang w:val="en-US"/>
        </w:rPr>
        <w:t>.</w:t>
      </w:r>
      <w:r w:rsidR="00045ACE">
        <w:rPr>
          <w:rStyle w:val="FootnoteReference"/>
          <w:lang w:val="en-US"/>
        </w:rPr>
        <w:footnoteReference w:id="9"/>
      </w:r>
      <w:r w:rsidR="00045ACE">
        <w:rPr>
          <w:lang w:val="en-US"/>
        </w:rPr>
        <w:t xml:space="preserve"> </w:t>
      </w:r>
      <w:r>
        <w:rPr>
          <w:lang w:val="en-US"/>
        </w:rPr>
        <w:t xml:space="preserve">This </w:t>
      </w:r>
      <w:r w:rsidR="00BE402B">
        <w:rPr>
          <w:lang w:val="en-US"/>
        </w:rPr>
        <w:t xml:space="preserve">feature is </w:t>
      </w:r>
      <w:r w:rsidR="00BE402B">
        <w:rPr>
          <w:lang w:val="en-US"/>
        </w:rPr>
        <w:lastRenderedPageBreak/>
        <w:t>found</w:t>
      </w:r>
      <w:r w:rsidR="00595EAC">
        <w:rPr>
          <w:lang w:val="en-US"/>
        </w:rPr>
        <w:t xml:space="preserve"> most explicitly</w:t>
      </w:r>
      <w:r w:rsidR="00BE402B">
        <w:rPr>
          <w:lang w:val="en-US"/>
        </w:rPr>
        <w:t xml:space="preserve"> in examples of a fifth century AD Egyptian curse </w:t>
      </w:r>
      <w:r w:rsidR="00E025DC">
        <w:rPr>
          <w:lang w:val="en-US"/>
        </w:rPr>
        <w:t xml:space="preserve">(Ogden, 207, p. 232) </w:t>
      </w:r>
      <w:r w:rsidR="00BE402B">
        <w:rPr>
          <w:lang w:val="en-US"/>
        </w:rPr>
        <w:t>which calls for the deities to “burn her limbs, her liver, her woman’s body, until she comes to me, loving me,” and a second century AD Egyptian curse (</w:t>
      </w:r>
      <w:r w:rsidR="00E025DC">
        <w:rPr>
          <w:lang w:val="en-US"/>
        </w:rPr>
        <w:t xml:space="preserve">Ogden, 206, p. 231) </w:t>
      </w:r>
      <w:r w:rsidR="00BE402B">
        <w:rPr>
          <w:lang w:val="en-US"/>
        </w:rPr>
        <w:t xml:space="preserve">which asks that </w:t>
      </w:r>
      <w:proofErr w:type="spellStart"/>
      <w:r w:rsidR="00BE402B">
        <w:rPr>
          <w:lang w:val="en-US"/>
        </w:rPr>
        <w:t>Theodotis</w:t>
      </w:r>
      <w:proofErr w:type="spellEnd"/>
      <w:r w:rsidR="00774383">
        <w:rPr>
          <w:lang w:val="en-US"/>
        </w:rPr>
        <w:t xml:space="preserve"> (the victim)</w:t>
      </w:r>
      <w:r w:rsidR="00BE402B">
        <w:rPr>
          <w:lang w:val="en-US"/>
        </w:rPr>
        <w:t xml:space="preserve"> be</w:t>
      </w:r>
      <w:r w:rsidR="00774383">
        <w:rPr>
          <w:lang w:val="en-US"/>
        </w:rPr>
        <w:t xml:space="preserve"> “dragged in slavery, driven crazy, taking to the air in search</w:t>
      </w:r>
      <w:r w:rsidR="000A5C0E">
        <w:rPr>
          <w:lang w:val="en-US"/>
        </w:rPr>
        <w:t>.”</w:t>
      </w:r>
      <w:r w:rsidR="00774383">
        <w:rPr>
          <w:rStyle w:val="FootnoteReference"/>
          <w:lang w:val="en-US"/>
        </w:rPr>
        <w:footnoteReference w:id="10"/>
      </w:r>
      <w:r>
        <w:rPr>
          <w:lang w:val="en-US"/>
        </w:rPr>
        <w:t xml:space="preserve"> </w:t>
      </w:r>
      <w:r w:rsidR="00774383">
        <w:rPr>
          <w:lang w:val="en-US"/>
        </w:rPr>
        <w:t>This feature</w:t>
      </w:r>
      <w:r>
        <w:rPr>
          <w:lang w:val="en-US"/>
        </w:rPr>
        <w:t xml:space="preserve"> </w:t>
      </w:r>
      <w:r w:rsidR="00A64143">
        <w:rPr>
          <w:lang w:val="en-US"/>
        </w:rPr>
        <w:t>is included in the</w:t>
      </w:r>
      <w:r>
        <w:rPr>
          <w:lang w:val="en-US"/>
        </w:rPr>
        <w:t xml:space="preserve"> tablet as it seeks to make the victim feel the pain of the spell-caster</w:t>
      </w:r>
      <w:r w:rsidR="000A5C0E">
        <w:rPr>
          <w:lang w:val="en-US"/>
        </w:rPr>
        <w:t>’s love for the victim,</w:t>
      </w:r>
      <w:r>
        <w:rPr>
          <w:lang w:val="en-US"/>
        </w:rPr>
        <w:t xml:space="preserve"> as well as simultaneously working towards bending them to the spell-caster’</w:t>
      </w:r>
      <w:r w:rsidR="00A64143">
        <w:rPr>
          <w:lang w:val="en-US"/>
        </w:rPr>
        <w:t>s will, weakening them until they have no choice but to give in.</w:t>
      </w:r>
    </w:p>
    <w:p w:rsidR="008E779E" w:rsidRDefault="008E779E" w:rsidP="008E779E">
      <w:pPr>
        <w:tabs>
          <w:tab w:val="left" w:pos="3735"/>
        </w:tabs>
        <w:rPr>
          <w:lang w:val="en-US"/>
        </w:rPr>
      </w:pPr>
    </w:p>
    <w:p w:rsidR="008E779E" w:rsidRDefault="008E779E" w:rsidP="008E779E">
      <w:pPr>
        <w:tabs>
          <w:tab w:val="left" w:pos="3735"/>
        </w:tabs>
        <w:rPr>
          <w:lang w:val="en-US"/>
        </w:rPr>
      </w:pPr>
      <w:r>
        <w:rPr>
          <w:lang w:val="en-US"/>
        </w:rPr>
        <w:t>Word Count= 1173</w:t>
      </w:r>
    </w:p>
    <w:p w:rsidR="008E779E" w:rsidRDefault="008E779E">
      <w:pPr>
        <w:rPr>
          <w:lang w:val="en-US"/>
        </w:rPr>
      </w:pPr>
      <w:r>
        <w:rPr>
          <w:lang w:val="en-US"/>
        </w:rPr>
        <w:br w:type="page"/>
      </w:r>
    </w:p>
    <w:p w:rsidR="008E779E" w:rsidRDefault="008E779E" w:rsidP="008E779E">
      <w:pPr>
        <w:tabs>
          <w:tab w:val="left" w:pos="3735"/>
        </w:tabs>
        <w:rPr>
          <w:lang w:val="en-US"/>
        </w:rPr>
      </w:pPr>
      <w:r>
        <w:rPr>
          <w:b/>
          <w:lang w:val="en-US"/>
        </w:rPr>
        <w:lastRenderedPageBreak/>
        <w:t>REFERENCES</w:t>
      </w:r>
    </w:p>
    <w:p w:rsidR="008E779E" w:rsidRDefault="008E779E" w:rsidP="008A7D86">
      <w:pPr>
        <w:tabs>
          <w:tab w:val="left" w:pos="3735"/>
        </w:tabs>
        <w:ind w:left="567" w:hanging="567"/>
      </w:pPr>
      <w:proofErr w:type="spellStart"/>
      <w:r>
        <w:t>Ankarloo</w:t>
      </w:r>
      <w:proofErr w:type="spellEnd"/>
      <w:r>
        <w:t xml:space="preserve">, B., &amp; Clark, S. </w:t>
      </w:r>
      <w:r>
        <w:rPr>
          <w:i/>
        </w:rPr>
        <w:t xml:space="preserve">Witchcraft and Magic </w:t>
      </w:r>
      <w:proofErr w:type="gramStart"/>
      <w:r>
        <w:rPr>
          <w:i/>
        </w:rPr>
        <w:t>In</w:t>
      </w:r>
      <w:proofErr w:type="gramEnd"/>
      <w:r>
        <w:rPr>
          <w:i/>
        </w:rPr>
        <w:t xml:space="preserve"> Europe. </w:t>
      </w:r>
      <w:proofErr w:type="gramStart"/>
      <w:r>
        <w:rPr>
          <w:i/>
        </w:rPr>
        <w:t>Ancient Greece and Rome.</w:t>
      </w:r>
      <w:proofErr w:type="gramEnd"/>
      <w:r>
        <w:t xml:space="preserve"> Philadelphia, PA: University of Pennsylvania Press, 1999.</w:t>
      </w:r>
    </w:p>
    <w:p w:rsidR="00490DE9" w:rsidRPr="00490DE9" w:rsidRDefault="00490DE9" w:rsidP="008A7D86">
      <w:pPr>
        <w:tabs>
          <w:tab w:val="left" w:pos="3735"/>
        </w:tabs>
        <w:ind w:left="567" w:hanging="567"/>
        <w:rPr>
          <w:lang w:val="en-US"/>
        </w:rPr>
      </w:pPr>
      <w:r>
        <w:rPr>
          <w:lang w:val="en-US"/>
        </w:rPr>
        <w:t>Bravo, J. “</w:t>
      </w:r>
      <w:r w:rsidRPr="003C0534">
        <w:rPr>
          <w:lang w:val="en-US"/>
        </w:rPr>
        <w:t xml:space="preserve">Erotic Curse Tablets from the </w:t>
      </w:r>
      <w:proofErr w:type="spellStart"/>
      <w:r w:rsidRPr="003C0534">
        <w:rPr>
          <w:lang w:val="en-US"/>
        </w:rPr>
        <w:t>Hero</w:t>
      </w:r>
      <w:r w:rsidRPr="003C0534">
        <w:rPr>
          <w:rFonts w:cstheme="minorHAnsi"/>
          <w:lang w:val="en-US"/>
        </w:rPr>
        <w:t>ӧ</w:t>
      </w:r>
      <w:r w:rsidRPr="003C0534">
        <w:rPr>
          <w:lang w:val="en-US"/>
        </w:rPr>
        <w:t>n</w:t>
      </w:r>
      <w:proofErr w:type="spellEnd"/>
      <w:r w:rsidRPr="003C0534">
        <w:rPr>
          <w:lang w:val="en-US"/>
        </w:rPr>
        <w:t xml:space="preserve"> of </w:t>
      </w:r>
      <w:proofErr w:type="spellStart"/>
      <w:r w:rsidRPr="003C0534">
        <w:rPr>
          <w:lang w:val="en-US"/>
        </w:rPr>
        <w:t>Opheltes</w:t>
      </w:r>
      <w:proofErr w:type="spellEnd"/>
      <w:r w:rsidRPr="003C0534">
        <w:rPr>
          <w:lang w:val="en-US"/>
        </w:rPr>
        <w:t xml:space="preserve"> at Nemea.</w:t>
      </w:r>
      <w:r>
        <w:rPr>
          <w:lang w:val="en-US"/>
        </w:rPr>
        <w:t xml:space="preserve">” </w:t>
      </w:r>
      <w:r>
        <w:rPr>
          <w:i/>
          <w:lang w:val="en-US"/>
        </w:rPr>
        <w:t xml:space="preserve">Hesperia: The Journal of </w:t>
      </w:r>
      <w:r w:rsidRPr="003C0534">
        <w:rPr>
          <w:i/>
          <w:lang w:val="en-US"/>
        </w:rPr>
        <w:t>American School of Classical Studies at Athens</w:t>
      </w:r>
      <w:r>
        <w:rPr>
          <w:lang w:val="en-US"/>
        </w:rPr>
        <w:t>, 85(1) (2016), 121-152.</w:t>
      </w:r>
    </w:p>
    <w:p w:rsidR="00490DE9" w:rsidRPr="00490DE9" w:rsidRDefault="00490DE9" w:rsidP="008A7D86">
      <w:pPr>
        <w:tabs>
          <w:tab w:val="left" w:pos="3735"/>
        </w:tabs>
        <w:ind w:left="567" w:hanging="567"/>
        <w:rPr>
          <w:lang w:val="en-US"/>
        </w:rPr>
      </w:pPr>
      <w:proofErr w:type="spellStart"/>
      <w:r>
        <w:rPr>
          <w:lang w:val="en-US"/>
        </w:rPr>
        <w:t>LiDonnici</w:t>
      </w:r>
      <w:proofErr w:type="spellEnd"/>
      <w:r>
        <w:rPr>
          <w:lang w:val="en-US"/>
        </w:rPr>
        <w:t>, L. “</w:t>
      </w:r>
      <w:r w:rsidRPr="003C0534">
        <w:rPr>
          <w:lang w:val="en-US"/>
        </w:rPr>
        <w:t>Burning for It: Erotic Spells for Fever and Compulsion in the Ancient Mediterranean World</w:t>
      </w:r>
      <w:r>
        <w:rPr>
          <w:i/>
          <w:lang w:val="en-US"/>
        </w:rPr>
        <w:t>.</w:t>
      </w:r>
      <w:r>
        <w:rPr>
          <w:lang w:val="en-US"/>
        </w:rPr>
        <w:t xml:space="preserve">” </w:t>
      </w:r>
      <w:r>
        <w:rPr>
          <w:i/>
          <w:lang w:val="en-US"/>
        </w:rPr>
        <w:t>Greek, Roman, and Byzantine Studies</w:t>
      </w:r>
      <w:r>
        <w:rPr>
          <w:lang w:val="en-US"/>
        </w:rPr>
        <w:t>, 39(1) (2005), 63-98.</w:t>
      </w:r>
    </w:p>
    <w:p w:rsidR="008E779E" w:rsidRDefault="008E779E" w:rsidP="008A7D86">
      <w:pPr>
        <w:tabs>
          <w:tab w:val="left" w:pos="3735"/>
        </w:tabs>
        <w:ind w:left="567" w:hanging="567"/>
        <w:rPr>
          <w:lang w:val="en-US"/>
        </w:rPr>
      </w:pPr>
      <w:proofErr w:type="gramStart"/>
      <w:r>
        <w:t xml:space="preserve">Ogden, D. </w:t>
      </w:r>
      <w:r>
        <w:rPr>
          <w:i/>
        </w:rPr>
        <w:t>Magic, Witchcraft, and Ghosts in the Greek and Roman Worlds.</w:t>
      </w:r>
      <w:proofErr w:type="gramEnd"/>
      <w:r>
        <w:t xml:space="preserve"> New York, NY: Oxford University Press </w:t>
      </w:r>
      <w:proofErr w:type="spellStart"/>
      <w:r>
        <w:t>Inc</w:t>
      </w:r>
      <w:proofErr w:type="spellEnd"/>
      <w:r>
        <w:t>, 2002.</w:t>
      </w:r>
    </w:p>
    <w:p w:rsidR="008E779E" w:rsidRDefault="008E779E" w:rsidP="008A7D86">
      <w:pPr>
        <w:tabs>
          <w:tab w:val="left" w:pos="3735"/>
        </w:tabs>
        <w:ind w:left="567" w:hanging="567"/>
        <w:rPr>
          <w:lang w:val="en-US"/>
        </w:rPr>
      </w:pPr>
      <w:proofErr w:type="spellStart"/>
      <w:r>
        <w:rPr>
          <w:lang w:val="en-US"/>
        </w:rPr>
        <w:t>Pachoumi</w:t>
      </w:r>
      <w:proofErr w:type="spellEnd"/>
      <w:r>
        <w:rPr>
          <w:lang w:val="en-US"/>
        </w:rPr>
        <w:t xml:space="preserve">, E. “Eros as a Disease, Torture and Punishment in Magical Literature.” </w:t>
      </w:r>
      <w:proofErr w:type="spellStart"/>
      <w:r>
        <w:rPr>
          <w:i/>
          <w:lang w:val="en-US"/>
        </w:rPr>
        <w:t>Symbolae</w:t>
      </w:r>
      <w:proofErr w:type="spellEnd"/>
      <w:r>
        <w:rPr>
          <w:i/>
          <w:lang w:val="en-US"/>
        </w:rPr>
        <w:t xml:space="preserve"> </w:t>
      </w:r>
      <w:proofErr w:type="spellStart"/>
      <w:r>
        <w:rPr>
          <w:i/>
          <w:lang w:val="en-US"/>
        </w:rPr>
        <w:t>Osloenses</w:t>
      </w:r>
      <w:proofErr w:type="spellEnd"/>
      <w:r>
        <w:rPr>
          <w:lang w:val="en-US"/>
        </w:rPr>
        <w:t>, 86(1) (2012), 74-93.</w:t>
      </w:r>
    </w:p>
    <w:sectPr w:rsidR="008E779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52" w:rsidRDefault="001D4E52" w:rsidP="00E8038D">
      <w:pPr>
        <w:spacing w:after="0" w:line="240" w:lineRule="auto"/>
      </w:pPr>
      <w:r>
        <w:separator/>
      </w:r>
    </w:p>
  </w:endnote>
  <w:endnote w:type="continuationSeparator" w:id="0">
    <w:p w:rsidR="001D4E52" w:rsidRDefault="001D4E52" w:rsidP="00E80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A6D" w:rsidRDefault="00E04A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835593"/>
      <w:docPartObj>
        <w:docPartGallery w:val="Page Numbers (Bottom of Page)"/>
        <w:docPartUnique/>
      </w:docPartObj>
    </w:sdtPr>
    <w:sdtEndPr>
      <w:rPr>
        <w:noProof/>
      </w:rPr>
    </w:sdtEndPr>
    <w:sdtContent>
      <w:p w:rsidR="00965B85" w:rsidRDefault="00965B85">
        <w:pPr>
          <w:pStyle w:val="Footer"/>
          <w:jc w:val="right"/>
        </w:pPr>
        <w:r>
          <w:fldChar w:fldCharType="begin"/>
        </w:r>
        <w:r>
          <w:instrText xml:space="preserve"> PAGE   \* MERGEFORMAT </w:instrText>
        </w:r>
        <w:r>
          <w:fldChar w:fldCharType="separate"/>
        </w:r>
        <w:r w:rsidR="00E04A6D">
          <w:rPr>
            <w:noProof/>
          </w:rPr>
          <w:t>1</w:t>
        </w:r>
        <w:r>
          <w:rPr>
            <w:noProof/>
          </w:rPr>
          <w:fldChar w:fldCharType="end"/>
        </w:r>
      </w:p>
    </w:sdtContent>
  </w:sdt>
  <w:p w:rsidR="00965B85" w:rsidRDefault="00965B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A6D" w:rsidRDefault="00E04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52" w:rsidRDefault="001D4E52" w:rsidP="00E8038D">
      <w:pPr>
        <w:spacing w:after="0" w:line="240" w:lineRule="auto"/>
      </w:pPr>
      <w:r>
        <w:separator/>
      </w:r>
    </w:p>
  </w:footnote>
  <w:footnote w:type="continuationSeparator" w:id="0">
    <w:p w:rsidR="001D4E52" w:rsidRDefault="001D4E52" w:rsidP="00E8038D">
      <w:pPr>
        <w:spacing w:after="0" w:line="240" w:lineRule="auto"/>
      </w:pPr>
      <w:r>
        <w:continuationSeparator/>
      </w:r>
    </w:p>
  </w:footnote>
  <w:footnote w:id="1">
    <w:p w:rsidR="005344B3" w:rsidRDefault="00B34721">
      <w:pPr>
        <w:pStyle w:val="FootnoteText"/>
      </w:pPr>
      <w:r>
        <w:rPr>
          <w:rStyle w:val="FootnoteReference"/>
        </w:rPr>
        <w:footnoteRef/>
      </w:r>
      <w:r w:rsidR="00307ED6">
        <w:t xml:space="preserve"> </w:t>
      </w:r>
      <w:proofErr w:type="spellStart"/>
      <w:r w:rsidR="00307ED6">
        <w:t>Ankarloo</w:t>
      </w:r>
      <w:proofErr w:type="spellEnd"/>
      <w:r w:rsidR="00307ED6">
        <w:t xml:space="preserve">, B., &amp; Clark, S. </w:t>
      </w:r>
      <w:r w:rsidR="00307ED6">
        <w:rPr>
          <w:i/>
        </w:rPr>
        <w:t xml:space="preserve">Witchcraft and Magic </w:t>
      </w:r>
      <w:proofErr w:type="gramStart"/>
      <w:r w:rsidR="00307ED6">
        <w:rPr>
          <w:i/>
        </w:rPr>
        <w:t>In</w:t>
      </w:r>
      <w:proofErr w:type="gramEnd"/>
      <w:r w:rsidR="00307ED6">
        <w:rPr>
          <w:i/>
        </w:rPr>
        <w:t xml:space="preserve"> Europe. </w:t>
      </w:r>
      <w:proofErr w:type="gramStart"/>
      <w:r w:rsidR="00307ED6">
        <w:rPr>
          <w:i/>
        </w:rPr>
        <w:t>Ancient Greece and Rome.</w:t>
      </w:r>
      <w:proofErr w:type="gramEnd"/>
      <w:r w:rsidR="00307ED6">
        <w:t xml:space="preserve"> </w:t>
      </w:r>
      <w:proofErr w:type="gramStart"/>
      <w:r w:rsidR="00307ED6">
        <w:t>(</w:t>
      </w:r>
      <w:r w:rsidR="005344B3">
        <w:t>Philadelphia, PA: University of Pennsylvania Press, 1999), 37.</w:t>
      </w:r>
      <w:proofErr w:type="gramEnd"/>
    </w:p>
    <w:p w:rsidR="00B34721" w:rsidRPr="00B34721" w:rsidRDefault="005344B3" w:rsidP="005344B3">
      <w:pPr>
        <w:pStyle w:val="FootnoteText"/>
        <w:rPr>
          <w:lang w:val="en-US"/>
        </w:rPr>
      </w:pPr>
      <w:r>
        <w:t xml:space="preserve">  </w:t>
      </w:r>
      <w:proofErr w:type="gramStart"/>
      <w:r>
        <w:t>Ibid,</w:t>
      </w:r>
      <w:r>
        <w:rPr>
          <w:lang w:val="en-US"/>
        </w:rPr>
        <w:t xml:space="preserve"> 29.</w:t>
      </w:r>
      <w:proofErr w:type="gramEnd"/>
    </w:p>
  </w:footnote>
  <w:footnote w:id="2">
    <w:p w:rsidR="00E8038D" w:rsidRPr="00E8038D" w:rsidRDefault="00E8038D">
      <w:pPr>
        <w:pStyle w:val="FootnoteText"/>
        <w:rPr>
          <w:lang w:val="en-US"/>
        </w:rPr>
      </w:pPr>
      <w:r>
        <w:rPr>
          <w:rStyle w:val="FootnoteReference"/>
        </w:rPr>
        <w:footnoteRef/>
      </w:r>
      <w:r>
        <w:t xml:space="preserve"> </w:t>
      </w:r>
      <w:proofErr w:type="gramStart"/>
      <w:r w:rsidR="005344B3">
        <w:rPr>
          <w:lang w:val="en-US"/>
        </w:rPr>
        <w:t>Ibid, 29.</w:t>
      </w:r>
      <w:proofErr w:type="gramEnd"/>
    </w:p>
  </w:footnote>
  <w:footnote w:id="3">
    <w:p w:rsidR="005344B3" w:rsidRDefault="00557F6D">
      <w:pPr>
        <w:pStyle w:val="FootnoteText"/>
        <w:rPr>
          <w:lang w:val="en-US"/>
        </w:rPr>
      </w:pPr>
      <w:r>
        <w:rPr>
          <w:rStyle w:val="FootnoteReference"/>
        </w:rPr>
        <w:footnoteRef/>
      </w:r>
      <w:r>
        <w:t xml:space="preserve"> </w:t>
      </w:r>
      <w:proofErr w:type="gramStart"/>
      <w:r w:rsidR="005344B3">
        <w:t xml:space="preserve">Ibid, </w:t>
      </w:r>
      <w:r>
        <w:rPr>
          <w:lang w:val="en-US"/>
        </w:rPr>
        <w:t>24</w:t>
      </w:r>
      <w:r w:rsidR="005344B3">
        <w:rPr>
          <w:lang w:val="en-US"/>
        </w:rPr>
        <w:t>.</w:t>
      </w:r>
      <w:proofErr w:type="gramEnd"/>
    </w:p>
    <w:p w:rsidR="00557F6D" w:rsidRPr="00557F6D" w:rsidRDefault="005344B3">
      <w:pPr>
        <w:pStyle w:val="FootnoteText"/>
        <w:rPr>
          <w:lang w:val="en-US"/>
        </w:rPr>
      </w:pPr>
      <w:r>
        <w:rPr>
          <w:lang w:val="en-US"/>
        </w:rPr>
        <w:t xml:space="preserve"> Bravo, J. </w:t>
      </w:r>
      <w:r w:rsidR="003C0534">
        <w:rPr>
          <w:lang w:val="en-US"/>
        </w:rPr>
        <w:t>“</w:t>
      </w:r>
      <w:r w:rsidRPr="003C0534">
        <w:rPr>
          <w:lang w:val="en-US"/>
        </w:rPr>
        <w:t xml:space="preserve">Erotic Curse Tablets from the </w:t>
      </w:r>
      <w:proofErr w:type="spellStart"/>
      <w:r w:rsidRPr="003C0534">
        <w:rPr>
          <w:lang w:val="en-US"/>
        </w:rPr>
        <w:t>Hero</w:t>
      </w:r>
      <w:r w:rsidRPr="003C0534">
        <w:rPr>
          <w:rFonts w:cstheme="minorHAnsi"/>
          <w:lang w:val="en-US"/>
        </w:rPr>
        <w:t>ӧ</w:t>
      </w:r>
      <w:r w:rsidRPr="003C0534">
        <w:rPr>
          <w:lang w:val="en-US"/>
        </w:rPr>
        <w:t>n</w:t>
      </w:r>
      <w:proofErr w:type="spellEnd"/>
      <w:r w:rsidRPr="003C0534">
        <w:rPr>
          <w:lang w:val="en-US"/>
        </w:rPr>
        <w:t xml:space="preserve"> of </w:t>
      </w:r>
      <w:proofErr w:type="spellStart"/>
      <w:r w:rsidRPr="003C0534">
        <w:rPr>
          <w:lang w:val="en-US"/>
        </w:rPr>
        <w:t>Opheltes</w:t>
      </w:r>
      <w:proofErr w:type="spellEnd"/>
      <w:r w:rsidRPr="003C0534">
        <w:rPr>
          <w:lang w:val="en-US"/>
        </w:rPr>
        <w:t xml:space="preserve"> at Nemea.</w:t>
      </w:r>
      <w:r w:rsidR="003C0534">
        <w:rPr>
          <w:lang w:val="en-US"/>
        </w:rPr>
        <w:t xml:space="preserve">” </w:t>
      </w:r>
      <w:r w:rsidR="003C0534">
        <w:rPr>
          <w:i/>
          <w:lang w:val="en-US"/>
        </w:rPr>
        <w:t xml:space="preserve">Hesperia: The Journal of </w:t>
      </w:r>
      <w:r w:rsidRPr="003C0534">
        <w:rPr>
          <w:i/>
          <w:lang w:val="en-US"/>
        </w:rPr>
        <w:t>American School of Cla</w:t>
      </w:r>
      <w:r w:rsidR="003C0534" w:rsidRPr="003C0534">
        <w:rPr>
          <w:i/>
          <w:lang w:val="en-US"/>
        </w:rPr>
        <w:t>ssical Studies at Athens</w:t>
      </w:r>
      <w:r w:rsidR="003C0534">
        <w:rPr>
          <w:lang w:val="en-US"/>
        </w:rPr>
        <w:t>, 85(1) (2016): 124.</w:t>
      </w:r>
    </w:p>
  </w:footnote>
  <w:footnote w:id="4">
    <w:p w:rsidR="006A0245" w:rsidRPr="006A0245" w:rsidRDefault="006A0245">
      <w:pPr>
        <w:pStyle w:val="FootnoteText"/>
        <w:rPr>
          <w:lang w:val="en-US"/>
        </w:rPr>
      </w:pPr>
      <w:r>
        <w:rPr>
          <w:rStyle w:val="FootnoteReference"/>
        </w:rPr>
        <w:footnoteRef/>
      </w:r>
      <w:r>
        <w:t xml:space="preserve"> </w:t>
      </w:r>
      <w:proofErr w:type="spellStart"/>
      <w:r>
        <w:t>Ankarloo</w:t>
      </w:r>
      <w:proofErr w:type="spellEnd"/>
      <w:r>
        <w:t xml:space="preserve">, B., &amp; Clark, S. </w:t>
      </w:r>
      <w:r>
        <w:rPr>
          <w:i/>
        </w:rPr>
        <w:t xml:space="preserve">Witchcraft and Magic </w:t>
      </w:r>
      <w:proofErr w:type="gramStart"/>
      <w:r>
        <w:rPr>
          <w:i/>
        </w:rPr>
        <w:t>In</w:t>
      </w:r>
      <w:proofErr w:type="gramEnd"/>
      <w:r>
        <w:rPr>
          <w:i/>
        </w:rPr>
        <w:t xml:space="preserve"> Europe. </w:t>
      </w:r>
      <w:proofErr w:type="gramStart"/>
      <w:r>
        <w:rPr>
          <w:i/>
        </w:rPr>
        <w:t>Ancient Greece and Rome.</w:t>
      </w:r>
      <w:proofErr w:type="gramEnd"/>
      <w:r>
        <w:t xml:space="preserve"> </w:t>
      </w:r>
      <w:proofErr w:type="gramStart"/>
      <w:r>
        <w:t>(Philadelphia, PA: University of Pennsylvania Press, 1999), 73.</w:t>
      </w:r>
      <w:proofErr w:type="gramEnd"/>
    </w:p>
  </w:footnote>
  <w:footnote w:id="5">
    <w:p w:rsidR="00CF38A3" w:rsidRPr="00CF38A3" w:rsidRDefault="00CF38A3">
      <w:pPr>
        <w:pStyle w:val="FootnoteText"/>
        <w:rPr>
          <w:lang w:val="en-US"/>
        </w:rPr>
      </w:pPr>
      <w:r>
        <w:rPr>
          <w:rStyle w:val="FootnoteReference"/>
        </w:rPr>
        <w:footnoteRef/>
      </w:r>
      <w:r w:rsidR="003C0534">
        <w:t xml:space="preserve"> </w:t>
      </w:r>
      <w:proofErr w:type="gramStart"/>
      <w:r w:rsidR="006A0245">
        <w:t>Ibid,</w:t>
      </w:r>
      <w:r w:rsidR="003C0534">
        <w:t xml:space="preserve"> 46.</w:t>
      </w:r>
      <w:proofErr w:type="gramEnd"/>
    </w:p>
  </w:footnote>
  <w:footnote w:id="6">
    <w:p w:rsidR="00880CF8" w:rsidRPr="00880CF8" w:rsidRDefault="00880CF8">
      <w:pPr>
        <w:pStyle w:val="FootnoteText"/>
        <w:rPr>
          <w:lang w:val="en-US"/>
        </w:rPr>
      </w:pPr>
      <w:r>
        <w:rPr>
          <w:rStyle w:val="FootnoteReference"/>
        </w:rPr>
        <w:footnoteRef/>
      </w:r>
      <w:r>
        <w:t xml:space="preserve"> </w:t>
      </w:r>
      <w:proofErr w:type="gramStart"/>
      <w:r w:rsidR="003C0534">
        <w:t xml:space="preserve">Ogden, D. </w:t>
      </w:r>
      <w:r w:rsidR="003C0534">
        <w:rPr>
          <w:i/>
        </w:rPr>
        <w:t>Magic, Witchcraft, and Ghosts in the Greek and Roman Worlds.</w:t>
      </w:r>
      <w:proofErr w:type="gramEnd"/>
      <w:r w:rsidR="003C0534">
        <w:t xml:space="preserve"> </w:t>
      </w:r>
      <w:proofErr w:type="gramStart"/>
      <w:r w:rsidR="003C0534">
        <w:t xml:space="preserve">(New York, NY: Oxford University Press </w:t>
      </w:r>
      <w:proofErr w:type="spellStart"/>
      <w:r w:rsidR="003C0534">
        <w:t>Inc</w:t>
      </w:r>
      <w:proofErr w:type="spellEnd"/>
      <w:r w:rsidR="003C0534">
        <w:t>, 2002),</w:t>
      </w:r>
      <w:r>
        <w:rPr>
          <w:lang w:val="en-US"/>
        </w:rPr>
        <w:t xml:space="preserve"> 227</w:t>
      </w:r>
      <w:r w:rsidR="003C0534">
        <w:rPr>
          <w:lang w:val="en-US"/>
        </w:rPr>
        <w:t>.</w:t>
      </w:r>
      <w:proofErr w:type="gramEnd"/>
    </w:p>
  </w:footnote>
  <w:footnote w:id="7">
    <w:p w:rsidR="00C56B36" w:rsidRPr="00C56B36" w:rsidRDefault="00C56B36">
      <w:pPr>
        <w:pStyle w:val="FootnoteText"/>
        <w:rPr>
          <w:lang w:val="en-US"/>
        </w:rPr>
      </w:pPr>
      <w:r>
        <w:rPr>
          <w:rStyle w:val="FootnoteReference"/>
        </w:rPr>
        <w:footnoteRef/>
      </w:r>
      <w:r>
        <w:t xml:space="preserve"> </w:t>
      </w:r>
      <w:r w:rsidR="003C0534">
        <w:rPr>
          <w:lang w:val="en-US"/>
        </w:rPr>
        <w:t>Bravo, J. “</w:t>
      </w:r>
      <w:r w:rsidR="003C0534" w:rsidRPr="003C0534">
        <w:rPr>
          <w:lang w:val="en-US"/>
        </w:rPr>
        <w:t xml:space="preserve">Erotic Curse Tablets from the </w:t>
      </w:r>
      <w:proofErr w:type="spellStart"/>
      <w:r w:rsidR="003C0534" w:rsidRPr="003C0534">
        <w:rPr>
          <w:lang w:val="en-US"/>
        </w:rPr>
        <w:t>Hero</w:t>
      </w:r>
      <w:r w:rsidR="003C0534" w:rsidRPr="003C0534">
        <w:rPr>
          <w:rFonts w:cstheme="minorHAnsi"/>
          <w:lang w:val="en-US"/>
        </w:rPr>
        <w:t>ӧ</w:t>
      </w:r>
      <w:r w:rsidR="003C0534" w:rsidRPr="003C0534">
        <w:rPr>
          <w:lang w:val="en-US"/>
        </w:rPr>
        <w:t>n</w:t>
      </w:r>
      <w:proofErr w:type="spellEnd"/>
      <w:r w:rsidR="003C0534" w:rsidRPr="003C0534">
        <w:rPr>
          <w:lang w:val="en-US"/>
        </w:rPr>
        <w:t xml:space="preserve"> of </w:t>
      </w:r>
      <w:proofErr w:type="spellStart"/>
      <w:r w:rsidR="003C0534" w:rsidRPr="003C0534">
        <w:rPr>
          <w:lang w:val="en-US"/>
        </w:rPr>
        <w:t>Opheltes</w:t>
      </w:r>
      <w:proofErr w:type="spellEnd"/>
      <w:r w:rsidR="003C0534" w:rsidRPr="003C0534">
        <w:rPr>
          <w:lang w:val="en-US"/>
        </w:rPr>
        <w:t xml:space="preserve"> at Nemea.</w:t>
      </w:r>
      <w:r w:rsidR="003C0534">
        <w:rPr>
          <w:lang w:val="en-US"/>
        </w:rPr>
        <w:t xml:space="preserve">” </w:t>
      </w:r>
      <w:r w:rsidR="003C0534">
        <w:rPr>
          <w:i/>
          <w:lang w:val="en-US"/>
        </w:rPr>
        <w:t xml:space="preserve">Hesperia: The Journal of </w:t>
      </w:r>
      <w:r w:rsidR="003C0534" w:rsidRPr="003C0534">
        <w:rPr>
          <w:i/>
          <w:lang w:val="en-US"/>
        </w:rPr>
        <w:t>American School of Classical Studies at Athens</w:t>
      </w:r>
      <w:r w:rsidR="003C0534">
        <w:rPr>
          <w:lang w:val="en-US"/>
        </w:rPr>
        <w:t>, 85(1) (2016).</w:t>
      </w:r>
    </w:p>
  </w:footnote>
  <w:footnote w:id="8">
    <w:p w:rsidR="006C34B3" w:rsidRPr="006C34B3" w:rsidRDefault="006C34B3">
      <w:pPr>
        <w:pStyle w:val="FootnoteText"/>
        <w:rPr>
          <w:lang w:val="en-US"/>
        </w:rPr>
      </w:pPr>
      <w:r>
        <w:rPr>
          <w:rStyle w:val="FootnoteReference"/>
        </w:rPr>
        <w:footnoteRef/>
      </w:r>
      <w:r>
        <w:t xml:space="preserve"> </w:t>
      </w:r>
      <w:proofErr w:type="spellStart"/>
      <w:r>
        <w:rPr>
          <w:lang w:val="en-US"/>
        </w:rPr>
        <w:t>LiDonnici</w:t>
      </w:r>
      <w:proofErr w:type="spellEnd"/>
      <w:r>
        <w:rPr>
          <w:lang w:val="en-US"/>
        </w:rPr>
        <w:t>,</w:t>
      </w:r>
      <w:r w:rsidR="003C0534">
        <w:rPr>
          <w:lang w:val="en-US"/>
        </w:rPr>
        <w:t xml:space="preserve"> L. “</w:t>
      </w:r>
      <w:r w:rsidR="003C0534" w:rsidRPr="003C0534">
        <w:rPr>
          <w:lang w:val="en-US"/>
        </w:rPr>
        <w:t>Burning for It: Erotic Spells for Fever and Compulsion in the Ancient Mediterranean World</w:t>
      </w:r>
      <w:r w:rsidR="003C0534">
        <w:rPr>
          <w:i/>
          <w:lang w:val="en-US"/>
        </w:rPr>
        <w:t>.</w:t>
      </w:r>
      <w:r w:rsidR="003C0534">
        <w:rPr>
          <w:lang w:val="en-US"/>
        </w:rPr>
        <w:t xml:space="preserve">” </w:t>
      </w:r>
      <w:r w:rsidR="003C0534">
        <w:rPr>
          <w:i/>
          <w:lang w:val="en-US"/>
        </w:rPr>
        <w:t>Greek, Roman, and Byzantine Studies</w:t>
      </w:r>
      <w:r w:rsidR="00896187">
        <w:rPr>
          <w:lang w:val="en-US"/>
        </w:rPr>
        <w:t>, 39(1)</w:t>
      </w:r>
      <w:r w:rsidR="003C0534">
        <w:rPr>
          <w:lang w:val="en-US"/>
        </w:rPr>
        <w:t xml:space="preserve"> (2005):</w:t>
      </w:r>
      <w:r>
        <w:rPr>
          <w:lang w:val="en-US"/>
        </w:rPr>
        <w:t xml:space="preserve"> 67</w:t>
      </w:r>
      <w:r w:rsidR="003C0534">
        <w:rPr>
          <w:lang w:val="en-US"/>
        </w:rPr>
        <w:t>.</w:t>
      </w:r>
    </w:p>
  </w:footnote>
  <w:footnote w:id="9">
    <w:p w:rsidR="00045ACE" w:rsidRPr="00045ACE" w:rsidRDefault="00045ACE">
      <w:pPr>
        <w:pStyle w:val="FootnoteText"/>
        <w:rPr>
          <w:lang w:val="en-US"/>
        </w:rPr>
      </w:pPr>
      <w:r>
        <w:rPr>
          <w:rStyle w:val="FootnoteReference"/>
        </w:rPr>
        <w:footnoteRef/>
      </w:r>
      <w:r>
        <w:t xml:space="preserve"> </w:t>
      </w:r>
      <w:proofErr w:type="spellStart"/>
      <w:r>
        <w:rPr>
          <w:lang w:val="en-US"/>
        </w:rPr>
        <w:t>Pachoumi</w:t>
      </w:r>
      <w:proofErr w:type="spellEnd"/>
      <w:r w:rsidR="003C0534">
        <w:rPr>
          <w:lang w:val="en-US"/>
        </w:rPr>
        <w:t>,</w:t>
      </w:r>
      <w:r>
        <w:rPr>
          <w:lang w:val="en-US"/>
        </w:rPr>
        <w:t xml:space="preserve"> </w:t>
      </w:r>
      <w:r w:rsidR="003C0534">
        <w:rPr>
          <w:lang w:val="en-US"/>
        </w:rPr>
        <w:t xml:space="preserve">E. “Eros as a Disease, Torture and Punishment in Magical Literature.” </w:t>
      </w:r>
      <w:proofErr w:type="spellStart"/>
      <w:r w:rsidR="003C0534">
        <w:rPr>
          <w:i/>
          <w:lang w:val="en-US"/>
        </w:rPr>
        <w:t>Symbolae</w:t>
      </w:r>
      <w:proofErr w:type="spellEnd"/>
      <w:r w:rsidR="003C0534">
        <w:rPr>
          <w:i/>
          <w:lang w:val="en-US"/>
        </w:rPr>
        <w:t xml:space="preserve"> </w:t>
      </w:r>
      <w:proofErr w:type="spellStart"/>
      <w:r w:rsidR="003C0534">
        <w:rPr>
          <w:i/>
          <w:lang w:val="en-US"/>
        </w:rPr>
        <w:t>Oslo</w:t>
      </w:r>
      <w:r w:rsidR="00896187">
        <w:rPr>
          <w:i/>
          <w:lang w:val="en-US"/>
        </w:rPr>
        <w:t>enses</w:t>
      </w:r>
      <w:proofErr w:type="spellEnd"/>
      <w:r w:rsidR="00896187">
        <w:rPr>
          <w:lang w:val="en-US"/>
        </w:rPr>
        <w:t xml:space="preserve">, 86(1) (2012): </w:t>
      </w:r>
      <w:r>
        <w:rPr>
          <w:lang w:val="en-US"/>
        </w:rPr>
        <w:t>76</w:t>
      </w:r>
      <w:r w:rsidR="00896187">
        <w:rPr>
          <w:lang w:val="en-US"/>
        </w:rPr>
        <w:t>.</w:t>
      </w:r>
    </w:p>
  </w:footnote>
  <w:footnote w:id="10">
    <w:p w:rsidR="00896187" w:rsidRDefault="00774383">
      <w:pPr>
        <w:pStyle w:val="FootnoteText"/>
        <w:rPr>
          <w:lang w:val="en-US"/>
        </w:rPr>
      </w:pPr>
      <w:r>
        <w:rPr>
          <w:rStyle w:val="FootnoteReference"/>
        </w:rPr>
        <w:footnoteRef/>
      </w:r>
      <w:r>
        <w:t xml:space="preserve"> </w:t>
      </w:r>
      <w:proofErr w:type="gramStart"/>
      <w:r w:rsidR="00896187">
        <w:t xml:space="preserve">Ogden, D. </w:t>
      </w:r>
      <w:r w:rsidR="00896187">
        <w:rPr>
          <w:i/>
        </w:rPr>
        <w:t>Magic, Witchcraft, and Ghosts in the Greek and Roman Worlds.</w:t>
      </w:r>
      <w:proofErr w:type="gramEnd"/>
      <w:r w:rsidR="00896187">
        <w:t xml:space="preserve"> </w:t>
      </w:r>
      <w:proofErr w:type="gramStart"/>
      <w:r w:rsidR="00896187">
        <w:t xml:space="preserve">(New York, NY: Oxford University Press </w:t>
      </w:r>
      <w:proofErr w:type="spellStart"/>
      <w:r w:rsidR="00896187">
        <w:t>Inc</w:t>
      </w:r>
      <w:proofErr w:type="spellEnd"/>
      <w:r w:rsidR="00896187">
        <w:t>, 2002),</w:t>
      </w:r>
      <w:r w:rsidR="00896187">
        <w:rPr>
          <w:lang w:val="en-US"/>
        </w:rPr>
        <w:t xml:space="preserve"> 232.</w:t>
      </w:r>
      <w:proofErr w:type="gramEnd"/>
    </w:p>
    <w:p w:rsidR="00774383" w:rsidRPr="00774383" w:rsidRDefault="00896187">
      <w:pPr>
        <w:pStyle w:val="FootnoteText"/>
        <w:rPr>
          <w:lang w:val="en-US"/>
        </w:rPr>
      </w:pPr>
      <w:proofErr w:type="gramStart"/>
      <w:r>
        <w:rPr>
          <w:lang w:val="en-US"/>
        </w:rPr>
        <w:t>Ibid, 231.</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A6D" w:rsidRDefault="00E04A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4E" w:rsidRPr="00A1544E" w:rsidRDefault="00A1544E">
    <w:pPr>
      <w:pStyle w:val="Header"/>
      <w:rPr>
        <w:lang w:val="en-US"/>
      </w:rPr>
    </w:pPr>
    <w:r>
      <w:rPr>
        <w:lang w:val="en-US"/>
      </w:rPr>
      <w:t>201.103</w:t>
    </w:r>
    <w:r>
      <w:rPr>
        <w:lang w:val="en-US"/>
      </w:rPr>
      <w:tab/>
      <w:t>Essay #1</w:t>
    </w:r>
    <w:r>
      <w:rPr>
        <w:lang w:val="en-US"/>
      </w:rPr>
      <w:tab/>
    </w:r>
    <w:r w:rsidR="00E04A6D">
      <w:rPr>
        <w:lang w:val="en-US"/>
      </w:rPr>
      <w:t xml:space="preserve">Tyrion Lannister </w:t>
    </w:r>
    <w:r>
      <w:rPr>
        <w:lang w:val="en-US"/>
      </w:rPr>
      <w:t xml:space="preserve"> </w:t>
    </w:r>
    <w:r>
      <w:rPr>
        <w:lang w:val="en-US"/>
      </w:rPr>
      <w:t>1504</w:t>
    </w:r>
    <w:r w:rsidR="00E04A6D">
      <w:rPr>
        <w:lang w:val="en-US"/>
      </w:rPr>
      <w:t>56</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A6D" w:rsidRDefault="00E04A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83EDF"/>
    <w:multiLevelType w:val="hybridMultilevel"/>
    <w:tmpl w:val="67B4E5A6"/>
    <w:lvl w:ilvl="0" w:tplc="57DAA67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3C"/>
    <w:rsid w:val="00033CA1"/>
    <w:rsid w:val="00045ACE"/>
    <w:rsid w:val="00057E2F"/>
    <w:rsid w:val="000A4545"/>
    <w:rsid w:val="000A5C0E"/>
    <w:rsid w:val="00120C3B"/>
    <w:rsid w:val="0015678D"/>
    <w:rsid w:val="001715E2"/>
    <w:rsid w:val="001B09CB"/>
    <w:rsid w:val="001B5AA4"/>
    <w:rsid w:val="001D4E52"/>
    <w:rsid w:val="002157FA"/>
    <w:rsid w:val="00307ED6"/>
    <w:rsid w:val="0032245A"/>
    <w:rsid w:val="003360B0"/>
    <w:rsid w:val="003553E7"/>
    <w:rsid w:val="003C0534"/>
    <w:rsid w:val="003E7F8F"/>
    <w:rsid w:val="00490DE9"/>
    <w:rsid w:val="00493123"/>
    <w:rsid w:val="004E49FC"/>
    <w:rsid w:val="00500D74"/>
    <w:rsid w:val="00502D1D"/>
    <w:rsid w:val="005344B3"/>
    <w:rsid w:val="00557F6D"/>
    <w:rsid w:val="00576B5C"/>
    <w:rsid w:val="00595EAC"/>
    <w:rsid w:val="005D77A9"/>
    <w:rsid w:val="005F09AD"/>
    <w:rsid w:val="006A0245"/>
    <w:rsid w:val="006B4F14"/>
    <w:rsid w:val="006C34B3"/>
    <w:rsid w:val="006D1F71"/>
    <w:rsid w:val="006E4BAB"/>
    <w:rsid w:val="007158DD"/>
    <w:rsid w:val="0071686B"/>
    <w:rsid w:val="0074126D"/>
    <w:rsid w:val="00774383"/>
    <w:rsid w:val="00810B3A"/>
    <w:rsid w:val="00812045"/>
    <w:rsid w:val="00847A4B"/>
    <w:rsid w:val="0087010A"/>
    <w:rsid w:val="00880CF8"/>
    <w:rsid w:val="00896187"/>
    <w:rsid w:val="008A7D86"/>
    <w:rsid w:val="008E779E"/>
    <w:rsid w:val="0095631F"/>
    <w:rsid w:val="00965A21"/>
    <w:rsid w:val="00965B85"/>
    <w:rsid w:val="009755E0"/>
    <w:rsid w:val="009A04A3"/>
    <w:rsid w:val="009B06A3"/>
    <w:rsid w:val="00A1544E"/>
    <w:rsid w:val="00A64143"/>
    <w:rsid w:val="00A67BDF"/>
    <w:rsid w:val="00A82262"/>
    <w:rsid w:val="00AA322B"/>
    <w:rsid w:val="00AB16B1"/>
    <w:rsid w:val="00AE0DFC"/>
    <w:rsid w:val="00B34721"/>
    <w:rsid w:val="00B55FB8"/>
    <w:rsid w:val="00BC3E2C"/>
    <w:rsid w:val="00BD611C"/>
    <w:rsid w:val="00BE402B"/>
    <w:rsid w:val="00C264C9"/>
    <w:rsid w:val="00C51FED"/>
    <w:rsid w:val="00C56B36"/>
    <w:rsid w:val="00C664CF"/>
    <w:rsid w:val="00CD533C"/>
    <w:rsid w:val="00CE33B3"/>
    <w:rsid w:val="00CF38A3"/>
    <w:rsid w:val="00D35078"/>
    <w:rsid w:val="00D37313"/>
    <w:rsid w:val="00D55989"/>
    <w:rsid w:val="00DA6AB3"/>
    <w:rsid w:val="00DD5E0D"/>
    <w:rsid w:val="00DF2C11"/>
    <w:rsid w:val="00E025DC"/>
    <w:rsid w:val="00E04A6D"/>
    <w:rsid w:val="00E8038D"/>
    <w:rsid w:val="00E84588"/>
    <w:rsid w:val="00E86C3C"/>
    <w:rsid w:val="00ED630C"/>
    <w:rsid w:val="00EF4C2E"/>
    <w:rsid w:val="00F77DAF"/>
    <w:rsid w:val="00F93325"/>
    <w:rsid w:val="00FF6C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33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F93325"/>
    <w:pPr>
      <w:ind w:left="720"/>
      <w:contextualSpacing/>
    </w:pPr>
  </w:style>
  <w:style w:type="paragraph" w:styleId="FootnoteText">
    <w:name w:val="footnote text"/>
    <w:basedOn w:val="Normal"/>
    <w:link w:val="FootnoteTextChar"/>
    <w:uiPriority w:val="99"/>
    <w:semiHidden/>
    <w:unhideWhenUsed/>
    <w:rsid w:val="00E803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38D"/>
    <w:rPr>
      <w:sz w:val="20"/>
      <w:szCs w:val="20"/>
    </w:rPr>
  </w:style>
  <w:style w:type="character" w:styleId="FootnoteReference">
    <w:name w:val="footnote reference"/>
    <w:basedOn w:val="DefaultParagraphFont"/>
    <w:uiPriority w:val="99"/>
    <w:semiHidden/>
    <w:unhideWhenUsed/>
    <w:rsid w:val="00E8038D"/>
    <w:rPr>
      <w:vertAlign w:val="superscript"/>
    </w:rPr>
  </w:style>
  <w:style w:type="paragraph" w:styleId="Header">
    <w:name w:val="header"/>
    <w:basedOn w:val="Normal"/>
    <w:link w:val="HeaderChar"/>
    <w:uiPriority w:val="99"/>
    <w:unhideWhenUsed/>
    <w:rsid w:val="00CF3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8A3"/>
  </w:style>
  <w:style w:type="paragraph" w:styleId="Footer">
    <w:name w:val="footer"/>
    <w:basedOn w:val="Normal"/>
    <w:link w:val="FooterChar"/>
    <w:uiPriority w:val="99"/>
    <w:unhideWhenUsed/>
    <w:rsid w:val="00CF3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8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33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F93325"/>
    <w:pPr>
      <w:ind w:left="720"/>
      <w:contextualSpacing/>
    </w:pPr>
  </w:style>
  <w:style w:type="paragraph" w:styleId="FootnoteText">
    <w:name w:val="footnote text"/>
    <w:basedOn w:val="Normal"/>
    <w:link w:val="FootnoteTextChar"/>
    <w:uiPriority w:val="99"/>
    <w:semiHidden/>
    <w:unhideWhenUsed/>
    <w:rsid w:val="00E803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038D"/>
    <w:rPr>
      <w:sz w:val="20"/>
      <w:szCs w:val="20"/>
    </w:rPr>
  </w:style>
  <w:style w:type="character" w:styleId="FootnoteReference">
    <w:name w:val="footnote reference"/>
    <w:basedOn w:val="DefaultParagraphFont"/>
    <w:uiPriority w:val="99"/>
    <w:semiHidden/>
    <w:unhideWhenUsed/>
    <w:rsid w:val="00E8038D"/>
    <w:rPr>
      <w:vertAlign w:val="superscript"/>
    </w:rPr>
  </w:style>
  <w:style w:type="paragraph" w:styleId="Header">
    <w:name w:val="header"/>
    <w:basedOn w:val="Normal"/>
    <w:link w:val="HeaderChar"/>
    <w:uiPriority w:val="99"/>
    <w:unhideWhenUsed/>
    <w:rsid w:val="00CF3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8A3"/>
  </w:style>
  <w:style w:type="paragraph" w:styleId="Footer">
    <w:name w:val="footer"/>
    <w:basedOn w:val="Normal"/>
    <w:link w:val="FooterChar"/>
    <w:uiPriority w:val="99"/>
    <w:unhideWhenUsed/>
    <w:rsid w:val="00CF3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5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F392F-7433-46B1-B6AA-C0695474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Pope</dc:creator>
  <cp:keywords/>
  <dc:description/>
  <cp:lastModifiedBy>Ataraxia X</cp:lastModifiedBy>
  <cp:revision>56</cp:revision>
  <dcterms:created xsi:type="dcterms:W3CDTF">2017-08-27T23:07:00Z</dcterms:created>
  <dcterms:modified xsi:type="dcterms:W3CDTF">2017-09-06T23:57:00Z</dcterms:modified>
</cp:coreProperties>
</file>