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P05 - Comunicacao de Incidente - Material do Professor</w:t>
      </w:r>
    </w:p>
    <w:p>
      <w:r>
        <w:rPr>
          <w:rFonts w:ascii="Calibri" w:hAnsi="Calibri"/>
          <w:b w:val="0"/>
          <w:i/>
          <w:sz w:val="22"/>
        </w:rPr>
        <w:t>Resposta a Incidentes - ISG010</w:t>
      </w:r>
    </w:p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1. Template ANPD Preenchido (Gabarito)</w:t>
      </w:r>
    </w:p>
    <w:p>
      <w:pPr>
        <w:pStyle w:val="Heading2"/>
      </w:pPr>
      <w:r>
        <w:t>Notificacao de Incidente - LGPD Art. 48</w:t>
      </w:r>
    </w:p>
    <w:p>
      <w:r>
        <w:rPr>
          <w:rFonts w:ascii="Calibri" w:hAnsi="Calibri"/>
          <w:b w:val="0"/>
          <w:i w:val="0"/>
          <w:sz w:val="22"/>
        </w:rPr>
        <w:t>1. Identificacao do controlador: FinBank S.A., CNPJ XX.XXX.XXX/0001-XX</w:t>
      </w:r>
    </w:p>
    <w:p>
      <w:r>
        <w:rPr>
          <w:rFonts w:ascii="Calibri" w:hAnsi="Calibri"/>
          <w:b w:val="0"/>
          <w:i w:val="0"/>
          <w:sz w:val="22"/>
        </w:rPr>
        <w:t>2. DPO/Encarregado: nome, email, telefone</w:t>
      </w:r>
    </w:p>
    <w:p>
      <w:r>
        <w:rPr>
          <w:rFonts w:ascii="Calibri" w:hAnsi="Calibri"/>
          <w:b w:val="0"/>
          <w:i w:val="0"/>
          <w:sz w:val="22"/>
        </w:rPr>
        <w:t>3. Descricao do incidente: Acesso nao autorizado a base de dados de clientes, detectado em [data], contido em [data]</w:t>
      </w:r>
    </w:p>
    <w:p>
      <w:r>
        <w:rPr>
          <w:rFonts w:ascii="Calibri" w:hAnsi="Calibri"/>
          <w:b w:val="0"/>
          <w:i w:val="0"/>
          <w:sz w:val="22"/>
        </w:rPr>
        <w:t>4. Dados pessoais afetados: Nome, CPF, endereco, telefone, dados bancarios, historico de transacoes</w:t>
      </w:r>
    </w:p>
    <w:p>
      <w:r>
        <w:rPr>
          <w:rFonts w:ascii="Calibri" w:hAnsi="Calibri"/>
          <w:b w:val="0"/>
          <w:i w:val="0"/>
          <w:sz w:val="22"/>
        </w:rPr>
        <w:t>5. Numero de titulares afetados: 12.000 clientes</w:t>
      </w:r>
    </w:p>
    <w:p>
      <w:r>
        <w:rPr>
          <w:rFonts w:ascii="Calibri" w:hAnsi="Calibri"/>
          <w:b w:val="0"/>
          <w:i w:val="0"/>
          <w:sz w:val="22"/>
        </w:rPr>
        <w:t>6. Medidas de seguranca utilizadas: criptografia, controle de acesso, monitoramento</w:t>
      </w:r>
    </w:p>
    <w:p>
      <w:r>
        <w:rPr>
          <w:rFonts w:ascii="Calibri" w:hAnsi="Calibri"/>
          <w:b w:val="0"/>
          <w:i w:val="0"/>
          <w:sz w:val="22"/>
        </w:rPr>
        <w:t>7. Riscos relacionados: fraude financeira, roubo de identidade, danos reputacionais</w:t>
      </w:r>
    </w:p>
    <w:p>
      <w:r>
        <w:rPr>
          <w:rFonts w:ascii="Calibri" w:hAnsi="Calibri"/>
          <w:b w:val="0"/>
          <w:i w:val="0"/>
          <w:sz w:val="22"/>
        </w:rPr>
        <w:t>8. Medidas adotadas: contencao do acesso, reset de senhas, monitoramento de contas, notificacao aos afetados</w:t>
      </w:r>
    </w:p>
    <w:p>
      <w:r>
        <w:rPr>
          <w:rFonts w:ascii="Calibri" w:hAnsi="Calibri"/>
          <w:b w:val="0"/>
          <w:i w:val="0"/>
          <w:sz w:val="22"/>
        </w:rPr>
        <w:t>9. Prazo para comunicacao: em prazo razoavel conforme Art. 48</w:t>
      </w:r>
    </w:p>
    <w:p>
      <w:pPr>
        <w:pStyle w:val="Heading1"/>
      </w:pPr>
      <w:r>
        <w:t>2. Template BACEN Preenchido (Gabarito)</w:t>
      </w:r>
    </w:p>
    <w:p>
      <w:pPr>
        <w:pStyle w:val="Heading2"/>
      </w:pPr>
      <w:r>
        <w:t>Comunicacao ao BACEN - Resolucao 4.893</w:t>
      </w:r>
    </w:p>
    <w:p>
      <w:r>
        <w:rPr>
          <w:rFonts w:ascii="Calibri" w:hAnsi="Calibri"/>
          <w:b w:val="0"/>
          <w:i w:val="0"/>
          <w:sz w:val="22"/>
        </w:rPr>
        <w:t>1. Instituicao: FinBank S.A.</w:t>
      </w:r>
    </w:p>
    <w:p>
      <w:r>
        <w:rPr>
          <w:rFonts w:ascii="Calibri" w:hAnsi="Calibri"/>
          <w:b w:val="0"/>
          <w:i w:val="0"/>
          <w:sz w:val="22"/>
        </w:rPr>
        <w:t>2. Data e hora do incidente: [data/hora]</w:t>
      </w:r>
    </w:p>
    <w:p>
      <w:r>
        <w:rPr>
          <w:rFonts w:ascii="Calibri" w:hAnsi="Calibri"/>
          <w:b w:val="0"/>
          <w:i w:val="0"/>
          <w:sz w:val="22"/>
        </w:rPr>
        <w:t>3. Data e hora da deteccao: [data/hora]</w:t>
      </w:r>
    </w:p>
    <w:p>
      <w:r>
        <w:rPr>
          <w:rFonts w:ascii="Calibri" w:hAnsi="Calibri"/>
          <w:b w:val="0"/>
          <w:i w:val="0"/>
          <w:sz w:val="22"/>
        </w:rPr>
        <w:t>4. Tipo de incidente: Acesso nao autorizado a dados</w:t>
      </w:r>
    </w:p>
    <w:p>
      <w:r>
        <w:rPr>
          <w:rFonts w:ascii="Calibri" w:hAnsi="Calibri"/>
          <w:b w:val="0"/>
          <w:i w:val="0"/>
          <w:sz w:val="22"/>
        </w:rPr>
        <w:t>5. Sistemas afetados: Base de dados de clientes, internet banking</w:t>
      </w:r>
    </w:p>
    <w:p>
      <w:r>
        <w:rPr>
          <w:rFonts w:ascii="Calibri" w:hAnsi="Calibri"/>
          <w:b w:val="0"/>
          <w:i w:val="0"/>
          <w:sz w:val="22"/>
        </w:rPr>
        <w:t>6. Impacto operacional: Sem interrupcao de servicos; impacto em confidencialidade</w:t>
      </w:r>
    </w:p>
    <w:p>
      <w:r>
        <w:rPr>
          <w:rFonts w:ascii="Calibri" w:hAnsi="Calibri"/>
          <w:b w:val="0"/>
          <w:i w:val="0"/>
          <w:sz w:val="22"/>
        </w:rPr>
        <w:t>7. Numero de clientes afetados: 12.000</w:t>
      </w:r>
    </w:p>
    <w:p>
      <w:r>
        <w:rPr>
          <w:rFonts w:ascii="Calibri" w:hAnsi="Calibri"/>
          <w:b w:val="0"/>
          <w:i w:val="0"/>
          <w:sz w:val="22"/>
        </w:rPr>
        <w:t>8. Acoes de contencao: Acesso revogado, senhas resetadas, monitoramento intensificado</w:t>
      </w:r>
    </w:p>
    <w:p>
      <w:r>
        <w:rPr>
          <w:rFonts w:ascii="Calibri" w:hAnsi="Calibri"/>
          <w:b w:val="0"/>
          <w:i w:val="0"/>
          <w:sz w:val="22"/>
        </w:rPr>
        <w:t>9. Prazo de comunicacao: ate 24 horas para incidentes graves</w:t>
      </w:r>
    </w:p>
    <w:p>
      <w:pPr>
        <w:pStyle w:val="Heading1"/>
      </w:pPr>
      <w:r>
        <w:t>3. Checklist de Campos Obrigatorios</w:t>
      </w:r>
    </w:p>
    <w:p>
      <w:r>
        <w:rPr>
          <w:rFonts w:ascii="Calibri" w:hAnsi="Calibri"/>
          <w:b w:val="0"/>
          <w:i w:val="0"/>
          <w:sz w:val="22"/>
        </w:rPr>
        <w:t>ANPD (LGPD Art. 48):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Descricao da natureza dos dados pessoais afetados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Informacoes sobre os titulares envolvidos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Indicacao das medidas de seguranca e tecnicas utilizadas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Riscos relacionados ao incidente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Motivos da demora (se comunicacao nao foi imediata)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Medidas adotadas para reverter ou mitigar os efeitos</w:t>
      </w:r>
    </w:p>
    <w:p>
      <w:r>
        <w:rPr>
          <w:rFonts w:ascii="Calibri" w:hAnsi="Calibri"/>
          <w:b w:val="0"/>
          <w:i w:val="0"/>
          <w:sz w:val="22"/>
        </w:rPr>
        <w:t>BACEN (Res. 4.893):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Descricao do incidente e tipo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Data/hora de ocorrencia e deteccao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Sistemas e servicos afetados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Impacto operacional e financeiro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Acoes de contencao e recuperacao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Numero de clientes afetados</w:t>
      </w:r>
    </w:p>
    <w:p>
      <w:pPr>
        <w:pStyle w:val="Heading1"/>
      </w:pPr>
      <w:r>
        <w:t>4. Dicas de Comunicacao com Board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Ser direto e objetivo: o que aconteceu, impacto, o que esta sendo feito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Evitar jargao tecnico; focar em impacto de negocio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Incluir: timeline, impacto financeiro estimado, proximos passos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Preparar para perguntas dificeis: 'Como isso aconteceu?', 'Podia ter sido evitado?'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Nao minimizar o incidente; ser transparente sobre riscos</w:t>
      </w:r>
    </w:p>
    <w:p>
      <w:pPr>
        <w:pStyle w:val="Heading1"/>
      </w:pPr>
      <w:r>
        <w:t>5. Criterios de Avaliacao Detalhados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ANPD (2,5 pts): todos os campos obrigatorios preenchidos, linguagem adequada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BACEN (2,5 pts): conforme Res. 4.893, campos obrigatorios, prazo mencionado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Board (2,5 pts): clareza, profissionalismo, foco em negocio, 5 slides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Clientes (2,5 pts): linguagem acessivel, orientacoes claras, canal de suporte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