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lang w:val="en-GB"/>
        </w:rPr>
      </w:pPr>
      <w:r>
        <w:rPr>
          <w:lang w:val="en-GB"/>
        </w:rPr>
        <w:t>DETERMINING THE MINIMAL BACKGROUND AREA FOR SPECIES DISTRIBUTION MODELS: MinBAR PACKAGE</w:t>
      </w:r>
    </w:p>
    <w:p>
      <w:pPr>
        <w:pStyle w:val="Author"/>
        <w:rPr>
          <w:lang w:val="en-GB"/>
        </w:rPr>
      </w:pPr>
      <w:r>
        <w:rPr>
          <w:lang w:val="en-GB"/>
        </w:rPr>
        <w:t>Xavier Rotllan-Puig</w:t>
      </w:r>
      <w:r>
        <w:rPr>
          <w:vertAlign w:val="superscript"/>
          <w:lang w:val="en-GB"/>
        </w:rPr>
        <w:t>1,✉</w:t>
      </w:r>
      <w:r>
        <w:rPr>
          <w:lang w:val="en-GB"/>
        </w:rPr>
        <w:t>, and Anna Traveset</w:t>
      </w:r>
      <w:r>
        <w:rPr>
          <w:vertAlign w:val="superscript"/>
          <w:lang w:val="en-GB"/>
        </w:rPr>
        <w:t>2</w:t>
      </w:r>
    </w:p>
    <w:p>
      <w:pPr>
        <w:pStyle w:val="Cosdeltext"/>
        <w:rPr>
          <w:vertAlign w:val="superscript"/>
        </w:rPr>
      </w:pPr>
      <w:r>
        <w:rPr>
          <w:vertAlign w:val="superscript"/>
        </w:rPr>
      </w:r>
    </w:p>
    <w:p>
      <w:pPr>
        <w:pStyle w:val="FirstParagraph"/>
        <w:rPr>
          <w:lang w:val="en-GB"/>
        </w:rPr>
      </w:pPr>
      <w:r>
        <w:rPr>
          <w:vertAlign w:val="superscript"/>
          <w:lang w:val="en-GB"/>
        </w:rPr>
        <w:t>1</w:t>
      </w:r>
      <w:r>
        <w:rPr>
          <w:lang w:val="en-GB"/>
        </w:rPr>
        <w:t xml:space="preserve"> ASTER Projects. Barri Reboll, 9, 1r. 08694 - Guardiola de Berguedà (Barcelona). Spain</w:t>
        <w:br/>
      </w:r>
      <w:r>
        <w:rPr>
          <w:vertAlign w:val="superscript"/>
          <w:lang w:val="en-GB"/>
        </w:rPr>
        <w:t>2</w:t>
      </w:r>
      <w:r>
        <w:rPr>
          <w:lang w:val="en-GB"/>
        </w:rPr>
        <w:t xml:space="preserve"> Terrestrial Ecology Laboratory. Global Change Research Group. Institut Mediterrani d’Estudis Avançats (CSIC-UIB). C/ Miquel Marqués, 21. 07190 - Esporles (Mallorca - Illes Balears). Spain</w:t>
      </w:r>
    </w:p>
    <w:p>
      <w:pPr>
        <w:pStyle w:val="Cosdeltext"/>
        <w:rPr/>
      </w:pPr>
      <w:r>
        <w:rPr>
          <w:vertAlign w:val="superscript"/>
          <w:lang w:val="en-GB"/>
        </w:rPr>
        <w:t>✉</w:t>
      </w:r>
      <w:r>
        <w:rPr>
          <w:lang w:val="en-GB"/>
        </w:rPr>
        <w:t xml:space="preserve"> </w:t>
      </w:r>
      <w:r>
        <w:rPr>
          <w:lang w:val="en-GB"/>
        </w:rPr>
        <w:t xml:space="preserve">Correspondence: </w:t>
      </w:r>
      <w:hyperlink r:id="rId2">
        <w:r>
          <w:rPr>
            <w:rStyle w:val="ListLabel3"/>
            <w:lang w:val="en-GB"/>
          </w:rPr>
          <w:t>Xavier Rotllan-Puig &lt;xavier.rotllan.puig@aster-projects.cat&gt;</w:t>
        </w:r>
      </w:hyperlink>
    </w:p>
    <w:p>
      <w:pPr>
        <w:pStyle w:val="Cosdeltext"/>
        <w:rPr/>
      </w:pPr>
      <w:r>
        <w:rPr>
          <w:b/>
          <w:lang w:val="en-GB"/>
        </w:rPr>
        <w:t>Key-words</w:t>
      </w:r>
      <w:r>
        <w:rPr>
          <w:lang w:val="en-GB"/>
        </w:rPr>
        <w:t>: species distribution model; ecological niche model; geographical background; background area; MaxEnt</w:t>
      </w:r>
    </w:p>
    <w:p>
      <w:pPr>
        <w:pStyle w:val="Encapalament1"/>
        <w:numPr>
          <w:ilvl w:val="0"/>
          <w:numId w:val="2"/>
        </w:numPr>
        <w:rPr>
          <w:lang w:val="en-GB"/>
        </w:rPr>
      </w:pPr>
      <w:bookmarkStart w:id="0" w:name="abstract"/>
      <w:r>
        <w:rPr>
          <w:lang w:val="en-GB"/>
        </w:rPr>
        <w:t>Abstract</w:t>
      </w:r>
      <w:bookmarkEnd w:id="0"/>
    </w:p>
    <w:p>
      <w:pPr>
        <w:pStyle w:val="FirstParagraph"/>
        <w:rPr/>
      </w:pPr>
      <w:r>
        <w:rPr>
          <w:lang w:val="en-GB"/>
        </w:rPr>
        <w:t xml:space="preserve">One of the crucial choices when modelling species distributions using pseudo-absences approaches is the delineation of the background area to fit the model. We hypothesise that there is a minimum background area around the geographical centre of the species distribution that characterises well enough the range of environmental conditions needed by the species to survive. Thus, fitting the model within this geographical area should be the optimal solution in terms of both quality of the model and execution time. </w:t>
      </w:r>
      <w:r>
        <w:rPr>
          <w:i/>
          <w:lang w:val="en-GB"/>
        </w:rPr>
        <w:t>MinBAR</w:t>
      </w:r>
      <w:r>
        <w:rPr>
          <w:lang w:val="en-GB"/>
        </w:rPr>
        <w:t xml:space="preserve"> is an R package that calculates the optimal background area by means of sequentially fitting several concentric species distribution models (SDMs) until a satisfactory model is reached. The version 1.1.1 is implemented for MaxEnt (using either </w:t>
      </w:r>
      <w:r>
        <w:rPr>
          <w:i/>
          <w:lang w:val="en-GB"/>
        </w:rPr>
        <w:t>maxnet</w:t>
      </w:r>
      <w:r>
        <w:rPr>
          <w:lang w:val="en-GB"/>
        </w:rPr>
        <w:t xml:space="preserve"> or the original java program) and uses Boyce Index as a metric to assess models performance. Three case studies are presented to test the hypothesis and assess package’s functionality. We show how partial models trained with part of the species distribution often perform equal or better than those fitted on the entire </w:t>
      </w:r>
      <w:r>
        <w:rPr>
          <w:lang w:val="en-GB"/>
        </w:rPr>
        <w:t>extent</w:t>
      </w:r>
      <w:r>
        <w:rPr>
          <w:lang w:val="en-GB"/>
        </w:rPr>
        <w:t xml:space="preserve">. </w:t>
      </w:r>
      <w:r>
        <w:rPr>
          <w:i/>
          <w:lang w:val="en-GB"/>
        </w:rPr>
        <w:t>MinBAR</w:t>
      </w:r>
      <w:r>
        <w:rPr>
          <w:lang w:val="en-GB"/>
        </w:rPr>
        <w:t xml:space="preserve"> is a versatile tool that helps modellers to objectively define the optimal solution.</w:t>
      </w:r>
    </w:p>
    <w:p>
      <w:pPr>
        <w:pStyle w:val="Encapalament1"/>
        <w:numPr>
          <w:ilvl w:val="0"/>
          <w:numId w:val="2"/>
        </w:numPr>
        <w:rPr>
          <w:lang w:val="en-GB"/>
        </w:rPr>
      </w:pPr>
      <w:bookmarkStart w:id="1" w:name="introduction"/>
      <w:r>
        <w:rPr>
          <w:lang w:val="en-GB"/>
        </w:rPr>
        <w:t>Introduction</w:t>
      </w:r>
      <w:bookmarkEnd w:id="1"/>
    </w:p>
    <w:p>
      <w:pPr>
        <w:pStyle w:val="FirstParagraph"/>
        <w:rPr>
          <w:lang w:val="en-GB"/>
        </w:rPr>
      </w:pPr>
      <w:r>
        <w:rPr>
          <w:lang w:val="en-GB"/>
        </w:rPr>
        <w:t>Species distribution modelling (SDM) has become an essential tool in the field of ecology (Peterson et al., 2015) and particularly for biodiversity conservation (Franklin, 2013). Its popularity, among other reasons, is due to the ease of use of software such as MaxEnt (Phillips et al., 2006) or BIOMOD (Thuiller et al., 2009), but also because of the development of the R-programming (R Core Team, 2019) community and the free availability of biodiversity and environmental data in public repositories (Zurell et al., 2020). However, regarding the public biodiversity data, they are often limited to only species presences and with a lack of occurrences in poorly sampled areas. These facts limit the use of some techniques or algorithms and force to make critical assumptions and choices, introducing different levels of uncertainty to model predictions (Jarnevich et al., 2017).</w:t>
      </w:r>
    </w:p>
    <w:p>
      <w:pPr>
        <w:pStyle w:val="Cosdeltext"/>
        <w:rPr>
          <w:lang w:val="en-GB"/>
        </w:rPr>
      </w:pPr>
      <w:r>
        <w:rPr>
          <w:lang w:val="en-GB"/>
        </w:rPr>
        <w:t>One of the crucial choices when using pseudo-absences approaches is the delineation of the background area to fit the model, also called “landscape of interest” or “study area” (Elith et al., 2011; Raes, 2012). Defining its extent, however, remains a challenge. Elith et al. (2011), for instance, argued that it has to be defined by the ecologist and limited by geographic boundaries or by how far the species can disperse. More recently, other authors have considered the interactions with other species or the sampling biases in the data set as constraints (Jarnevich et al., 2017). Yet, in many situations it is difficult to accurately define a background area, either owing to limited knowledge of the species biology or to the lack of available data (Anderson and Raza, 2010; Barve et al., 2011). In addition, studies are often performed at a local or regional level (Melo-Merino et al., 2020) and, then, the background area is constrained to an artificial boundary despite the species distribution might be wider (El-Gabbas and Dormann, 2018). Finally, another limitation may appear with species with large geographical ranges, which makes computations highly resource-demanding and time-consuming, especially when the study encompasses a high number of them. Any of these situations usually lead to fit models using only part of the species distribution (i.e. partial models), which might or might not imply a reduction of model performance (El-Gabbas and Dormann, 2018).</w:t>
      </w:r>
    </w:p>
    <w:p>
      <w:pPr>
        <w:pStyle w:val="Cosdeltext"/>
        <w:rPr>
          <w:lang w:val="en-GB"/>
        </w:rPr>
      </w:pPr>
      <w:r>
        <w:rPr>
          <w:lang w:val="en-GB"/>
        </w:rPr>
        <w:t>In this work, we hypothesize that there is a minimum background area around the geographical centre of the species distribution that characterizes well enough the range of environmental conditions needed by the species to survive. Thus, fitting the SDM within this geographical area should be the optimal solution in terms of both quality of the model and execution time.</w:t>
      </w:r>
    </w:p>
    <w:p>
      <w:pPr>
        <w:pStyle w:val="Encapalament1"/>
        <w:numPr>
          <w:ilvl w:val="0"/>
          <w:numId w:val="2"/>
        </w:numPr>
        <w:rPr>
          <w:lang w:val="en-GB"/>
        </w:rPr>
      </w:pPr>
      <w:bookmarkStart w:id="2" w:name="minbar-overview"/>
      <w:r>
        <w:rPr>
          <w:lang w:val="en-GB"/>
        </w:rPr>
        <w:t>MinBAR overview</w:t>
      </w:r>
      <w:bookmarkEnd w:id="2"/>
    </w:p>
    <w:p>
      <w:pPr>
        <w:pStyle w:val="FirstParagraph"/>
        <w:rPr>
          <w:lang w:val="en-GB"/>
        </w:rPr>
      </w:pPr>
      <w:r>
        <w:rPr>
          <w:i/>
          <w:lang w:val="en-GB"/>
        </w:rPr>
        <w:t>MinBAR</w:t>
      </w:r>
      <w:r>
        <w:rPr>
          <w:lang w:val="en-GB"/>
        </w:rPr>
        <w:t xml:space="preserve"> is an R package that aims at (1) defining the minimum or optimal background extent necessary to fit good partial SDMs and/or (2) determining whether the background area used to fit a partial SDM is reliable enough to extract ecologically relevant conclusions from it.</w:t>
      </w:r>
    </w:p>
    <w:p>
      <w:pPr>
        <w:pStyle w:val="Encapalament2"/>
        <w:numPr>
          <w:ilvl w:val="1"/>
          <w:numId w:val="2"/>
        </w:numPr>
        <w:rPr>
          <w:lang w:val="en-GB"/>
        </w:rPr>
      </w:pPr>
      <w:bookmarkStart w:id="3" w:name="problem"/>
      <w:r>
        <w:rPr>
          <w:lang w:val="en-GB"/>
        </w:rPr>
        <w:t>Problem</w:t>
      </w:r>
      <w:bookmarkEnd w:id="3"/>
    </w:p>
    <w:p>
      <w:pPr>
        <w:pStyle w:val="FirstParagraph"/>
        <w:rPr>
          <w:lang w:val="en-GB"/>
        </w:rPr>
      </w:pPr>
      <w:r>
        <w:rPr>
          <w:lang w:val="en-GB"/>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w:t>
      </w:r>
    </w:p>
    <w:p>
      <w:pPr>
        <w:pStyle w:val="Cosdeltext"/>
        <w:rPr>
          <w:lang w:val="en-GB"/>
        </w:rPr>
      </w:pPr>
      <w:r>
        <w:rPr>
          <w:lang w:val="en-GB"/>
        </w:rPr>
        <w:t xml:space="preserve">The idea behind </w:t>
      </w:r>
      <w:r>
        <w:rPr>
          <w:i/>
          <w:lang w:val="en-GB"/>
        </w:rPr>
        <w:t>MinBAR</w:t>
      </w:r>
      <w:r>
        <w:rPr>
          <w:lang w:val="en-GB"/>
        </w:rPr>
        <w:t xml:space="preserve"> is to solve these problems by sequentially fitting several concentric SDMs, each with an increased diameter, from the geographical centre of the species distribution to the periphery, until a model which satisfies the user’s needs is reached. We call “buffers” to these concentric SDMs.</w:t>
      </w:r>
    </w:p>
    <w:p>
      <w:pPr>
        <w:pStyle w:val="Encapalament2"/>
        <w:numPr>
          <w:ilvl w:val="1"/>
          <w:numId w:val="2"/>
        </w:numPr>
        <w:rPr>
          <w:lang w:val="en-GB"/>
        </w:rPr>
      </w:pPr>
      <w:bookmarkStart w:id="4" w:name="evaluation-metrics"/>
      <w:r>
        <w:rPr>
          <w:lang w:val="en-GB"/>
        </w:rPr>
        <w:t>Evaluation metrics</w:t>
      </w:r>
      <w:bookmarkEnd w:id="4"/>
    </w:p>
    <w:p>
      <w:pPr>
        <w:pStyle w:val="FirstParagraph"/>
        <w:rPr>
          <w:lang w:val="en-GB"/>
        </w:rPr>
      </w:pPr>
      <w:r>
        <w:rPr>
          <w:lang w:val="en-GB"/>
        </w:rPr>
        <w:t xml:space="preserve">One of the most widely used metric to evaluate the performance of SDMs is the area under the receiver operating characteristic curve (i.e. AUC), although it has received several critiques (e.g. Jimenez-Valverde, 2012; Lobo et al., 2008). In particular, for the purpose of </w:t>
      </w:r>
      <w:r>
        <w:rPr>
          <w:i/>
          <w:lang w:val="en-GB"/>
        </w:rPr>
        <w:t>MinBAR</w:t>
      </w:r>
      <w:r>
        <w:rPr>
          <w:lang w:val="en-GB"/>
        </w:rPr>
        <w:t xml:space="preserve">, AUC is not the best choice because it is highly influenced by the defined background area. For this reason, </w:t>
      </w:r>
      <w:r>
        <w:rPr>
          <w:i/>
          <w:lang w:val="en-GB"/>
        </w:rPr>
        <w:t>MinBAR</w:t>
      </w:r>
      <w:r>
        <w:rPr>
          <w:lang w:val="en-GB"/>
        </w:rPr>
        <w:t xml:space="preserve"> uses the Boyce Index (Hirzel et al., 2006), implemented in the R package </w:t>
      </w:r>
      <w:r>
        <w:rPr>
          <w:i/>
          <w:lang w:val="en-GB"/>
        </w:rPr>
        <w:t>ecospat</w:t>
      </w:r>
      <w:r>
        <w:rPr>
          <w:lang w:val="en-GB"/>
        </w:rPr>
        <w:t xml:space="preserve"> (Di Cola et al., 2017).</w:t>
      </w:r>
    </w:p>
    <w:p>
      <w:pPr>
        <w:pStyle w:val="Cosdeltext"/>
        <w:rPr>
          <w:lang w:val="en-GB"/>
        </w:rPr>
      </w:pPr>
      <w:r>
        <w:rPr>
          <w:lang w:val="en-GB"/>
        </w:rPr>
        <w:t>Boyce Index (BI) is a threshold-independent evaluator for SDMs adequate for algorithms that use background data (Di Cola et al., 2017). BI varies between -1 and 1 (positive values indicate consistent predictions; close to zero, predictions not better than random; negative, bad predictions). See Hirzel et al. (2006) and Di Cola et al. (2017) for further details on BI.</w:t>
      </w:r>
    </w:p>
    <w:p>
      <w:pPr>
        <w:pStyle w:val="Cosdeltext"/>
        <w:rPr>
          <w:lang w:val="en-GB"/>
        </w:rPr>
      </w:pPr>
      <w:r>
        <w:rPr>
          <w:lang w:val="en-GB"/>
        </w:rPr>
        <w:t xml:space="preserve">In order to evaluate the predictive performance of the models, </w:t>
      </w:r>
      <w:r>
        <w:rPr>
          <w:i/>
          <w:lang w:val="en-GB"/>
        </w:rPr>
        <w:t>MinBAR</w:t>
      </w:r>
      <w:r>
        <w:rPr>
          <w:lang w:val="en-GB"/>
        </w:rPr>
        <w:t xml:space="preserve"> includes two metrics. On the one hand, Boyce Index Partial (BI_part) evaluates the accuracy of predictions within the buffer (i.e. training area). On the other hand, Boyce Index Total (BI_tot) assesses predictions beyond the training area, across the whole distribution of the species (i.e. model transferability).</w:t>
      </w:r>
    </w:p>
    <w:p>
      <w:pPr>
        <w:pStyle w:val="Encapalament2"/>
        <w:numPr>
          <w:ilvl w:val="1"/>
          <w:numId w:val="2"/>
        </w:numPr>
        <w:rPr>
          <w:lang w:val="en-GB"/>
        </w:rPr>
      </w:pPr>
      <w:bookmarkStart w:id="5" w:name="minba-the-main-function"/>
      <w:r>
        <w:rPr>
          <w:i/>
          <w:lang w:val="en-GB"/>
        </w:rPr>
        <w:t>minba</w:t>
      </w:r>
      <w:r>
        <w:rPr>
          <w:lang w:val="en-GB"/>
        </w:rPr>
        <w:t>: The main function</w:t>
      </w:r>
      <w:bookmarkEnd w:id="5"/>
    </w:p>
    <w:p>
      <w:pPr>
        <w:pStyle w:val="FirstParagraph"/>
        <w:rPr>
          <w:lang w:val="en-GB"/>
        </w:rPr>
      </w:pPr>
      <w:r>
        <w:rPr>
          <w:lang w:val="en-GB"/>
        </w:rPr>
        <w:t xml:space="preserve">The main function of </w:t>
      </w:r>
      <w:r>
        <w:rPr>
          <w:i/>
          <w:lang w:val="en-GB"/>
        </w:rPr>
        <w:t>MinBAR</w:t>
      </w:r>
      <w:r>
        <w:rPr>
          <w:lang w:val="en-GB"/>
        </w:rPr>
        <w:t xml:space="preserve"> is </w:t>
      </w:r>
      <w:r>
        <w:rPr>
          <w:i/>
          <w:lang w:val="en-GB"/>
        </w:rPr>
        <w:t>minba</w:t>
      </w:r>
      <w:r>
        <w:rPr>
          <w:lang w:val="en-GB"/>
        </w:rPr>
        <w:t xml:space="preserve">. In the version 1.1.1, </w:t>
      </w:r>
      <w:r>
        <w:rPr>
          <w:i/>
          <w:lang w:val="en-GB"/>
        </w:rPr>
        <w:t>minba</w:t>
      </w:r>
      <w:r>
        <w:rPr>
          <w:lang w:val="en-GB"/>
        </w:rPr>
        <w:t xml:space="preserve"> is implemented for MaxEnt models and the user can choose to use either the R package </w:t>
      </w:r>
      <w:r>
        <w:rPr>
          <w:i/>
          <w:lang w:val="en-GB"/>
        </w:rPr>
        <w:t>maxnet</w:t>
      </w:r>
      <w:r>
        <w:rPr>
          <w:lang w:val="en-GB"/>
        </w:rPr>
        <w:t xml:space="preserve"> (Phillips et al., 2017) or the original java program, if installed (Phillips et al., 2006).</w:t>
      </w:r>
    </w:p>
    <w:p>
      <w:pPr>
        <w:pStyle w:val="Cosdeltext"/>
        <w:rPr>
          <w:lang w:val="en-GB"/>
        </w:rPr>
      </w:pPr>
      <w:r>
        <w:rPr>
          <w:lang w:val="en-GB"/>
        </w:rPr>
        <w:t>After loading presences’ data and explanatory variables, the function calculates the geographical centre of the species distribution, the most distant occurrence and the buffers. The number of buffers can be set by the user (10 as default) and are not defined by equal distance, but by % of presences equally distributed. This is particularly useful for relatively highly discontinuous distributions (e.g. introduced species), while not affecting more aggregated populations.</w:t>
      </w:r>
    </w:p>
    <w:p>
      <w:pPr>
        <w:pStyle w:val="Cosdeltext"/>
        <w:rPr>
          <w:lang w:val="en-GB"/>
        </w:rPr>
      </w:pPr>
      <w:r>
        <w:rPr>
          <w:lang w:val="en-GB"/>
        </w:rPr>
        <w:t xml:space="preserve">Then, </w:t>
      </w:r>
      <w:r>
        <w:rPr>
          <w:i/>
          <w:lang w:val="en-GB"/>
        </w:rPr>
        <w:t>minba</w:t>
      </w:r>
      <w:r>
        <w:rPr>
          <w:lang w:val="en-GB"/>
        </w:rPr>
        <w:t xml:space="preserve"> makes </w:t>
      </w:r>
      <w:r>
        <w:rPr>
          <w:i/>
          <w:lang w:val="en-GB"/>
        </w:rPr>
        <w:t>n</w:t>
      </w:r>
      <w:r>
        <w:rPr>
          <w:lang w:val="en-GB"/>
        </w:rPr>
        <w:t xml:space="preserve"> models for each buffer and calculates averages. In this step, it crops the variables to the extent of the buffer +5%, and calculates the number of necessary pseudo-absences to cover the 50% of the cells within the buffer (Guevara et al., 2018). The user can decide the proportion of presences set aside for testing the models. As default it uses 70% of the presences to calibrate the model and 30% for evaluation, all of them from within the buffer (Boyce Index Partial). It also makes predictions and evaluations for the whole extent of the species +5% (Boyce Index Total).</w:t>
      </w:r>
    </w:p>
    <w:p>
      <w:pPr>
        <w:pStyle w:val="Cosdeltext"/>
        <w:rPr>
          <w:lang w:val="en-GB"/>
        </w:rPr>
      </w:pPr>
      <w:r>
        <w:rPr>
          <w:lang w:val="en-GB"/>
        </w:rPr>
        <w:t xml:space="preserve">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large species distributions. In this case, the user also has several options, mainly depending on the aim of the study. On the one hand, if the interest is related to the characteristics of the population (e.g. description of the ecological niche), the focus should be in the Boyce Index Partial. On the other hand, if the aim is to project the model in time or space, the focus should fall on the Boyce Index Total. In turn, both approaches have two possibilities: either (a) fixing a minimum BI to stop the process when it is reached, or (b) to automatically stop it when the standard deviation (SD) of the last four calculated buffer’s BI is small. Thus, the user has four arguments (i.e. BI_part, BI_tot, SD_BI_part and SD_BI_tot) to pass to </w:t>
      </w:r>
      <w:r>
        <w:rPr>
          <w:i/>
          <w:lang w:val="en-GB"/>
        </w:rPr>
        <w:t>minba</w:t>
      </w:r>
      <w:r>
        <w:rPr>
          <w:lang w:val="en-GB"/>
        </w:rPr>
        <w:t xml:space="preserve"> in order to define how to proceed. BI_part and BI_tot accept two possibilities: either </w:t>
      </w:r>
      <w:r>
        <w:rPr>
          <w:i/>
          <w:lang w:val="en-GB"/>
        </w:rPr>
        <w:t>NULL</w:t>
      </w:r>
      <w:r>
        <w:rPr>
          <w:lang w:val="en-GB"/>
        </w:rPr>
        <w:t xml:space="preserve"> (default), which deactivates the condition, or a number below 1, which establishes the limit to be reached. Similarly, SD_BI_part and SD_BI_tot accept </w:t>
      </w:r>
      <w:r>
        <w:rPr>
          <w:i/>
          <w:lang w:val="en-GB"/>
        </w:rPr>
        <w:t>NULL</w:t>
      </w:r>
      <w:r>
        <w:rPr>
          <w:lang w:val="en-GB"/>
        </w:rPr>
        <w:t xml:space="preserve"> (default) to deactivate the condition, or a number to establish the minimum SD. Therefore, there are several combinations to choose from. For instance, if all four arguments are </w:t>
      </w:r>
      <w:r>
        <w:rPr>
          <w:i/>
          <w:lang w:val="en-GB"/>
        </w:rPr>
        <w:t>NULL</w:t>
      </w:r>
      <w:r>
        <w:rPr>
          <w:lang w:val="en-GB"/>
        </w:rPr>
        <w:t xml:space="preserve"> (default), all buffers are modelled; alternatively, if both BI_par and BI_tot are defined as a number, and so are SD_BI_part and SD_BI_tot, the process stops when the first of them is reached. Any combination of them is allowed.</w:t>
      </w:r>
    </w:p>
    <w:p>
      <w:pPr>
        <w:pStyle w:val="Encapalament2"/>
        <w:numPr>
          <w:ilvl w:val="1"/>
          <w:numId w:val="2"/>
        </w:numPr>
        <w:rPr>
          <w:lang w:val="en-GB"/>
        </w:rPr>
      </w:pPr>
      <w:bookmarkStart w:id="6" w:name="outputs"/>
      <w:r>
        <w:rPr>
          <w:lang w:val="en-GB"/>
        </w:rPr>
        <w:t>Outputs</w:t>
      </w:r>
      <w:bookmarkEnd w:id="6"/>
    </w:p>
    <w:p>
      <w:pPr>
        <w:pStyle w:val="FirstParagraph"/>
        <w:rPr>
          <w:lang w:val="en-GB"/>
        </w:rPr>
      </w:pPr>
      <w:r>
        <w:rPr>
          <w:lang w:val="en-GB"/>
        </w:rPr>
        <w:t xml:space="preserve">At the end of the modelling process, </w:t>
      </w:r>
      <w:r>
        <w:rPr>
          <w:i/>
          <w:lang w:val="en-GB"/>
        </w:rPr>
        <w:t>minba</w:t>
      </w:r>
      <w:r>
        <w:rPr>
          <w:lang w:val="en-GB"/>
        </w:rPr>
        <w:t xml:space="preserve"> outputs different information in the form of tables and charts to let the user know the optimal buffer.</w:t>
      </w:r>
    </w:p>
    <w:p>
      <w:pPr>
        <w:pStyle w:val="Cosdeltext"/>
        <w:rPr>
          <w:lang w:val="en-GB"/>
        </w:rPr>
      </w:pPr>
      <w:r>
        <w:rPr>
          <w:lang w:val="en-GB"/>
        </w:rPr>
        <w:t xml:space="preserve">It writes out three tables in </w:t>
      </w:r>
      <w:r>
        <w:rPr>
          <w:i/>
          <w:lang w:val="en-GB"/>
        </w:rPr>
        <w:t>csv</w:t>
      </w:r>
      <w:r>
        <w:rPr>
          <w:lang w:val="en-GB"/>
        </w:rPr>
        <w:t xml:space="preserve"> files: </w:t>
      </w:r>
      <w:r>
        <w:rPr>
          <w:i/>
          <w:lang w:val="en-GB"/>
        </w:rPr>
        <w:t>selfinfo_mod</w:t>
      </w:r>
      <w:r>
        <w:rPr>
          <w:lang w:val="en-GB"/>
        </w:rPr>
        <w:t xml:space="preserve">, </w:t>
      </w:r>
      <w:r>
        <w:rPr>
          <w:i/>
          <w:lang w:val="en-GB"/>
        </w:rPr>
        <w:t>info_mod</w:t>
      </w:r>
      <w:r>
        <w:rPr>
          <w:lang w:val="en-GB"/>
        </w:rPr>
        <w:t xml:space="preserve"> and </w:t>
      </w:r>
      <w:r>
        <w:rPr>
          <w:i/>
          <w:lang w:val="en-GB"/>
        </w:rPr>
        <w:t>info_mod_means</w:t>
      </w:r>
      <w:r>
        <w:rPr>
          <w:lang w:val="en-GB"/>
        </w:rPr>
        <w:t xml:space="preserve"> (all followed by the name of the species). The first two tables are merely informative about how the modelling process has been developed, whereas </w:t>
      </w:r>
      <w:r>
        <w:rPr>
          <w:i/>
          <w:lang w:val="en-GB"/>
        </w:rPr>
        <w:t>info_mod_means</w:t>
      </w:r>
      <w:r>
        <w:rPr>
          <w:lang w:val="en-GB"/>
        </w:rPr>
        <w:t xml:space="preserve"> shows the means of the </w:t>
      </w:r>
      <w:r>
        <w:rPr>
          <w:i/>
          <w:lang w:val="en-GB"/>
        </w:rPr>
        <w:t>n</w:t>
      </w:r>
      <w:r>
        <w:rPr>
          <w:lang w:val="en-GB"/>
        </w:rPr>
        <w:t xml:space="preserve"> models run for each buffer. See Table S1 in Supplementary Material as an example of </w:t>
      </w:r>
      <w:r>
        <w:rPr>
          <w:i/>
          <w:lang w:val="en-GB"/>
        </w:rPr>
        <w:t>info_mod_means</w:t>
      </w:r>
      <w:r>
        <w:rPr>
          <w:lang w:val="en-GB"/>
        </w:rPr>
        <w:t xml:space="preserve">. It contains the metrics BI_par, BI_tot and the execution time. Additionally, this table also includes rankings of the buffers derived from the three metrics: </w:t>
      </w:r>
      <w:r>
        <w:rPr>
          <w:i/>
          <w:lang w:val="en-GB"/>
        </w:rPr>
        <w:t>rankFinalNoTime</w:t>
      </w:r>
      <w:r>
        <w:rPr>
          <w:lang w:val="en-GB"/>
        </w:rPr>
        <w:t xml:space="preserve"> and </w:t>
      </w:r>
      <w:r>
        <w:rPr>
          <w:i/>
          <w:lang w:val="en-GB"/>
        </w:rPr>
        <w:t>rankFinalWithTime</w:t>
      </w:r>
      <w:r>
        <w:rPr>
          <w:lang w:val="en-GB"/>
        </w:rPr>
        <w:t>, which rank for the best buffer with and without taking into account the execution time, respectively.</w:t>
      </w:r>
    </w:p>
    <w:p>
      <w:pPr>
        <w:pStyle w:val="Cosdeltext"/>
        <w:rPr>
          <w:lang w:val="en-GB"/>
        </w:rPr>
      </w:pPr>
      <w:r>
        <w:rPr>
          <w:lang w:val="en-GB"/>
        </w:rPr>
        <w:t xml:space="preserve">Finally, </w:t>
      </w:r>
      <w:r>
        <w:rPr>
          <w:i/>
          <w:lang w:val="en-GB"/>
        </w:rPr>
        <w:t>minba</w:t>
      </w:r>
      <w:r>
        <w:rPr>
          <w:lang w:val="en-GB"/>
        </w:rPr>
        <w:t xml:space="preserve"> draws scatterplots of the two BI to show the evolution of them with the increase of the buffer diameter in kilometres. It also plots the execution time.</w:t>
      </w:r>
    </w:p>
    <w:p>
      <w:pPr>
        <w:pStyle w:val="Encapalament1"/>
        <w:numPr>
          <w:ilvl w:val="0"/>
          <w:numId w:val="2"/>
        </w:numPr>
        <w:rPr>
          <w:lang w:val="en-GB"/>
        </w:rPr>
      </w:pPr>
      <w:bookmarkStart w:id="7" w:name="implementation-case-studies"/>
      <w:r>
        <w:rPr>
          <w:lang w:val="en-GB"/>
        </w:rPr>
        <w:t>Implementation (Case Studies)</w:t>
      </w:r>
      <w:bookmarkEnd w:id="7"/>
    </w:p>
    <w:p>
      <w:pPr>
        <w:pStyle w:val="FirstParagraph"/>
        <w:rPr>
          <w:lang w:val="en-GB"/>
        </w:rPr>
      </w:pPr>
      <w:r>
        <w:rPr>
          <w:lang w:val="en-GB"/>
        </w:rPr>
        <w:t xml:space="preserve">To test the hypothesis on the existence of an optimal background area, we performed a case study with real data at ecozone level. Then, to check how effective is the best buffer identified by </w:t>
      </w:r>
      <w:r>
        <w:rPr>
          <w:i/>
          <w:lang w:val="en-GB"/>
        </w:rPr>
        <w:t>minba</w:t>
      </w:r>
      <w:r>
        <w:rPr>
          <w:lang w:val="en-GB"/>
        </w:rPr>
        <w:t xml:space="preserve"> in capturing the real distribution of the species, we performed a second case study with simulation data at regional level. Finally, a third case study was run on data belonging to an archipelago in order to check the functionality on islands.</w:t>
      </w:r>
    </w:p>
    <w:p>
      <w:pPr>
        <w:pStyle w:val="Cosdeltext"/>
        <w:rPr>
          <w:lang w:val="en-GB"/>
        </w:rPr>
      </w:pPr>
      <w:r>
        <w:rPr>
          <w:lang w:val="en-GB"/>
        </w:rPr>
        <w:t xml:space="preserve">By default, the function </w:t>
      </w:r>
      <w:r>
        <w:rPr>
          <w:i/>
          <w:lang w:val="en-GB"/>
        </w:rPr>
        <w:t>minba</w:t>
      </w:r>
      <w:r>
        <w:rPr>
          <w:lang w:val="en-GB"/>
        </w:rPr>
        <w:t xml:space="preserve"> defines 10 buffers, with 3 model replicates per buffer, and lets the process produce models for all of them. MaxEnt was run using </w:t>
      </w:r>
      <w:r>
        <w:rPr>
          <w:i/>
          <w:lang w:val="en-GB"/>
        </w:rPr>
        <w:t>maxnet</w:t>
      </w:r>
      <w:r>
        <w:rPr>
          <w:lang w:val="en-GB"/>
        </w:rPr>
        <w:t xml:space="preserve"> with default parameters, except for the number of background points. The intention of that was to limit interferences in the results as much as possible for all the species. We used 19 climatic variables available from WorldClim (Fick and Hijmans, 2017) at different resolutions depending on each study case.</w:t>
      </w:r>
    </w:p>
    <w:p>
      <w:pPr>
        <w:pStyle w:val="Cosdeltext"/>
        <w:rPr/>
      </w:pPr>
      <w:r>
        <w:rPr>
          <w:lang w:val="en-GB"/>
        </w:rPr>
        <w:t xml:space="preserve">All the R scripts used in these case studies can be found at </w:t>
      </w:r>
      <w:hyperlink r:id="rId3">
        <w:r>
          <w:rPr>
            <w:rStyle w:val="ListLabel3"/>
            <w:lang w:val="en-GB"/>
          </w:rPr>
          <w:t>https://github.com/xavi-rp/MinBA</w:t>
        </w:r>
      </w:hyperlink>
      <w:r>
        <w:rPr>
          <w:lang w:val="en-GB"/>
        </w:rPr>
        <w:t xml:space="preserve">. While </w:t>
      </w:r>
      <w:r>
        <w:rPr>
          <w:i/>
          <w:lang w:val="en-GB"/>
        </w:rPr>
        <w:t>MinBAR</w:t>
      </w:r>
      <w:r>
        <w:rPr>
          <w:lang w:val="en-GB"/>
        </w:rPr>
        <w:t xml:space="preserve"> v.1.1.1 can be downloaded from CRAN at </w:t>
      </w:r>
      <w:hyperlink r:id="rId4">
        <w:r>
          <w:rPr>
            <w:rStyle w:val="ListLabel3"/>
            <w:lang w:val="en-GB"/>
          </w:rPr>
          <w:t>https://CRAN.R-project.org/package=MinBAR</w:t>
        </w:r>
      </w:hyperlink>
      <w:r>
        <w:rPr>
          <w:lang w:val="en-GB"/>
        </w:rPr>
        <w:t xml:space="preserve">. The latest (unstable) version is available at </w:t>
      </w:r>
      <w:hyperlink r:id="rId5">
        <w:r>
          <w:rPr>
            <w:rStyle w:val="ListLabel3"/>
            <w:lang w:val="en-GB"/>
          </w:rPr>
          <w:t>https://github.com/xavi-rp/MinBAR</w:t>
        </w:r>
      </w:hyperlink>
      <w:r>
        <w:rPr>
          <w:lang w:val="en-GB"/>
        </w:rPr>
        <w:t>.</w:t>
      </w:r>
    </w:p>
    <w:p>
      <w:pPr>
        <w:pStyle w:val="Encapalament2"/>
        <w:numPr>
          <w:ilvl w:val="1"/>
          <w:numId w:val="2"/>
        </w:numPr>
        <w:rPr>
          <w:lang w:val="en-GB"/>
        </w:rPr>
      </w:pPr>
      <w:bookmarkStart w:id="8" w:name="case-1-real-data"/>
      <w:r>
        <w:rPr>
          <w:lang w:val="en-GB"/>
        </w:rPr>
        <w:t>Case 1: Real data</w:t>
      </w:r>
      <w:bookmarkEnd w:id="8"/>
    </w:p>
    <w:p>
      <w:pPr>
        <w:pStyle w:val="FirstParagraph"/>
        <w:rPr>
          <w:lang w:val="en-GB"/>
        </w:rPr>
      </w:pPr>
      <w:r>
        <w:rPr>
          <w:lang w:val="en-GB"/>
        </w:rPr>
        <w:t>We modelled 25 common plant species native from the Western Palaearctic (longitude –14 to 60; latitude 28 to 75 degrees; see the list in Suppl. Mat. Table S2.1). The occurrences were downloaded from GBIF (references in Suppl. Mat. Table S2.2), and the working resolution was 5 arc-minutes.</w:t>
      </w:r>
    </w:p>
    <w:p>
      <w:pPr>
        <w:pStyle w:val="Cosdeltext"/>
        <w:rPr>
          <w:lang w:val="en-GB"/>
        </w:rPr>
      </w:pPr>
      <w:r>
        <w:rPr>
          <w:lang w:val="en-GB"/>
        </w:rPr>
        <w:t xml:space="preserve">As an example, the output graphs produced for </w:t>
      </w:r>
      <w:r>
        <w:rPr>
          <w:i/>
          <w:lang w:val="en-GB"/>
        </w:rPr>
        <w:t>Fagus sylvatica</w:t>
      </w:r>
      <w:r>
        <w:rPr>
          <w:lang w:val="en-GB"/>
        </w:rPr>
        <w:t xml:space="preserve"> can be seen in Figure 1. Both BI_tot and BI_part did not notably improve when increasing the buffers after certain level. A similar pattern was seen for almost all the species studied (see all plots in Supplementary Material S3). Actually, the results (Table 1, Figure 2) showed that the best models for most of the species were those fitted with only part of their distribution, both taking into account the execution time (88%) and not doing so (56%).</w:t>
      </w:r>
    </w:p>
    <w:p>
      <w:pPr>
        <w:pStyle w:val="Encapalament2"/>
        <w:numPr>
          <w:ilvl w:val="1"/>
          <w:numId w:val="2"/>
        </w:numPr>
        <w:rPr>
          <w:lang w:val="en-GB"/>
        </w:rPr>
      </w:pPr>
      <w:bookmarkStart w:id="9" w:name="case-2-simulation-data"/>
      <w:r>
        <w:rPr>
          <w:lang w:val="en-GB"/>
        </w:rPr>
        <w:t>Case 2: Simulation data</w:t>
      </w:r>
      <w:bookmarkEnd w:id="9"/>
    </w:p>
    <w:p>
      <w:pPr>
        <w:pStyle w:val="FirstParagraph"/>
        <w:rPr>
          <w:lang w:val="en-GB"/>
        </w:rPr>
      </w:pPr>
      <w:r>
        <w:rPr>
          <w:lang w:val="en-GB"/>
        </w:rPr>
        <w:t xml:space="preserve">The aim of this case study was to assess whether the best buffer determined by the function </w:t>
      </w:r>
      <w:r>
        <w:rPr>
          <w:i/>
          <w:lang w:val="en-GB"/>
        </w:rPr>
        <w:t>minba</w:t>
      </w:r>
      <w:r>
        <w:rPr>
          <w:lang w:val="en-GB"/>
        </w:rPr>
        <w:t xml:space="preserve"> captured the actual distribution of the species or not, and at which degree. To do that, we had to know the entire and true distribution of the species and, for that, the only way was simulating virtual species distributions. If the result of the comparison between the true distribution and the one modelled (the best buffer) was positive, we could accept that </w:t>
      </w:r>
      <w:r>
        <w:rPr>
          <w:i/>
          <w:lang w:val="en-GB"/>
        </w:rPr>
        <w:t>MinBAR</w:t>
      </w:r>
      <w:r>
        <w:rPr>
          <w:lang w:val="en-GB"/>
        </w:rPr>
        <w:t xml:space="preserve"> is effective in capturing the real distribution of the species, and at which degree.</w:t>
      </w:r>
    </w:p>
    <w:p>
      <w:pPr>
        <w:pStyle w:val="Cosdeltext"/>
        <w:rPr>
          <w:lang w:val="en-GB"/>
        </w:rPr>
      </w:pPr>
      <w:r>
        <w:rPr>
          <w:lang w:val="en-GB"/>
        </w:rPr>
        <w:t xml:space="preserve">We used </w:t>
      </w:r>
      <w:r>
        <w:rPr>
          <w:i/>
          <w:lang w:val="en-GB"/>
        </w:rPr>
        <w:t>MinBAR</w:t>
      </w:r>
      <w:r>
        <w:rPr>
          <w:lang w:val="en-GB"/>
        </w:rPr>
        <w:t xml:space="preserve"> to calculate the best buffer for 25 virtual species generated with </w:t>
      </w:r>
      <w:r>
        <w:rPr>
          <w:i/>
          <w:lang w:val="en-GB"/>
        </w:rPr>
        <w:t>virtualspecies</w:t>
      </w:r>
      <w:r>
        <w:rPr>
          <w:lang w:val="en-GB"/>
        </w:rPr>
        <w:t xml:space="preserve"> (Leroy et al., 2016) on the Iberian Peninsula. The working resolution was 5 arc-minutes. Then, for each species and best buffer, we obtained a prediction raster of potential distribution using </w:t>
      </w:r>
      <w:r>
        <w:rPr>
          <w:i/>
          <w:lang w:val="en-GB"/>
        </w:rPr>
        <w:t>ENMeval</w:t>
      </w:r>
      <w:r>
        <w:rPr>
          <w:lang w:val="en-GB"/>
        </w:rPr>
        <w:t xml:space="preserve"> (Muscarella et al., 2014). Finally, we compared those predictions with the actual distribution (environmental suitability raster) by means of </w:t>
      </w:r>
      <w:r>
        <w:rPr>
          <w:i/>
          <w:lang w:val="en-GB"/>
        </w:rPr>
        <w:t>ENMTools</w:t>
      </w:r>
      <w:r>
        <w:rPr>
          <w:lang w:val="en-GB"/>
        </w:rPr>
        <w:t xml:space="preserve"> (Warren et al., 2017) using I and D metrics.</w:t>
      </w:r>
    </w:p>
    <w:p>
      <w:pPr>
        <w:pStyle w:val="Cosdeltext"/>
        <w:rPr>
          <w:lang w:val="en-GB"/>
        </w:rPr>
      </w:pPr>
      <w:r>
        <w:rPr>
          <w:lang w:val="en-GB"/>
        </w:rPr>
        <w:t xml:space="preserve">Figure 3 shows how the best models for most of the species were those fitted with only part of their distribution (92% and 76% with and without execution time respectively), confirming Case 1 results. On the other hand, the comparison of the rasters of probability of presence for </w:t>
      </w:r>
      <w:r>
        <w:rPr>
          <w:i/>
          <w:lang w:val="en-GB"/>
        </w:rPr>
        <w:t>MinBAR</w:t>
      </w:r>
      <w:r>
        <w:rPr>
          <w:lang w:val="en-GB"/>
        </w:rPr>
        <w:t>’s best buffers with the actual distribution of the virtual species (Table 2) gave an average of 0.69 (SD = 0.16) and 0.87 (SD = 0.11) for D and I respectively.</w:t>
      </w:r>
    </w:p>
    <w:p>
      <w:pPr>
        <w:pStyle w:val="Encapalament2"/>
        <w:numPr>
          <w:ilvl w:val="1"/>
          <w:numId w:val="2"/>
        </w:numPr>
        <w:rPr>
          <w:lang w:val="en-GB"/>
        </w:rPr>
      </w:pPr>
      <w:bookmarkStart w:id="10" w:name="case-3-real-data-on-islands"/>
      <w:r>
        <w:rPr>
          <w:lang w:val="en-GB"/>
        </w:rPr>
        <w:t>Case 3: Real data on islands</w:t>
      </w:r>
      <w:bookmarkEnd w:id="10"/>
    </w:p>
    <w:p>
      <w:pPr>
        <w:pStyle w:val="FirstParagraph"/>
        <w:rPr>
          <w:lang w:val="en-GB"/>
        </w:rPr>
      </w:pPr>
      <w:r>
        <w:rPr>
          <w:lang w:val="en-GB"/>
        </w:rPr>
        <w:t xml:space="preserve">Besides case studies 1 and 2 presented above, and to assess </w:t>
      </w:r>
      <w:r>
        <w:rPr>
          <w:i/>
          <w:lang w:val="en-GB"/>
        </w:rPr>
        <w:t>MinBAR</w:t>
      </w:r>
      <w:r>
        <w:rPr>
          <w:lang w:val="en-GB"/>
        </w:rPr>
        <w:t xml:space="preserve"> for species inhabiting on islands, we run this case study 3 with real data from the Balearic Islands (Western Mediterranean).</w:t>
      </w:r>
    </w:p>
    <w:p>
      <w:pPr>
        <w:pStyle w:val="Cosdeltext"/>
        <w:rPr/>
      </w:pPr>
      <w:r>
        <w:rPr>
          <w:lang w:val="en-GB"/>
        </w:rPr>
        <w:t>We modelled the distribution of 10 species on the Balearic Islands (see the list in Suppl. Mat. Table S4.1), although their native distribution also includes other continental areas. The occurrences were downloaded from Bioatles (</w:t>
      </w:r>
      <w:hyperlink r:id="rId6">
        <w:r>
          <w:rPr>
            <w:rStyle w:val="ListLabel3"/>
            <w:lang w:val="en-GB"/>
          </w:rPr>
          <w:t>http://bioatles.caib.es</w:t>
        </w:r>
      </w:hyperlink>
      <w:r>
        <w:rPr>
          <w:lang w:val="en-GB"/>
        </w:rPr>
        <w:t xml:space="preserve">) using the R package </w:t>
      </w:r>
      <w:r>
        <w:rPr>
          <w:i/>
          <w:lang w:val="en-GB"/>
        </w:rPr>
        <w:t>PreSPickR</w:t>
      </w:r>
      <w:r>
        <w:rPr>
          <w:lang w:val="en-GB"/>
        </w:rPr>
        <w:t xml:space="preserve"> (Rotllan-Puig, 2018). The function </w:t>
      </w:r>
      <w:r>
        <w:rPr>
          <w:i/>
          <w:lang w:val="en-GB"/>
        </w:rPr>
        <w:t>minba</w:t>
      </w:r>
      <w:r>
        <w:rPr>
          <w:lang w:val="en-GB"/>
        </w:rPr>
        <w:t xml:space="preserve"> was run with default parameters (10 buffers, 3 model replicates per buffer and completing the models for all of them). MaxEnt models were fit using </w:t>
      </w:r>
      <w:r>
        <w:rPr>
          <w:i/>
          <w:lang w:val="en-GB"/>
        </w:rPr>
        <w:t>maxnet</w:t>
      </w:r>
      <w:r>
        <w:rPr>
          <w:lang w:val="en-GB"/>
        </w:rPr>
        <w:t xml:space="preserve"> (Phillips et al., 2017) with the default parameters, except for the number of background points. The working resolution was 0.5 arc-minutes.</w:t>
      </w:r>
    </w:p>
    <w:p>
      <w:pPr>
        <w:pStyle w:val="Cosdeltext"/>
        <w:rPr>
          <w:lang w:val="en-GB"/>
        </w:rPr>
      </w:pPr>
      <w:r>
        <w:rPr>
          <w:lang w:val="en-GB"/>
        </w:rPr>
        <w:t xml:space="preserve">Both BI_tot and BI_part for most of the species did not improve very much when increasing the buffers after the first half. See all plots produced by </w:t>
      </w:r>
      <w:r>
        <w:rPr>
          <w:i/>
          <w:lang w:val="en-GB"/>
        </w:rPr>
        <w:t>minba</w:t>
      </w:r>
      <w:r>
        <w:rPr>
          <w:lang w:val="en-GB"/>
        </w:rPr>
        <w:t xml:space="preserve"> in Supplementary Material Figures S4.2-11. Table 3 and Figure 4 show that the best models for most of the species were those fit with only part of their distribution (90%).</w:t>
      </w:r>
    </w:p>
    <w:p>
      <w:pPr>
        <w:pStyle w:val="Cosdeltext"/>
        <w:rPr>
          <w:lang w:val="en-GB"/>
        </w:rPr>
      </w:pPr>
      <w:r>
        <w:rPr>
          <w:lang w:val="en-GB"/>
        </w:rPr>
        <w:t xml:space="preserve">Therefore, these results confirm that </w:t>
      </w:r>
      <w:r>
        <w:rPr>
          <w:i/>
          <w:lang w:val="en-GB"/>
        </w:rPr>
        <w:t>MinBAR</w:t>
      </w:r>
      <w:r>
        <w:rPr>
          <w:lang w:val="en-GB"/>
        </w:rPr>
        <w:t xml:space="preserve"> performs equally well for islands than for continental data.</w:t>
      </w:r>
    </w:p>
    <w:p>
      <w:pPr>
        <w:pStyle w:val="Encapalament1"/>
        <w:numPr>
          <w:ilvl w:val="0"/>
          <w:numId w:val="2"/>
        </w:numPr>
        <w:rPr>
          <w:lang w:val="en-GB"/>
        </w:rPr>
      </w:pPr>
      <w:bookmarkStart w:id="11" w:name="conclusions"/>
      <w:r>
        <w:rPr>
          <w:lang w:val="en-GB"/>
        </w:rPr>
        <w:t>Conclusions</w:t>
      </w:r>
      <w:bookmarkEnd w:id="11"/>
    </w:p>
    <w:p>
      <w:pPr>
        <w:pStyle w:val="FirstParagraph"/>
        <w:rPr>
          <w:lang w:val="en-GB"/>
        </w:rPr>
      </w:pPr>
      <w:r>
        <w:rPr>
          <w:lang w:val="en-GB"/>
        </w:rPr>
        <w:t xml:space="preserve">The package </w:t>
      </w:r>
      <w:r>
        <w:rPr>
          <w:i/>
          <w:lang w:val="en-GB"/>
        </w:rPr>
        <w:t>MinBAR</w:t>
      </w:r>
      <w:r>
        <w:rPr>
          <w:lang w:val="en-GB"/>
        </w:rPr>
        <w:t xml:space="preserve"> 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w:t>
      </w:r>
    </w:p>
    <w:p>
      <w:pPr>
        <w:pStyle w:val="Cosdeltext"/>
        <w:rPr>
          <w:lang w:val="en-GB"/>
        </w:rPr>
      </w:pPr>
      <w:r>
        <w:rPr>
          <w:lang w:val="en-GB"/>
        </w:rPr>
        <w:t xml:space="preserve">In short, delimiting the background area can strongly affect the results and evaluations of SDMs (Acevedo et al., 2012; Phillips et al., 2009; Rodda et al., 2011). The case studies presented here show that the model including the presences from all the species distribution does not always perform the best. However, given the variability in the response of all the species to the modelling process, further studies should be made to fully understand this fact. Nevertheless, we have demonstrated the usefulness of </w:t>
      </w:r>
      <w:r>
        <w:rPr>
          <w:i/>
          <w:lang w:val="en-GB"/>
        </w:rPr>
        <w:t>MinBAR</w:t>
      </w:r>
      <w:r>
        <w:rPr>
          <w:lang w:val="en-GB"/>
        </w:rPr>
        <w:t xml:space="preserve"> and its good level of effectiveness in capturing the real distribution of species. Therefore, this tool will be able to help modellers to objectively define an optimal solution regarding the delimitation of the background area.</w:t>
      </w:r>
    </w:p>
    <w:p>
      <w:pPr>
        <w:pStyle w:val="Encapalament1"/>
        <w:numPr>
          <w:ilvl w:val="0"/>
          <w:numId w:val="2"/>
        </w:numPr>
        <w:rPr>
          <w:lang w:val="en-GB"/>
        </w:rPr>
      </w:pPr>
      <w:bookmarkStart w:id="12" w:name="acknowledgements"/>
      <w:r>
        <w:rPr>
          <w:lang w:val="en-GB"/>
        </w:rPr>
        <w:t>Acknowledgements</w:t>
      </w:r>
      <w:bookmarkEnd w:id="12"/>
    </w:p>
    <w:p>
      <w:pPr>
        <w:pStyle w:val="FirstParagraph"/>
        <w:rPr/>
      </w:pPr>
      <w:r>
        <w:rPr>
          <w:lang w:val="en-GB"/>
        </w:rPr>
        <w:t>We are grateful to the R community for continuously contributing to the development of code and packages. And also to GBIF for their work in gathering and making data freely available, as well as all the volunteers and professionals who share the results of their fieldwork.</w:t>
      </w:r>
    </w:p>
    <w:p>
      <w:pPr>
        <w:pStyle w:val="Encapalament1"/>
        <w:numPr>
          <w:ilvl w:val="0"/>
          <w:numId w:val="2"/>
        </w:numPr>
        <w:rPr>
          <w:lang w:val="en-GB"/>
        </w:rPr>
      </w:pPr>
      <w:bookmarkStart w:id="13" w:name="tables"/>
      <w:r>
        <w:rPr>
          <w:lang w:val="en-GB"/>
        </w:rPr>
        <w:t>Tables</w:t>
      </w:r>
      <w:bookmarkEnd w:id="13"/>
    </w:p>
    <w:p>
      <w:pPr>
        <w:pStyle w:val="TableCaption"/>
        <w:rPr>
          <w:lang w:val="en-GB"/>
        </w:rPr>
      </w:pPr>
      <w:r>
        <w:rPr>
          <w:lang w:val="en-GB"/>
        </w:rPr>
        <w:t>Table 1: Best and second best buffer with and without taking into account execution time, for each species in Case 1</w:t>
      </w:r>
    </w:p>
    <w:tbl>
      <w:tblPr>
        <w:tblStyle w:val="Table"/>
        <w:tblW w:w="45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195"/>
        <w:gridCol w:w="1675"/>
        <w:gridCol w:w="1556"/>
        <w:gridCol w:w="1674"/>
        <w:gridCol w:w="1676"/>
      </w:tblGrid>
      <w:tr>
        <w:trPr>
          <w:cnfStyle w:firstRow="1"/>
        </w:trPr>
        <w:tc>
          <w:tcPr>
            <w:tcW w:w="119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67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55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No-Time</w:t>
            </w:r>
          </w:p>
        </w:tc>
        <w:tc>
          <w:tcPr>
            <w:tcW w:w="167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67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With-Time</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pin_syl</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que_ile</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fag_syl</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fra_exc</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que_pet</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que_rob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que_pyr</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que_sub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abi_alb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ace_pla</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aln_glu</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jun_oxy</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arb_une</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cra_mon</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pru_spi</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bux_sem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cot_tom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vio_mir</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dip_eru</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cen_alb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ger_luc</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lin_alp</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pis_ter</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leo_com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lot_edu</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r>
    </w:tbl>
    <w:p>
      <w:pPr>
        <w:pStyle w:val="TableCaption"/>
        <w:rPr>
          <w:lang w:val="en-GB"/>
        </w:rPr>
      </w:pPr>
      <w:r>
        <w:rPr>
          <w:lang w:val="en-GB"/>
        </w:rPr>
        <w:t>Table 2: Comparison of MinBAR probability of presence raster (best buffer) with the true distribution (environmental suitability raster) of virtual species. Metrics: D and I</w:t>
      </w:r>
    </w:p>
    <w:tbl>
      <w:tblPr>
        <w:tblStyle w:val="Table"/>
        <w:tblW w:w="275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543"/>
        <w:gridCol w:w="1544"/>
        <w:gridCol w:w="833"/>
        <w:gridCol w:w="831"/>
      </w:tblGrid>
      <w:tr>
        <w:trPr>
          <w:cnfStyle w:firstRow="1"/>
        </w:trPr>
        <w:tc>
          <w:tcPr>
            <w:tcW w:w="154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54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BestBuffer</w:t>
            </w:r>
          </w:p>
        </w:tc>
        <w:tc>
          <w:tcPr>
            <w:tcW w:w="83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D</w:t>
            </w:r>
          </w:p>
        </w:tc>
        <w:tc>
          <w:tcPr>
            <w:tcW w:w="831"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I</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0.97</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0.39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s06</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s07</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s08</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s09</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0.92</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s10</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0.91</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s16</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s17</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0.41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s18</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s19</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s20</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0.94</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0.62</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0.84</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0.73</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0.37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mean</w:t>
            </w:r>
          </w:p>
        </w:tc>
        <w:tc>
          <w:tcPr>
            <w:tcW w:w="1544" w:type="dxa"/>
            <w:tcBorders>
              <w:top w:val="single" w:sz="6" w:space="0" w:color="000000"/>
              <w:bottom w:val="single" w:sz="6" w:space="0" w:color="000000"/>
              <w:insideH w:val="single" w:sz="6" w:space="0" w:color="000000"/>
            </w:tcBorders>
            <w:shd w:fill="auto" w:val="clear"/>
          </w:tcPr>
          <w:p>
            <w:pPr>
              <w:pStyle w:val="Normal"/>
              <w:spacing w:before="0" w:after="240"/>
              <w:rPr>
                <w:lang w:val="en-GB"/>
              </w:rPr>
            </w:pPr>
            <w:r>
              <w:rPr>
                <w:lang w:val="en-GB"/>
              </w:rPr>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0.87</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sd</w:t>
            </w:r>
          </w:p>
        </w:tc>
        <w:tc>
          <w:tcPr>
            <w:tcW w:w="1544" w:type="dxa"/>
            <w:tcBorders>
              <w:top w:val="single" w:sz="6" w:space="0" w:color="000000"/>
              <w:bottom w:val="single" w:sz="6" w:space="0" w:color="000000"/>
              <w:insideH w:val="single" w:sz="6" w:space="0" w:color="000000"/>
            </w:tcBorders>
            <w:shd w:fill="auto" w:val="clear"/>
          </w:tcPr>
          <w:p>
            <w:pPr>
              <w:pStyle w:val="Normal"/>
              <w:spacing w:before="0" w:after="240"/>
              <w:rPr>
                <w:lang w:val="en-GB"/>
              </w:rPr>
            </w:pPr>
            <w:r>
              <w:rPr>
                <w:lang w:val="en-GB"/>
              </w:rPr>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0.16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0.11</w:t>
            </w:r>
          </w:p>
        </w:tc>
      </w:tr>
    </w:tbl>
    <w:p>
      <w:pPr>
        <w:pStyle w:val="TableCaption"/>
        <w:rPr>
          <w:lang w:val="en-GB"/>
        </w:rPr>
      </w:pPr>
      <w:r>
        <w:rPr>
          <w:lang w:val="en-GB"/>
        </w:rPr>
      </w:r>
    </w:p>
    <w:p>
      <w:pPr>
        <w:pStyle w:val="TableCaption"/>
        <w:rPr>
          <w:lang w:val="en-GB"/>
        </w:rPr>
      </w:pPr>
      <w:r>
        <w:rPr>
          <w:lang w:val="en-GB"/>
        </w:rPr>
        <w:t>Table 3: Best and second best buffer with and without taking into account execution time, for each species in Case 3</w:t>
      </w:r>
    </w:p>
    <w:tbl>
      <w:tblPr>
        <w:tblStyle w:val="Table"/>
        <w:tblW w:w="45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195"/>
        <w:gridCol w:w="1675"/>
        <w:gridCol w:w="1556"/>
        <w:gridCol w:w="1674"/>
        <w:gridCol w:w="1676"/>
      </w:tblGrid>
      <w:tr>
        <w:trPr>
          <w:cnfStyle w:firstRow="1"/>
        </w:trPr>
        <w:tc>
          <w:tcPr>
            <w:tcW w:w="119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67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55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No-Time</w:t>
            </w:r>
          </w:p>
        </w:tc>
        <w:tc>
          <w:tcPr>
            <w:tcW w:w="167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67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With-Time</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arb_une</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asp_aes</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cha_hum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eph_fra</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hel_sto</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jun_oxy</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pis_len</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que_coc</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rha_ala</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vib_tin</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r>
    </w:tbl>
    <w:p>
      <w:pPr>
        <w:pStyle w:val="Cosdeltext"/>
        <w:rPr>
          <w:lang w:val="en-GB"/>
        </w:rPr>
      </w:pPr>
      <w:r>
        <w:rPr>
          <w:lang w:val="en-GB"/>
        </w:rPr>
      </w:r>
    </w:p>
    <w:p>
      <w:pPr>
        <w:pStyle w:val="Encapalament1"/>
        <w:numPr>
          <w:ilvl w:val="0"/>
          <w:numId w:val="2"/>
        </w:numPr>
        <w:rPr>
          <w:lang w:val="en-GB"/>
        </w:rPr>
      </w:pPr>
      <w:bookmarkStart w:id="14" w:name="figures"/>
      <w:r>
        <w:rPr>
          <w:lang w:val="en-GB"/>
        </w:rPr>
        <w:t>Figures</w:t>
      </w:r>
      <w:bookmarkEnd w:id="14"/>
    </w:p>
    <w:p>
      <w:pPr>
        <w:pStyle w:val="Normal"/>
        <w:rPr>
          <w:lang w:val="en-GB"/>
        </w:rPr>
      </w:pPr>
      <w:r>
        <w:rPr/>
        <w:drawing>
          <wp:inline distT="0" distB="0" distL="0" distR="0">
            <wp:extent cx="5486400" cy="5486400"/>
            <wp:effectExtent l="0" t="0" r="0" b="0"/>
            <wp:docPr id="1" name="Picture" descr="Figure 1: Evolution of Boyce Index Total (green) and Partial (blue) and the execution time in minutes (pink) for Fagus sylv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Evolution of Boyce Index Total (green) and Partial (blue) and the execution time in minutes (pink) for Fagus sylvatica"/>
                    <pic:cNvPicPr>
                      <a:picLocks noChangeAspect="1" noChangeArrowheads="1"/>
                    </pic:cNvPicPr>
                  </pic:nvPicPr>
                  <pic:blipFill>
                    <a:blip r:embed="rId7"/>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1: Evolution of Boyce Index Total (green) and Partial (blue) and the execution time in minutes (pink) for Fagus sylvatica</w:t>
      </w:r>
    </w:p>
    <w:p>
      <w:pPr>
        <w:pStyle w:val="Normal"/>
        <w:rPr>
          <w:lang w:val="en-GB"/>
        </w:rPr>
      </w:pPr>
      <w:r>
        <w:rPr/>
        <w:drawing>
          <wp:inline distT="0" distB="0" distL="0" distR="0">
            <wp:extent cx="5486400" cy="5486400"/>
            <wp:effectExtent l="0" t="0" r="0" b="0"/>
            <wp:docPr id="2" name="Imatge1" descr="Figure 2: Frequencies of best buffer with and without taking into account execution time in 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Figure 2: Frequencies of best buffer with and without taking into account execution time in Case 1"/>
                    <pic:cNvPicPr>
                      <a:picLocks noChangeAspect="1" noChangeArrowheads="1"/>
                    </pic:cNvPicPr>
                  </pic:nvPicPr>
                  <pic:blipFill>
                    <a:blip r:embed="rId8"/>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2: Frequencies of best buffer with and without taking into account execution time in Case 1</w:t>
      </w:r>
    </w:p>
    <w:p>
      <w:pPr>
        <w:pStyle w:val="Normal"/>
        <w:rPr>
          <w:lang w:val="en-GB"/>
        </w:rPr>
      </w:pPr>
      <w:r>
        <w:rPr/>
        <w:drawing>
          <wp:inline distT="0" distB="0" distL="0" distR="0">
            <wp:extent cx="5486400" cy="5486400"/>
            <wp:effectExtent l="0" t="0" r="0" b="0"/>
            <wp:docPr id="3" name="Imatge2" descr="Figure 3: Frequencies of best buffer with and without taking into account execution time in 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2" descr="Figure 3: Frequencies of best buffer with and without taking into account execution time in Case 2"/>
                    <pic:cNvPicPr>
                      <a:picLocks noChangeAspect="1" noChangeArrowheads="1"/>
                    </pic:cNvPicPr>
                  </pic:nvPicPr>
                  <pic:blipFill>
                    <a:blip r:embed="rId9"/>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3: Frequencies of best buffer with and without taking into account execution time in Case 2</w:t>
      </w:r>
    </w:p>
    <w:p>
      <w:pPr>
        <w:pStyle w:val="Normal"/>
        <w:rPr>
          <w:lang w:val="en-GB"/>
        </w:rPr>
      </w:pPr>
      <w:r>
        <w:rPr/>
        <w:drawing>
          <wp:inline distT="0" distB="0" distL="0" distR="0">
            <wp:extent cx="5486400" cy="5486400"/>
            <wp:effectExtent l="0" t="0" r="0" b="0"/>
            <wp:docPr id="4" name="Imatge3" descr="Figure 4: Frequencies of best buffer with and without taking into account execution time in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3" descr="Figure 4: Frequencies of best buffer with and without taking into account execution time in Case 3"/>
                    <pic:cNvPicPr>
                      <a:picLocks noChangeAspect="1" noChangeArrowheads="1"/>
                    </pic:cNvPicPr>
                  </pic:nvPicPr>
                  <pic:blipFill>
                    <a:blip r:embed="rId10"/>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4: Frequencies of best buffer with and without taking into account execution time in Case 3</w:t>
      </w:r>
    </w:p>
    <w:p>
      <w:pPr>
        <w:pStyle w:val="Cosdeltext"/>
        <w:rPr>
          <w:lang w:val="en-GB"/>
        </w:rPr>
      </w:pPr>
      <w:r>
        <w:rPr>
          <w:lang w:val="en-GB"/>
        </w:rPr>
      </w:r>
    </w:p>
    <w:p>
      <w:pPr>
        <w:pStyle w:val="Encapalament1"/>
        <w:numPr>
          <w:ilvl w:val="0"/>
          <w:numId w:val="2"/>
        </w:numPr>
        <w:rPr>
          <w:lang w:val="en-GB"/>
        </w:rPr>
      </w:pPr>
      <w:bookmarkStart w:id="15" w:name="references"/>
      <w:r>
        <w:rPr>
          <w:lang w:val="en-GB"/>
        </w:rPr>
        <w:t>References</w:t>
      </w:r>
      <w:bookmarkEnd w:id="15"/>
    </w:p>
    <w:p>
      <w:pPr>
        <w:pStyle w:val="Bibliography"/>
        <w:rPr/>
      </w:pPr>
      <w:r>
        <w:rPr>
          <w:lang w:val="en-GB"/>
        </w:rPr>
        <w:t xml:space="preserve">Acevedo, P., Jimenez-Valverde, A., Lobo, J.M., Real, R., 2012. Delimiting the geographical background in species distribution modelling. Journal of Biogeography 39, 1383–1390. </w:t>
      </w:r>
      <w:hyperlink r:id="rId11">
        <w:r>
          <w:rPr>
            <w:rStyle w:val="ListLabel3"/>
            <w:lang w:val="en-GB"/>
          </w:rPr>
          <w:t>https://doi.org/10.1111/j.1365-2699.2012.02713.x</w:t>
        </w:r>
      </w:hyperlink>
    </w:p>
    <w:p>
      <w:pPr>
        <w:pStyle w:val="Bibliography"/>
        <w:rPr/>
      </w:pPr>
      <w:r>
        <w:rPr>
          <w:lang w:val="en-GB"/>
        </w:rPr>
        <w:t xml:space="preserve">Anderson, R.P., Raza, A., 2010. The effect of the extent of the study region on gis models of species geographic distributions and estimates of niche evolution: Preliminary tests with montane rodents (genus nephelomys) in venezuela. Journal of Biogeography 37, 1378–1393. </w:t>
      </w:r>
      <w:hyperlink r:id="rId12">
        <w:r>
          <w:rPr>
            <w:rStyle w:val="ListLabel3"/>
            <w:lang w:val="en-GB"/>
          </w:rPr>
          <w:t>https://doi.org/10.1111/j.1365-2699.2010.02290.x</w:t>
        </w:r>
      </w:hyperlink>
    </w:p>
    <w:p>
      <w:pPr>
        <w:pStyle w:val="Bibliography"/>
        <w:rPr/>
      </w:pPr>
      <w:r>
        <w:rPr>
          <w:lang w:val="en-GB"/>
        </w:rPr>
        <w:t xml:space="preserve">Barve, N., Barve, V., Jimenez-Valverde, A., Lira-Noriega, A., Maher, S.P., Peterson, A.T., Soberon, J., Villalobos, F., 2011. The crucial role of the accessible area in ecological niche modeling and species distribution modeling. Ecological Modelling 222, 1810–1819. </w:t>
      </w:r>
      <w:hyperlink r:id="rId13">
        <w:r>
          <w:rPr>
            <w:rStyle w:val="ListLabel3"/>
            <w:lang w:val="en-GB"/>
          </w:rPr>
          <w:t>https://doi.org/10.1016/j.ecolmodel.2011.02.011</w:t>
        </w:r>
      </w:hyperlink>
    </w:p>
    <w:p>
      <w:pPr>
        <w:pStyle w:val="Bibliography"/>
        <w:rPr/>
      </w:pPr>
      <w:r>
        <w:rPr>
          <w:lang w:val="en-GB"/>
        </w:rP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 </w:t>
      </w:r>
      <w:hyperlink r:id="rId14">
        <w:r>
          <w:rPr>
            <w:rStyle w:val="ListLabel3"/>
            <w:lang w:val="en-GB"/>
          </w:rPr>
          <w:t>https://doi.org/10.1111/ecog.02671</w:t>
        </w:r>
      </w:hyperlink>
    </w:p>
    <w:p>
      <w:pPr>
        <w:pStyle w:val="Bibliography"/>
        <w:rPr/>
      </w:pPr>
      <w:r>
        <w:rPr>
          <w:lang w:val="en-GB"/>
        </w:rPr>
        <w:t xml:space="preserve">Duque-Lazo, J., Gils, H. van, Groen, T.A., Navarro-Cerrillo, R.M., 2016. Transferability of species distribution models: The case of phytophthora cinnamomi in southwest spain and southwest australia. Ecological Modelling 320, 62–70. </w:t>
      </w:r>
      <w:hyperlink r:id="rId15">
        <w:r>
          <w:rPr>
            <w:rStyle w:val="ListLabel3"/>
            <w:lang w:val="en-GB"/>
          </w:rPr>
          <w:t>https://doi.org/10.1016/j.ecolmodel.2015.09.019</w:t>
        </w:r>
      </w:hyperlink>
    </w:p>
    <w:p>
      <w:pPr>
        <w:pStyle w:val="Bibliography"/>
        <w:rPr/>
      </w:pPr>
      <w:r>
        <w:rPr>
          <w:lang w:val="en-GB"/>
        </w:rPr>
        <w:t xml:space="preserve">El-Gabbas, A., Dormann, C.F., 2018. Wrong, but useful: Regional species distribution models may not be improved by range-wide data under biased sampling. Ecology and Evolution 8, 2196–2206. </w:t>
      </w:r>
      <w:hyperlink r:id="rId16">
        <w:r>
          <w:rPr>
            <w:rStyle w:val="ListLabel3"/>
            <w:lang w:val="en-GB"/>
          </w:rPr>
          <w:t>https://doi.org/10.1002/ece3.3834</w:t>
        </w:r>
      </w:hyperlink>
    </w:p>
    <w:p>
      <w:pPr>
        <w:pStyle w:val="Bibliography"/>
        <w:rPr/>
      </w:pPr>
      <w:r>
        <w:rPr>
          <w:lang w:val="en-GB"/>
        </w:rPr>
        <w:t xml:space="preserve">Elith, J., Phillips, S.J., Hastie, T., Dudik, M., Chee, Y.E., Yates, C.J., 2011. A statistical explanation of maxent for ecologists. Diversity and Distributions 17, 43–57. </w:t>
      </w:r>
      <w:hyperlink r:id="rId17">
        <w:r>
          <w:rPr>
            <w:rStyle w:val="ListLabel3"/>
            <w:lang w:val="en-GB"/>
          </w:rPr>
          <w:t>https://doi.org/10.1111/j.1472-4642.2010.00725.x</w:t>
        </w:r>
      </w:hyperlink>
    </w:p>
    <w:p>
      <w:pPr>
        <w:pStyle w:val="Bibliography"/>
        <w:rPr/>
      </w:pPr>
      <w:r>
        <w:rPr>
          <w:lang w:val="en-GB"/>
        </w:rPr>
        <w:t xml:space="preserve">Fick, S.E., Hijmans, R.J., 2017. WorldClim 2: New 1-km spatial resolution climate surfaces for global land areas. International Journal of Climatology 37, 4302–4315. </w:t>
      </w:r>
      <w:hyperlink r:id="rId18">
        <w:r>
          <w:rPr>
            <w:rStyle w:val="ListLabel3"/>
            <w:lang w:val="en-GB"/>
          </w:rPr>
          <w:t>https://doi.org/10.1002/joc.5086</w:t>
        </w:r>
      </w:hyperlink>
    </w:p>
    <w:p>
      <w:pPr>
        <w:pStyle w:val="Bibliography"/>
        <w:rPr/>
      </w:pPr>
      <w:r>
        <w:rPr>
          <w:lang w:val="en-GB"/>
        </w:rPr>
        <w:t xml:space="preserve">Franklin, J., 2013. Species distribution models in conservation biogeography: Developments and challenges. Diversity and Distributions 19, 1217–1223. </w:t>
      </w:r>
      <w:hyperlink r:id="rId19">
        <w:r>
          <w:rPr>
            <w:rStyle w:val="ListLabel3"/>
            <w:lang w:val="en-GB"/>
          </w:rPr>
          <w:t>https://doi.org/10.1111/ddi.12125</w:t>
        </w:r>
      </w:hyperlink>
    </w:p>
    <w:p>
      <w:pPr>
        <w:pStyle w:val="Bibliography"/>
        <w:rPr/>
      </w:pPr>
      <w:r>
        <w:rPr>
          <w:lang w:val="en-GB"/>
        </w:rPr>
        <w:t xml:space="preserve">Guevara, L., Gerstner, B.E., Kass, J.M., Anderson, R.P., 2018. Toward ecologically realistic predictions of species distributions: A cross-time example from tropical montane cloud forests. Global Change Biology 24, 1511–1522. </w:t>
      </w:r>
      <w:hyperlink r:id="rId20">
        <w:r>
          <w:rPr>
            <w:rStyle w:val="ListLabel3"/>
            <w:lang w:val="en-GB"/>
          </w:rPr>
          <w:t>https://doi.org/10.1111/gcb.13992</w:t>
        </w:r>
      </w:hyperlink>
    </w:p>
    <w:p>
      <w:pPr>
        <w:pStyle w:val="Bibliography"/>
        <w:rPr/>
      </w:pPr>
      <w:r>
        <w:rPr>
          <w:lang w:val="en-GB"/>
        </w:rPr>
        <w:t xml:space="preserve">Hirzel, A.H., Le Lay, G., Helfer, V., Randin, C., Guisan, A., 2006. Evaluating the ability of habitat suitability models to predict species presences. Ecological Modelling 199, 142–152. </w:t>
      </w:r>
      <w:hyperlink r:id="rId21">
        <w:r>
          <w:rPr>
            <w:rStyle w:val="ListLabel3"/>
            <w:lang w:val="en-GB"/>
          </w:rPr>
          <w:t>https://doi.org/10.1016/j.ecolmodel.2006.05.017</w:t>
        </w:r>
      </w:hyperlink>
    </w:p>
    <w:p>
      <w:pPr>
        <w:pStyle w:val="Bibliography"/>
        <w:rPr/>
      </w:pPr>
      <w:r>
        <w:rPr>
          <w:lang w:val="en-GB"/>
        </w:rPr>
        <w:t xml:space="preserve">Jarnevich, C.S., Talbert, M., Morisette, J., Aldridge, C., Brown, C.S., Kumar, S., Manier, D., Talbert, C., Holcombe, T., 2017. Minimizing effects of methodological decisions on interpretation and prediction in species distribution studies: An example with background selection. Ecological Modelling 363, 48–56. </w:t>
      </w:r>
      <w:hyperlink r:id="rId22">
        <w:r>
          <w:rPr>
            <w:rStyle w:val="ListLabel3"/>
            <w:lang w:val="en-GB"/>
          </w:rPr>
          <w:t>https://doi.org/10.1016/j.ecolmodel.2017.08.017</w:t>
        </w:r>
      </w:hyperlink>
    </w:p>
    <w:p>
      <w:pPr>
        <w:pStyle w:val="Bibliography"/>
        <w:rPr/>
      </w:pPr>
      <w:r>
        <w:rPr>
          <w:lang w:val="en-GB"/>
        </w:rPr>
        <w:t xml:space="preserve">Jimenez-Valverde, A., 2012. Insights into the area under the receiver operating characteristic curve (auc) as a discrimination measure in species distribution modelling. Global Ecology and Biogeography 21, 498–507. </w:t>
      </w:r>
      <w:hyperlink r:id="rId23">
        <w:r>
          <w:rPr>
            <w:rStyle w:val="ListLabel3"/>
            <w:lang w:val="en-GB"/>
          </w:rPr>
          <w:t>https://doi.org/10.1111/j.1466-8238.2011.00683.x</w:t>
        </w:r>
      </w:hyperlink>
    </w:p>
    <w:p>
      <w:pPr>
        <w:pStyle w:val="Bibliography"/>
        <w:rPr/>
      </w:pPr>
      <w:r>
        <w:rPr>
          <w:lang w:val="en-GB"/>
        </w:rPr>
        <w:t xml:space="preserve">Leroy, B., Meynard, C.N., Bellard, C., Courchamp, F., 2016. Virtualspecies, an r package to generate virtual species distributions. Ecography 39, 599–607. </w:t>
      </w:r>
      <w:hyperlink r:id="rId24">
        <w:r>
          <w:rPr>
            <w:rStyle w:val="ListLabel3"/>
            <w:lang w:val="en-GB"/>
          </w:rPr>
          <w:t>https://doi.org/10.1111/ecog.01388</w:t>
        </w:r>
      </w:hyperlink>
    </w:p>
    <w:p>
      <w:pPr>
        <w:pStyle w:val="Bibliography"/>
        <w:rPr/>
      </w:pPr>
      <w:r>
        <w:rPr>
          <w:lang w:val="en-GB"/>
        </w:rPr>
        <w:t xml:space="preserve">Lobo, J.M., Jimenez-Valverde, A., Real, R., 2008. AUC: A misleading measure of the performance of predictive distribution models. Global Ecology and Biogeography 17, 145–151. </w:t>
      </w:r>
      <w:hyperlink r:id="rId25">
        <w:r>
          <w:rPr>
            <w:rStyle w:val="ListLabel3"/>
            <w:lang w:val="en-GB"/>
          </w:rPr>
          <w:t>https://doi.org/10.1111/j.1466-8238.2007.00358.x</w:t>
        </w:r>
      </w:hyperlink>
    </w:p>
    <w:p>
      <w:pPr>
        <w:pStyle w:val="Bibliography"/>
        <w:rPr/>
      </w:pPr>
      <w:r>
        <w:rPr>
          <w:lang w:val="en-GB"/>
        </w:rPr>
        <w:t xml:space="preserve">Melo-Merino, S.M., Reyes-Bonilla, H., Lira-Noriega, A., 2020. Ecological niche models and species distribution models in marine environments: A literature review and spatial analysis of evidence. Ecological Modelling 415, 108837. </w:t>
      </w:r>
      <w:hyperlink r:id="rId26">
        <w:r>
          <w:rPr>
            <w:rStyle w:val="ListLabel3"/>
            <w:lang w:val="en-GB"/>
          </w:rPr>
          <w:t>https://doi.org/https://doi.org/10.1016/j.ecolmodel.2019.108837</w:t>
        </w:r>
      </w:hyperlink>
    </w:p>
    <w:p>
      <w:pPr>
        <w:pStyle w:val="Bibliography"/>
        <w:rPr/>
      </w:pPr>
      <w:r>
        <w:rPr>
          <w:lang w:val="en-GB"/>
        </w:rPr>
        <w:t xml:space="preserve">Muscarella, R., Galante, P.J., Soley-Guardia, M., Boria, R.A., Kass, J.M., Uriarte, M., Anderson, R.P., 2014. ENMeval: An r package for conducting spatially independent evaluations and estimating optimal model complexity for maxent ecological niche models. Methods in Ecology and Evolution 5, 1198–1205. </w:t>
      </w:r>
      <w:hyperlink r:id="rId27">
        <w:r>
          <w:rPr>
            <w:rStyle w:val="ListLabel3"/>
            <w:lang w:val="en-GB"/>
          </w:rPr>
          <w:t>https://doi.org/10.1111/2041-210x.12261</w:t>
        </w:r>
      </w:hyperlink>
    </w:p>
    <w:p>
      <w:pPr>
        <w:pStyle w:val="Bibliography"/>
        <w:rPr/>
      </w:pPr>
      <w:r>
        <w:rPr>
          <w:lang w:val="en-GB"/>
        </w:rPr>
        <w:t xml:space="preserve">Peterson, A.T., Monica, P., Jorge, S., 2015. Mechanistic and correlative models of ecological niches. European Journal of Ecology 1, 28–38. </w:t>
      </w:r>
      <w:hyperlink r:id="rId28">
        <w:r>
          <w:rPr>
            <w:rStyle w:val="ListLabel3"/>
            <w:lang w:val="en-GB"/>
          </w:rPr>
          <w:t>https://doi.org/https://doi.org/10.1515/eje-2015-0014</w:t>
        </w:r>
      </w:hyperlink>
    </w:p>
    <w:p>
      <w:pPr>
        <w:pStyle w:val="Bibliography"/>
        <w:rPr/>
      </w:pPr>
      <w:r>
        <w:rPr>
          <w:lang w:val="en-GB"/>
        </w:rPr>
        <w:t xml:space="preserve">Phillips, S.J., Anderson, R.P., Dudik, M., Schapire, R.E., Blair, M.E., 2017. Opening the black box: An open-source release of maxent. Ecography 40, 887–893. </w:t>
      </w:r>
      <w:hyperlink r:id="rId29">
        <w:r>
          <w:rPr>
            <w:rStyle w:val="ListLabel3"/>
            <w:lang w:val="en-GB"/>
          </w:rPr>
          <w:t>https://doi.org/10.1111/ecog.03049</w:t>
        </w:r>
      </w:hyperlink>
    </w:p>
    <w:p>
      <w:pPr>
        <w:pStyle w:val="Bibliography"/>
        <w:rPr/>
      </w:pPr>
      <w:r>
        <w:rPr>
          <w:lang w:val="en-GB"/>
        </w:rPr>
        <w:t xml:space="preserve">Phillips, S.J., Anderson, R.P., Schapire, R.E., 2006. Maximum entropy modeling of species geographic distributions. Ecological Modelling 190, 231–259. </w:t>
      </w:r>
      <w:hyperlink r:id="rId30">
        <w:r>
          <w:rPr>
            <w:rStyle w:val="ListLabel3"/>
            <w:lang w:val="en-GB"/>
          </w:rPr>
          <w:t>https://doi.org/10.1016/j.ecolmodel.2005.03.026</w:t>
        </w:r>
      </w:hyperlink>
    </w:p>
    <w:p>
      <w:pPr>
        <w:pStyle w:val="Bibliography"/>
        <w:rPr/>
      </w:pPr>
      <w:r>
        <w:rPr>
          <w:lang w:val="en-GB"/>
        </w:rPr>
        <w:t xml:space="preserve">Phillips, S.J., Dudik, M., Elith, J., Graham, C.H., Lehmann, A., Leathwick, J., Ferrier, S., 2009. Sample selection bias and presence-only distribution models: Implications for background and pseudo-absence data. Ecological Applications 19, 181–197. </w:t>
      </w:r>
      <w:hyperlink r:id="rId31">
        <w:r>
          <w:rPr>
            <w:rStyle w:val="ListLabel3"/>
            <w:lang w:val="en-GB"/>
          </w:rPr>
          <w:t>https://doi.org/10.1890/07-2153.1</w:t>
        </w:r>
      </w:hyperlink>
    </w:p>
    <w:p>
      <w:pPr>
        <w:pStyle w:val="Bibliography"/>
        <w:rPr/>
      </w:pPr>
      <w:r>
        <w:rPr>
          <w:lang w:val="en-GB"/>
        </w:rPr>
        <w:t xml:space="preserve">Raes, N., 2012. Partial versus full species distribution models. Natureza &amp; Conservacao 10, 127–138. </w:t>
      </w:r>
      <w:hyperlink r:id="rId32">
        <w:r>
          <w:rPr>
            <w:rStyle w:val="ListLabel3"/>
            <w:lang w:val="en-GB"/>
          </w:rPr>
          <w:t>https://doi.org/10.4322/natcon.2012.020</w:t>
        </w:r>
      </w:hyperlink>
    </w:p>
    <w:p>
      <w:pPr>
        <w:pStyle w:val="Bibliography"/>
        <w:rPr>
          <w:lang w:val="en-GB"/>
        </w:rPr>
      </w:pPr>
      <w:r>
        <w:rPr>
          <w:lang w:val="en-GB"/>
        </w:rPr>
        <w:t>R Core Team, 2019. R: A language and environment for statistical computing. R Foundation for Statistical Computing, Vienna, Austria.</w:t>
      </w:r>
      <w:bookmarkStart w:id="16" w:name="ref-RN_R"/>
      <w:bookmarkEnd w:id="16"/>
    </w:p>
    <w:p>
      <w:pPr>
        <w:pStyle w:val="Bibliography"/>
        <w:rPr/>
      </w:pPr>
      <w:r>
        <w:rPr>
          <w:lang w:val="en-GB"/>
        </w:rPr>
        <w:t xml:space="preserve">Rodda, G.H., Jarnevich, C.S., Reed, R.N., 2011. Challenges in identifying sites climatically matched to the native ranges of animal invaders. PLOS ONE 6, e14670. </w:t>
      </w:r>
      <w:hyperlink r:id="rId33">
        <w:r>
          <w:rPr>
            <w:rStyle w:val="ListLabel3"/>
            <w:lang w:val="en-GB"/>
          </w:rPr>
          <w:t>https://doi.org/10.1371/journal.pone.0014670</w:t>
        </w:r>
      </w:hyperlink>
    </w:p>
    <w:p>
      <w:pPr>
        <w:pStyle w:val="Bibliography"/>
        <w:rPr/>
      </w:pPr>
      <w:r>
        <w:rPr>
          <w:lang w:val="en-GB"/>
        </w:rPr>
        <w:t xml:space="preserve">Rotllan-Puig, X., 2018. PreSPickR: Downloading species presences (occurrences) from public repositories. </w:t>
      </w:r>
      <w:hyperlink r:id="rId34">
        <w:r>
          <w:rPr>
            <w:rStyle w:val="ListLabel3"/>
            <w:lang w:val="en-GB"/>
          </w:rPr>
          <w:t>https://doi.org/10.13140/RG.2.2.10574.97607/1</w:t>
        </w:r>
      </w:hyperlink>
    </w:p>
    <w:p>
      <w:pPr>
        <w:pStyle w:val="Bibliography"/>
        <w:rPr/>
      </w:pPr>
      <w:r>
        <w:rPr>
          <w:lang w:val="en-GB"/>
        </w:rPr>
        <w:t xml:space="preserve">Sanchez-Fernandez, D., Lobo, J.M., Lucia Hernandez-Manrique, O., 2011. Species distribution models that do not incorporate global data misrepresent potential distributions: A case study using iberian diving beetles. Diversity and Distributions 17, 163–171. </w:t>
      </w:r>
      <w:hyperlink r:id="rId35">
        <w:r>
          <w:rPr>
            <w:rStyle w:val="ListLabel3"/>
            <w:lang w:val="en-GB"/>
          </w:rPr>
          <w:t>https://doi.org/10.1111/j.1472-4642.2010.00716.x</w:t>
        </w:r>
      </w:hyperlink>
    </w:p>
    <w:p>
      <w:pPr>
        <w:pStyle w:val="Bibliography"/>
        <w:rPr/>
      </w:pPr>
      <w:r>
        <w:rPr>
          <w:lang w:val="en-GB"/>
        </w:rPr>
        <w:t xml:space="preserve">Thuiller, W., Lafourcade, B., Engler, R., Araujo, M.B., 2009. BIOMOD - a platform for ensemble forecasting of species distributions. Ecography 32, 369–373. </w:t>
      </w:r>
      <w:hyperlink r:id="rId36">
        <w:r>
          <w:rPr>
            <w:rStyle w:val="ListLabel3"/>
            <w:lang w:val="en-GB"/>
          </w:rPr>
          <w:t>https://doi.org/10.1111/j.1600-0587.2008.05742.x</w:t>
        </w:r>
      </w:hyperlink>
    </w:p>
    <w:p>
      <w:pPr>
        <w:pStyle w:val="Bibliography"/>
        <w:rPr>
          <w:lang w:val="en-GB"/>
        </w:rPr>
      </w:pPr>
      <w:r>
        <w:rPr>
          <w:lang w:val="en-GB"/>
        </w:rPr>
        <w:t>Warren, D., Matzke, N., Cardillo, M., Dinnage, R., 2017. ENMTools: Analysis of niche evolution using niche and distribution models.</w:t>
      </w:r>
      <w:bookmarkStart w:id="17" w:name="ref-RN6691"/>
      <w:bookmarkEnd w:id="17"/>
    </w:p>
    <w:p>
      <w:pPr>
        <w:pStyle w:val="Bibliography"/>
        <w:spacing w:before="0" w:after="120"/>
        <w:ind w:left="567" w:hanging="567"/>
        <w:rPr/>
      </w:pPr>
      <w:r>
        <w:rPr>
          <w:lang w:val="en-GB"/>
        </w:rPr>
        <w:t xml:space="preserve">Zurell, D., Franklin, J., Kˆnig, C., Bouchet, P.J., Dormann, C.F., Elith, J., Fandos, G., Feng, X., Guillera-Arroita, G., Guisan, A., Lahoz-Monfort, J.J., Leit„o, P.J., Park, D.S., Peterson, A.T., Rapacciuolo, G., Schmatz, D.R., Schrˆder, B., Serra-Diaz, J.M., Thuiller, W., Yates, K.L., Zimmermann, N.E., Merow, C., 2020. A standard protocol for reporting species distribution models. Ecography n/a. </w:t>
      </w:r>
      <w:hyperlink r:id="rId37">
        <w:r>
          <w:rPr>
            <w:rStyle w:val="ListLabel3"/>
            <w:lang w:val="en-GB"/>
          </w:rPr>
          <w:t>https://doi.org/10.1111/ecog.04960</w:t>
        </w:r>
      </w:hyperlink>
    </w:p>
    <w:sectPr>
      <w:footerReference w:type="default" r:id="rId38"/>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28">
              <wp:simplePos x="0" y="0"/>
              <wp:positionH relativeFrom="margin">
                <wp:align>right</wp:align>
              </wp:positionH>
              <wp:positionV relativeFrom="paragraph">
                <wp:posOffset>635</wp:posOffset>
              </wp:positionV>
              <wp:extent cx="155575" cy="174625"/>
              <wp:effectExtent l="0" t="0" r="0" b="0"/>
              <wp:wrapSquare wrapText="largest"/>
              <wp:docPr id="5" name="Marc1"/>
              <a:graphic xmlns:a="http://schemas.openxmlformats.org/drawingml/2006/main">
                <a:graphicData uri="http://schemas.microsoft.com/office/word/2010/wordprocessingShape">
                  <wps:wsp>
                    <wps:cNvSpPr/>
                    <wps:spPr>
                      <a:xfrm>
                        <a:off x="0" y="0"/>
                        <a:ext cx="15480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75pt;margin-top:0.05pt;width:12.1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style>
  <w:style w:type="character" w:styleId="ListLabel4">
    <w:name w:val="ListLabel 4"/>
    <w:qFormat/>
    <w:rPr>
      <w:lang w:val="en-GB"/>
    </w:rPr>
  </w:style>
  <w:style w:type="character" w:styleId="ListLabel5">
    <w:name w:val="ListLabel 5"/>
    <w:qFormat/>
    <w:rPr>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avier.rotllan.puig@aster-projects.cat" TargetMode="External"/><Relationship Id="rId3" Type="http://schemas.openxmlformats.org/officeDocument/2006/relationships/hyperlink" Target="https://github.com/xavi-rp/MinBA" TargetMode="External"/><Relationship Id="rId4" Type="http://schemas.openxmlformats.org/officeDocument/2006/relationships/hyperlink" Target="https://CRAN.R-project.org/package=MinBAR" TargetMode="External"/><Relationship Id="rId5" Type="http://schemas.openxmlformats.org/officeDocument/2006/relationships/hyperlink" Target="https://github.com/xavi-rp/MinBAR" TargetMode="External"/><Relationship Id="rId6" Type="http://schemas.openxmlformats.org/officeDocument/2006/relationships/hyperlink" Target="http://bioatles.caib.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doi.org/10.1111/j.1365-2699.2012.02713.x" TargetMode="External"/><Relationship Id="rId12" Type="http://schemas.openxmlformats.org/officeDocument/2006/relationships/hyperlink" Target="https://doi.org/10.1111/j.1365-2699.2010.02290.x" TargetMode="External"/><Relationship Id="rId13" Type="http://schemas.openxmlformats.org/officeDocument/2006/relationships/hyperlink" Target="https://doi.org/10.1016/j.ecolmodel.2011.02.011" TargetMode="External"/><Relationship Id="rId14" Type="http://schemas.openxmlformats.org/officeDocument/2006/relationships/hyperlink" Target="https://doi.org/10.1111/ecog.02671" TargetMode="External"/><Relationship Id="rId15" Type="http://schemas.openxmlformats.org/officeDocument/2006/relationships/hyperlink" Target="https://doi.org/10.1016/j.ecolmodel.2015.09.019" TargetMode="External"/><Relationship Id="rId16" Type="http://schemas.openxmlformats.org/officeDocument/2006/relationships/hyperlink" Target="https://doi.org/10.1002/ece3.3834" TargetMode="External"/><Relationship Id="rId17" Type="http://schemas.openxmlformats.org/officeDocument/2006/relationships/hyperlink" Target="https://doi.org/10.1111/j.1472-4642.2010.00725.x" TargetMode="External"/><Relationship Id="rId18" Type="http://schemas.openxmlformats.org/officeDocument/2006/relationships/hyperlink" Target="https://doi.org/10.1002/joc.5086" TargetMode="External"/><Relationship Id="rId19" Type="http://schemas.openxmlformats.org/officeDocument/2006/relationships/hyperlink" Target="https://doi.org/10.1111/ddi.12125" TargetMode="External"/><Relationship Id="rId20" Type="http://schemas.openxmlformats.org/officeDocument/2006/relationships/hyperlink" Target="https://doi.org/10.1111/gcb.13992" TargetMode="External"/><Relationship Id="rId21" Type="http://schemas.openxmlformats.org/officeDocument/2006/relationships/hyperlink" Target="https://doi.org/10.1016/j.ecolmodel.2006.05.017" TargetMode="External"/><Relationship Id="rId22" Type="http://schemas.openxmlformats.org/officeDocument/2006/relationships/hyperlink" Target="https://doi.org/10.1016/j.ecolmodel.2017.08.017" TargetMode="External"/><Relationship Id="rId23" Type="http://schemas.openxmlformats.org/officeDocument/2006/relationships/hyperlink" Target="https://doi.org/10.1111/j.1466-8238.2011.00683.x" TargetMode="External"/><Relationship Id="rId24" Type="http://schemas.openxmlformats.org/officeDocument/2006/relationships/hyperlink" Target="https://doi.org/10.1111/ecog.01388" TargetMode="External"/><Relationship Id="rId25" Type="http://schemas.openxmlformats.org/officeDocument/2006/relationships/hyperlink" Target="https://doi.org/10.1111/j.1466-8238.2007.00358.x" TargetMode="External"/><Relationship Id="rId26" Type="http://schemas.openxmlformats.org/officeDocument/2006/relationships/hyperlink" Target="https://doi.org/https://doi.org/10.1016/j.ecolmodel.2019.108837" TargetMode="External"/><Relationship Id="rId27" Type="http://schemas.openxmlformats.org/officeDocument/2006/relationships/hyperlink" Target="https://doi.org/10.1111/2041-210x.12261" TargetMode="External"/><Relationship Id="rId28" Type="http://schemas.openxmlformats.org/officeDocument/2006/relationships/hyperlink" Target="https://doi.org/https://doi.org/10.1515/eje-2015-0014" TargetMode="External"/><Relationship Id="rId29" Type="http://schemas.openxmlformats.org/officeDocument/2006/relationships/hyperlink" Target="https://doi.org/10.1111/ecog.03049" TargetMode="External"/><Relationship Id="rId30" Type="http://schemas.openxmlformats.org/officeDocument/2006/relationships/hyperlink" Target="https://doi.org/10.1016/j.ecolmodel.2005.03.026" TargetMode="External"/><Relationship Id="rId31" Type="http://schemas.openxmlformats.org/officeDocument/2006/relationships/hyperlink" Target="https://doi.org/10.1890/07-2153.1" TargetMode="External"/><Relationship Id="rId32" Type="http://schemas.openxmlformats.org/officeDocument/2006/relationships/hyperlink" Target="https://doi.org/10.4322/natcon.2012.020" TargetMode="External"/><Relationship Id="rId33" Type="http://schemas.openxmlformats.org/officeDocument/2006/relationships/hyperlink" Target="https://doi.org/10.1371/journal.pone.0014670" TargetMode="External"/><Relationship Id="rId34" Type="http://schemas.openxmlformats.org/officeDocument/2006/relationships/hyperlink" Target="https://doi.org/10.13140/RG.2.2.10574.97607/1" TargetMode="External"/><Relationship Id="rId35" Type="http://schemas.openxmlformats.org/officeDocument/2006/relationships/hyperlink" Target="https://doi.org/10.1111/j.1472-4642.2010.00716.x" TargetMode="External"/><Relationship Id="rId36" Type="http://schemas.openxmlformats.org/officeDocument/2006/relationships/hyperlink" Target="https://doi.org/10.1111/j.1600-0587.2008.05742.x" TargetMode="External"/><Relationship Id="rId37" Type="http://schemas.openxmlformats.org/officeDocument/2006/relationships/hyperlink" Target="https://doi.org/10.1111/ecog.04960"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LibreOffice/6.1.6.3$MacOSX_X86_64 LibreOffice_project/5896ab1714085361c45cf540f76f60673dd96a72</Application>
  <Pages>23</Pages>
  <Words>4132</Words>
  <Characters>22814</Characters>
  <CharactersWithSpaces>26522</CharactersWithSpaces>
  <Paragraphs>389</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2020-06-30T21:22:02Z</dcterms:created>
  <dc:creator>Xavier Rotllan-Puig1,✉, and Anna Traveset2</dc:creator>
  <dc:description/>
  <dc:language>ca-ES</dc:language>
  <cp:lastModifiedBy>Xavier Rotllan-Puig</cp:lastModifiedBy>
  <dcterms:modified xsi:type="dcterms:W3CDTF">2020-07-02T13:33:56Z</dcterms:modified>
  <cp:revision>5</cp:revision>
  <dc:subject/>
  <dc:title>DETERMINING THE MINIMAL BACKGROUND AREA FOR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xrp</vt:lpwstr>
  </property>
  <property fmtid="{D5CDD505-2E9C-101B-9397-08002B2CF9AE}" pid="3" name="bibliography">
    <vt:lpwstr>exportlist_1.bib</vt:lpwstr>
  </property>
  <property fmtid="{D5CDD505-2E9C-101B-9397-08002B2CF9AE}" pid="4" name="csl">
    <vt:lpwstr>ecological-modelling.csl</vt:lpwstr>
  </property>
  <property fmtid="{D5CDD505-2E9C-101B-9397-08002B2CF9AE}" pid="5" name="date">
    <vt:lpwstr/>
  </property>
  <property fmtid="{D5CDD505-2E9C-101B-9397-08002B2CF9AE}" pid="6" name="output">
    <vt:lpwstr/>
  </property>
</Properties>
</file>