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5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22.png" ContentType="image/png"/>
  <Override PartName="/word/media/image7.png" ContentType="image/png"/>
  <Override PartName="/word/media/image11.png" ContentType="image/png"/>
  <Override PartName="/word/media/image2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36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ol"/>
        <w:spacing w:before="480" w:after="240"/>
        <w:rPr/>
      </w:pPr>
      <w:r>
        <w:rPr/>
        <w:t>DETERMINING THE MINIMAL BACKGROUND AREA FOR SPECIES DISTRIBUTION MODELS: MinBAR PACKAGE. SUPPLEMENTARY MATERIAL</w:t>
      </w:r>
    </w:p>
    <w:p>
      <w:pPr>
        <w:pStyle w:val="Author"/>
        <w:spacing w:lineRule="auto" w:line="480" w:before="0" w:after="283"/>
        <w:rPr/>
      </w:pPr>
      <w:r>
        <w:rPr/>
        <w:t>Xavier Rotllan-Puig</w:t>
      </w:r>
      <w:r>
        <w:rPr>
          <w:vertAlign w:val="superscript"/>
        </w:rPr>
        <w:t>1,✉</w:t>
      </w:r>
      <w:r>
        <w:rPr/>
        <w:t>, and Anna Traveset</w:t>
      </w:r>
      <w:r>
        <w:rPr>
          <w:vertAlign w:val="superscript"/>
        </w:rPr>
        <w:t>2</w:t>
      </w:r>
    </w:p>
    <w:p>
      <w:pPr>
        <w:pStyle w:val="FirstParagraph"/>
        <w:rPr/>
      </w:pPr>
      <w:r>
        <w:rPr>
          <w:vertAlign w:val="superscript"/>
        </w:rPr>
        <w:t>1</w:t>
      </w:r>
      <w:r>
        <w:rPr/>
        <w:t xml:space="preserve"> ASTER Projects. Barri Reboll, 9, 1r. 08694 - Guardiola de Berguedà (Barcelona). Spain</w:t>
        <w:br/>
      </w:r>
      <w:r>
        <w:rPr>
          <w:vertAlign w:val="superscript"/>
        </w:rPr>
        <w:t>2</w:t>
      </w:r>
      <w:r>
        <w:rPr/>
        <w:t xml:space="preserve"> Terrestrial Ecology Laboratory. Global Change Research Group. Institut Mediterrani d’Estudis Avançats (CSIC-UIB). C/ Miquel Marqués, 21. 07190 - Esporles (Mallorca - Illes Balears). Spain</w:t>
      </w:r>
    </w:p>
    <w:p>
      <w:pPr>
        <w:pStyle w:val="Cosdeltext"/>
        <w:rPr/>
      </w:pPr>
      <w:r>
        <w:rPr>
          <w:vertAlign w:val="superscript"/>
        </w:rPr>
        <w:t>✉</w:t>
      </w:r>
      <w:r>
        <w:rPr/>
        <w:t xml:space="preserve"> </w:t>
      </w:r>
      <w:r>
        <w:rPr/>
        <w:t xml:space="preserve">Correspondence: </w:t>
      </w:r>
      <w:hyperlink r:id="rId2">
        <w:r>
          <w:rPr>
            <w:rStyle w:val="ListLabel3"/>
          </w:rPr>
          <w:t>Xavier Rotllan-Puig &lt;xavier.rotllan.puig@aster-projects.cat&gt;</w:t>
        </w:r>
      </w:hyperlink>
    </w:p>
    <w:p>
      <w:pPr>
        <w:pStyle w:val="Encapalament1"/>
        <w:numPr>
          <w:ilvl w:val="0"/>
          <w:numId w:val="2"/>
        </w:numPr>
        <w:rPr/>
      </w:pPr>
      <w:bookmarkStart w:id="0" w:name="introduction"/>
      <w:r>
        <w:rPr/>
        <w:t>Introduction</w:t>
      </w:r>
      <w:bookmarkEnd w:id="0"/>
    </w:p>
    <w:p>
      <w:pPr>
        <w:pStyle w:val="FirstParagraph"/>
        <w:rPr/>
      </w:pPr>
      <w:r>
        <w:rPr/>
        <w:t>This is the Supplementary Material to the article “Determining the minimal background area for MaxEnt species distribution models: MinBAR package” (</w:t>
      </w:r>
      <w:hyperlink r:id="rId3">
        <w:r>
          <w:rPr>
            <w:rStyle w:val="ListLabel3"/>
          </w:rPr>
          <w:t>https://CRAN.R-project.org/package=MinBAR</w:t>
        </w:r>
      </w:hyperlink>
      <w:r>
        <w:rPr/>
        <w:t>)</w:t>
      </w:r>
    </w:p>
    <w:p>
      <w:pPr>
        <w:pStyle w:val="Encapalament5"/>
        <w:numPr>
          <w:ilvl w:val="4"/>
          <w:numId w:val="2"/>
        </w:numPr>
        <w:ind w:left="1366" w:hanging="1009"/>
        <w:rPr/>
      </w:pPr>
      <w:r>
        <w:rPr/>
      </w:r>
      <w:bookmarkStart w:id="1" w:name="pagebreak"/>
      <w:bookmarkStart w:id="2" w:name="pagebreak"/>
      <w:bookmarkEnd w:id="2"/>
    </w:p>
    <w:p>
      <w:pPr>
        <w:pStyle w:val="Encapalament1"/>
        <w:numPr>
          <w:ilvl w:val="0"/>
          <w:numId w:val="2"/>
        </w:numPr>
        <w:rPr/>
      </w:pPr>
      <w:bookmarkStart w:id="3" w:name="supplementary-material-s1"/>
      <w:r>
        <w:rPr/>
        <w:t>Supplementary Material S1</w:t>
      </w:r>
      <w:bookmarkEnd w:id="3"/>
    </w:p>
    <w:p>
      <w:pPr>
        <w:pStyle w:val="TableCaption"/>
        <w:rPr/>
      </w:pPr>
      <w:r>
        <w:rPr/>
        <w:t>Table S1: Example of an output of MinBAR. Buffer in km. (continued below)</w:t>
      </w:r>
    </w:p>
    <w:tbl>
      <w:tblPr>
        <w:tblStyle w:val="Table"/>
        <w:tblW w:w="7025" w:type="dxa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1135"/>
        <w:gridCol w:w="1023"/>
        <w:gridCol w:w="1417"/>
        <w:gridCol w:w="1412"/>
        <w:gridCol w:w="1075"/>
        <w:gridCol w:w="962"/>
      </w:tblGrid>
      <w:tr>
        <w:trPr>
          <w:cnfStyle w:firstRow="1"/>
        </w:trPr>
        <w:tc>
          <w:tcPr>
            <w:tcW w:w="1135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Species</w:t>
            </w:r>
          </w:p>
        </w:tc>
        <w:tc>
          <w:tcPr>
            <w:tcW w:w="1023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Buffer</w:t>
            </w:r>
          </w:p>
        </w:tc>
        <w:tc>
          <w:tcPr>
            <w:tcW w:w="1417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BoyceIndex_part</w:t>
            </w:r>
          </w:p>
        </w:tc>
        <w:tc>
          <w:tcPr>
            <w:tcW w:w="1412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BoyceIndex_tot</w:t>
            </w:r>
          </w:p>
        </w:tc>
        <w:tc>
          <w:tcPr>
            <w:tcW w:w="1075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SD_part</w:t>
            </w:r>
          </w:p>
        </w:tc>
        <w:tc>
          <w:tcPr>
            <w:tcW w:w="962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SD_tot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126.8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0.968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0.954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228.1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0.982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0.185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304.2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0.995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0.946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384.3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0.989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0.992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0.01162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0.39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476.3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0.993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0.996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0.005737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0.3971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591.5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0.997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0.992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0.003416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0.02374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746.1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0.004787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0.00383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878.2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0.999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0.003096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0.00383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1068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0.996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0.994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0.001826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0.004123</w:t>
            </w:r>
          </w:p>
        </w:tc>
      </w:tr>
      <w:tr>
        <w:trPr/>
        <w:tc>
          <w:tcPr>
            <w:tcW w:w="113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3668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0.999</w:t>
            </w:r>
          </w:p>
        </w:tc>
        <w:tc>
          <w:tcPr>
            <w:tcW w:w="107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0.001893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0.002872</w:t>
            </w:r>
          </w:p>
        </w:tc>
      </w:tr>
    </w:tbl>
    <w:p>
      <w:pPr>
        <w:pStyle w:val="TableCaption"/>
        <w:rPr/>
      </w:pPr>
      <w:r>
        <w:rPr/>
        <w:t>Table continues below</w:t>
      </w:r>
    </w:p>
    <w:tbl>
      <w:tblPr>
        <w:tblStyle w:val="Table"/>
        <w:tblW w:w="7025" w:type="dxa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1249"/>
        <w:gridCol w:w="963"/>
        <w:gridCol w:w="962"/>
        <w:gridCol w:w="1250"/>
        <w:gridCol w:w="1299"/>
        <w:gridCol w:w="1301"/>
      </w:tblGrid>
      <w:tr>
        <w:trPr>
          <w:cnfStyle w:firstRow="1"/>
        </w:trPr>
        <w:tc>
          <w:tcPr>
            <w:tcW w:w="1249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ExecutionTime</w:t>
            </w:r>
          </w:p>
        </w:tc>
        <w:tc>
          <w:tcPr>
            <w:tcW w:w="963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rankBI_part</w:t>
            </w:r>
          </w:p>
        </w:tc>
        <w:tc>
          <w:tcPr>
            <w:tcW w:w="962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rankBI_tot</w:t>
            </w:r>
          </w:p>
        </w:tc>
        <w:tc>
          <w:tcPr>
            <w:tcW w:w="125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rankTime</w:t>
            </w:r>
          </w:p>
        </w:tc>
        <w:tc>
          <w:tcPr>
            <w:tcW w:w="1299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rankFinalNoTime</w:t>
            </w:r>
          </w:p>
        </w:tc>
        <w:tc>
          <w:tcPr>
            <w:tcW w:w="1301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rankFinalWithTime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0.7504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0.9735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1.257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1.417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1.519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1.753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2.226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2.63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2.66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</w:tr>
      <w:tr>
        <w:trPr/>
        <w:tc>
          <w:tcPr>
            <w:tcW w:w="12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8.862</w:t>
            </w:r>
          </w:p>
        </w:tc>
        <w:tc>
          <w:tcPr>
            <w:tcW w:w="96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29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30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</w:tr>
    </w:tbl>
    <w:p>
      <w:pPr>
        <w:pStyle w:val="Encapalament1"/>
        <w:numPr>
          <w:ilvl w:val="0"/>
          <w:numId w:val="0"/>
        </w:numPr>
        <w:ind w:left="0" w:hanging="0"/>
        <w:rPr/>
      </w:pPr>
      <w:r>
        <w:rPr/>
      </w:r>
    </w:p>
    <w:p>
      <w:pPr>
        <w:pStyle w:val="Encapalament1"/>
        <w:numPr>
          <w:ilvl w:val="0"/>
          <w:numId w:val="2"/>
        </w:numPr>
        <w:rPr/>
      </w:pPr>
      <w:bookmarkStart w:id="4" w:name="supplementary-material-s2"/>
      <w:r>
        <w:rPr/>
        <w:t>Supplementary Material S2</w:t>
      </w:r>
      <w:bookmarkEnd w:id="4"/>
    </w:p>
    <w:p>
      <w:pPr>
        <w:pStyle w:val="TableCaption"/>
        <w:rPr/>
      </w:pPr>
      <w:r>
        <w:rPr/>
        <w:t>Table S2.1: List of species used in case study 1</w:t>
      </w:r>
    </w:p>
    <w:tbl>
      <w:tblPr>
        <w:tblStyle w:val="Table"/>
        <w:tblW w:w="3400" w:type="pct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3956"/>
        <w:gridCol w:w="1918"/>
      </w:tblGrid>
      <w:tr>
        <w:trPr>
          <w:cnfStyle w:firstRow="1"/>
        </w:trPr>
        <w:tc>
          <w:tcPr>
            <w:tcW w:w="3956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Case.Study.1</w:t>
            </w:r>
          </w:p>
        </w:tc>
        <w:tc>
          <w:tcPr>
            <w:tcW w:w="1918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Abbreviation1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Pinus sylvestris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pin_syl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ilex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que_ile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Fagus sylvatica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fag_syl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Fraxinus excelsior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fra_exc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petraea (Matt.) Liebl.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que_pet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robur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que_rob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pyrenaica Willd.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que_pyr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suber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que_sub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Abies alba Mill.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abi_alb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Acer platanoides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ace_pla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Alnus glutinosa (L.) Gaertn.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aln_glu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Juniperus oxycedrus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jun_oxy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Arbutus unedo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arb_une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Crataegus monogyna Jacq.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cra_mon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Prunus spinosa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pru_spi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Buxus sempervirens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bux_sem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Cotoneaster tomentosus Lindl.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cot_tom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Viola mirabilis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vio_mir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Diplotaxis erucoides DC.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dip_eru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Centaurea alba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cen_alb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Geranium lucidum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ger_luc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Linaria alpina Mill.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lin_alp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Pistacia terebinthus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pis_ter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Muscari comosum (L.) Mill.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leo_com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Lotus edulis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lot_edu</w:t>
            </w:r>
          </w:p>
        </w:tc>
      </w:tr>
    </w:tbl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  <w:t xml:space="preserve">The occurrences were downloaded from GBIF using </w:t>
      </w:r>
      <w:r>
        <w:rPr>
          <w:i/>
        </w:rPr>
        <w:t>PreSPickR</w:t>
      </w:r>
      <w:r>
        <w:rPr/>
        <w:t xml:space="preserve"> (Rotllan-Puig, 2018)</w:t>
      </w:r>
    </w:p>
    <w:p>
      <w:pPr>
        <w:pStyle w:val="TableCaption"/>
        <w:rPr/>
      </w:pPr>
      <w:r>
        <w:rPr/>
      </w:r>
    </w:p>
    <w:p>
      <w:pPr>
        <w:pStyle w:val="TableCaption"/>
        <w:rPr/>
      </w:pPr>
      <w:r>
        <w:rPr/>
        <w:t>Table S2.2: Citations of the data sets downloaded from GBIF and used in case study 1</w:t>
      </w:r>
    </w:p>
    <w:tbl>
      <w:tblPr>
        <w:tblStyle w:val="Table"/>
        <w:tblW w:w="5000" w:type="pct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1704"/>
        <w:gridCol w:w="1023"/>
        <w:gridCol w:w="2387"/>
        <w:gridCol w:w="3525"/>
      </w:tblGrid>
      <w:tr>
        <w:trPr>
          <w:cnfStyle w:firstRow="1"/>
        </w:trPr>
        <w:tc>
          <w:tcPr>
            <w:tcW w:w="1704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species</w:t>
            </w:r>
          </w:p>
        </w:tc>
        <w:tc>
          <w:tcPr>
            <w:tcW w:w="1023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source</w:t>
            </w:r>
          </w:p>
        </w:tc>
        <w:tc>
          <w:tcPr>
            <w:tcW w:w="2387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DOI</w:t>
            </w:r>
          </w:p>
        </w:tc>
        <w:tc>
          <w:tcPr>
            <w:tcW w:w="3525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date_downloaded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ABIES ALBA MILL.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10.15468/dl.eo0lqe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2018-03-04T17:37:26.441+0000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ACER PLATANOIDES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10.15468/dl.idbrjq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2018-03-04T17:43:00.642+0000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ALNUS GLUTINOSA (L.) GAERTN.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10.15468/dl.6stmlq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2018-03-04T17:53:48.872+0000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ARBUTUS UNEDO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10.15468/dl.mez7r0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2018-03-04T17:59:43.726+0000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BUXUS SEMPERVIRENS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10.15468/dl.vitxba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2018-03-04T18:30:04.506+0000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CENTAUREA ALBA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10.15468/dl.izlpzu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2018-03-07T22:20:10.052+0000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COTONEASTER TOMENTOSUS LINDL.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10.15468/dl.51ud43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2018-07-12T14:53:51.438+0000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CRATAEGUS MONOGYNA JACQ.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10.15468/dl.lshmvs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2018-03-04T18:10:29.057+0000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DIPLOTAXIS ERUCOIDES DC.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10.15468/dl.djvzg0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2018-03-07T22:18:38.525+0000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FAGUS SYLVATICA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10.15468/dl.u60ogx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2018-02-22T23:14:34.322+0000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FRAXINUS EXCELSIOR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10.15468/dl.fxzzxv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2018-03-04T17:04:11.166+0000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GERANIUM LUCIDUM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10.15468/dl.srgkdi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2018-03-07T22:22:17.220+0000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JUNIPERUS OXYCEDRUS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10.15468/dl.lnykuh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2018-03-04T17:57:27.889+0000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LINARIA ALPINA MILL.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10.15468/dl.phqgk3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2018-03-07T22:23:42.077+0000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LOTUS EDULIS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10.15468/dl.gphxhp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2018-03-07T22:29:38.764+0000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MUSCARI COMOSUM (L.) MILL.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10.15468/dl.ff8tqr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2018-03-07T22:28:23.186+0000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PINUS SYLVESTRIS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10.15468/dl.lpqpm3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2018-02-22T23:00:00.299+0000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PISTACIA TEREBINTHUS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10.15468/dl.g0zyyj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2018-03-07T22:25:47.461+0000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10.15468/dl.dzldah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2018-03-04T18:25:37.314+0000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ILEX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10.15468/dl.yfpx0f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2018-02-22T23:03:47.122+0000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PETRAEA (MATT.) LIEBL.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10.15468/dl.1htw8l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2018-03-04T17:15:52.716+0000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PYRENAICA WILLD.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10.15468/dl.mpmnvw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2018-03-04T17:31:41.099+0000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ROBUR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10.15468/dl.ihampz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2018-03-04T17:28:03.035+0000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SUBER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10.15468/dl.uzpt1x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2018-03-04T17:33:45.764+0000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VIOLA MIRABILIS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10.15468/dl.6vyew0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2018-03-07T22:16:25.766+0000</w:t>
            </w:r>
          </w:p>
        </w:tc>
      </w:tr>
    </w:tbl>
    <w:p>
      <w:pPr>
        <w:pStyle w:val="Encapalament5"/>
        <w:numPr>
          <w:ilvl w:val="0"/>
          <w:numId w:val="0"/>
        </w:numPr>
        <w:ind w:left="1725" w:hanging="0"/>
        <w:rPr/>
      </w:pPr>
      <w:r>
        <w:rPr/>
      </w:r>
      <w:bookmarkStart w:id="5" w:name="pagebreak-1"/>
      <w:bookmarkStart w:id="6" w:name="pagebreak-1"/>
      <w:bookmarkEnd w:id="6"/>
    </w:p>
    <w:p>
      <w:pPr>
        <w:pStyle w:val="Encapalament1"/>
        <w:numPr>
          <w:ilvl w:val="0"/>
          <w:numId w:val="2"/>
        </w:numPr>
        <w:rPr/>
      </w:pPr>
      <w:bookmarkStart w:id="7" w:name="supplementary-material-s3"/>
      <w:r>
        <w:rPr/>
        <w:t>Supplementary Material S3</w:t>
      </w:r>
      <w:bookmarkEnd w:id="7"/>
    </w:p>
    <w:p>
      <w:pPr>
        <w:pStyle w:val="FirstParagraph"/>
        <w:rPr/>
      </w:pPr>
      <w:r>
        <w:rPr/>
        <w:t>Figures S3.1 - S3.25: Evolution of Boyce Index Total (green) and Partial (blue), and the execution time in minutes (pink), for all the species in case study 1. The origin of the x-axis corresponds to the geographical centre of the species distribution (mean location for longitude/latitude coordinates dealing with angularity). The x-axis increases (in kilometres) with buffers 1 to 10, respectively the closest and the most distant to the centre of species distribution</w:t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4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5" name="Imat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6" name="Imat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7" name="Imat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8" name="Imat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9" name="Imat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0" name="Imat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1" name="Imat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2" name="Imat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3" name="Imat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4" name="Imat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5" name="Imat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6" name="Imat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t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7" name="Imat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t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8" name="Imat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9" name="Imat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0" name="Imat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1" name="Imat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2" name="Imat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t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3" name="Imat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t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4" name="Imat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5" name="Imat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t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ncapalament5"/>
        <w:numPr>
          <w:ilvl w:val="0"/>
          <w:numId w:val="0"/>
        </w:numPr>
        <w:ind w:left="1725" w:hanging="0"/>
        <w:rPr/>
      </w:pPr>
      <w:r>
        <w:rPr/>
      </w:r>
      <w:bookmarkStart w:id="8" w:name="pagebreak-2"/>
      <w:bookmarkStart w:id="9" w:name="pagebreak-2"/>
      <w:bookmarkEnd w:id="9"/>
    </w:p>
    <w:p>
      <w:pPr>
        <w:pStyle w:val="Encapalament1"/>
        <w:numPr>
          <w:ilvl w:val="0"/>
          <w:numId w:val="2"/>
        </w:numPr>
        <w:rPr/>
      </w:pPr>
      <w:bookmarkStart w:id="10" w:name="supplementary-material-s4"/>
      <w:r>
        <w:rPr/>
        <w:t>Supplementary Material S4</w:t>
      </w:r>
      <w:bookmarkEnd w:id="10"/>
    </w:p>
    <w:p>
      <w:pPr>
        <w:pStyle w:val="TableCaption"/>
        <w:rPr/>
      </w:pPr>
      <w:r>
        <w:rPr/>
        <w:t>Table S4.1: List of species used in case study 3 (Balearic Islands)</w:t>
      </w:r>
    </w:p>
    <w:tbl>
      <w:tblPr>
        <w:tblStyle w:val="Table"/>
        <w:tblW w:w="6288" w:type="dxa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4250"/>
        <w:gridCol w:w="2037"/>
      </w:tblGrid>
      <w:tr>
        <w:trPr>
          <w:cnfStyle w:firstRow="1"/>
        </w:trPr>
        <w:tc>
          <w:tcPr>
            <w:tcW w:w="425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Case.Study.2</w:t>
            </w:r>
          </w:p>
        </w:tc>
        <w:tc>
          <w:tcPr>
            <w:tcW w:w="2037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Abbreviation2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Arbutus unedo L.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arb_une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Asphodelus aestivus Rchb.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asp_aes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Chamaerops humilis L.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cha_hum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Ephedra fragilis subsp. fragilis Desf.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eph_fra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Helichrysum stoechas (L.) Moench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hel_sto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Juniperus oxycedrus subsp. oxycedrus L.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jun_oxy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Pistacia lentiscus L.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pis_len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coccifera L.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que_coc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Rhamnus alaternus L.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rha_ala</w:t>
            </w:r>
          </w:p>
        </w:tc>
      </w:tr>
      <w:tr>
        <w:trPr/>
        <w:tc>
          <w:tcPr>
            <w:tcW w:w="4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Viburnum tinus L.</w:t>
            </w:r>
          </w:p>
        </w:tc>
        <w:tc>
          <w:tcPr>
            <w:tcW w:w="203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vib_tin</w:t>
            </w:r>
          </w:p>
        </w:tc>
      </w:tr>
    </w:tbl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  <w:t>Figure S4.1: Frequencies of best buffer with and without taking into account execution time in Case Study 3 (Balearic Islands)</w:t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6" name="Imat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t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  <w:t>Figures S4.2 - S4.11: Evolution of Boyce Index Total (green) and Partial (blue), and the execution time in minutes (pink), for all the species in Case Study 3 (Balearic Islands). The origin of the x-axis corresponds to the geographical centre of the species distribution (mean location for longitude/latitude coordinates dealing with angularity). The x-axis increases (in kilometres) with buffers 1 to 10, respectively the closest and the most distant to the centre of species distribution</w:t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7" name="Imat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t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8" name="Imat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t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9" name="Imat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tge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0" name="Imat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t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1" name="Imat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t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2" name="Imat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t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3" name="Imat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t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4" name="Imat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t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5" name="Imat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t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6" name="Imat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t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ncapalament5"/>
        <w:numPr>
          <w:ilvl w:val="0"/>
          <w:numId w:val="0"/>
        </w:numPr>
        <w:ind w:left="1725" w:hanging="0"/>
        <w:rPr/>
      </w:pPr>
      <w:r>
        <w:rPr/>
      </w:r>
      <w:bookmarkStart w:id="11" w:name="pagebreak-3"/>
      <w:bookmarkStart w:id="12" w:name="pagebreak-3"/>
      <w:bookmarkEnd w:id="12"/>
    </w:p>
    <w:p>
      <w:pPr>
        <w:pStyle w:val="Encapalament1"/>
        <w:numPr>
          <w:ilvl w:val="0"/>
          <w:numId w:val="2"/>
        </w:numPr>
        <w:rPr/>
      </w:pPr>
      <w:bookmarkStart w:id="13" w:name="references"/>
      <w:r>
        <w:rPr/>
        <w:t>References</w:t>
      </w:r>
      <w:bookmarkEnd w:id="13"/>
    </w:p>
    <w:p>
      <w:pPr>
        <w:pStyle w:val="Bibliography"/>
        <w:spacing w:before="0" w:after="120"/>
        <w:ind w:left="567" w:hanging="567"/>
        <w:rPr/>
      </w:pPr>
      <w:r>
        <w:rPr/>
        <w:t xml:space="preserve">Rotllan-Puig, X., 2018. PreSPickR: Downloading species presences (occurrences) from public repositories. </w:t>
      </w:r>
      <w:hyperlink r:id="rId40">
        <w:r>
          <w:rPr>
            <w:rStyle w:val="ListLabel3"/>
          </w:rPr>
          <w:t>https://doi.org/10.13140/RG.2.2.10574.97607/1</w:t>
        </w:r>
      </w:hyperlink>
    </w:p>
    <w:sectPr>
      <w:footerReference w:type="default" r:id="rId41"/>
      <w:type w:val="nextPage"/>
      <w:pgSz w:w="12240" w:h="15840"/>
      <w:pgMar w:left="1800" w:right="1800" w:header="0" w:top="1440" w:footer="720" w:bottom="1440" w:gutter="0"/>
      <w:lnNumType w:countBy="1" w:restart="continuous" w:distance="28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83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4940" cy="174625"/>
              <wp:effectExtent l="0" t="0" r="0" b="0"/>
              <wp:wrapSquare wrapText="largest"/>
              <wp:docPr id="37" name="Marc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4440" cy="173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Peudepgina"/>
                            <w:rPr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46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arc1" stroked="f" style="position:absolute;margin-left:419.8pt;margin-top:0.05pt;width:12.1pt;height:13.65pt;mso-position-horizontal:right;mso-position-horizontal-relative:margin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Peudepgina"/>
                      <w:rPr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46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Encapalament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pStyle w:val="Encapalament2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pStyle w:val="Encapalament3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pStyle w:val="Encapalament4"/>
      <w:numFmt w:val="decimal"/>
      <w:lvlText w:val="%1.%2.%3.%4"/>
      <w:lvlJc w:val="left"/>
      <w:pPr>
        <w:ind w:left="1224" w:hanging="864"/>
      </w:pPr>
    </w:lvl>
    <w:lvl w:ilvl="4">
      <w:start w:val="1"/>
      <w:pStyle w:val="Encapalament5"/>
      <w:numFmt w:val="decimal"/>
      <w:lvlText w:val="%1.%2.%3.%4.%5"/>
      <w:lvlJc w:val="left"/>
      <w:pPr>
        <w:ind w:left="1368" w:hanging="1008"/>
      </w:pPr>
    </w:lvl>
    <w:lvl w:ilvl="5">
      <w:start w:val="1"/>
      <w:pStyle w:val="Encapalament6"/>
      <w:numFmt w:val="decimal"/>
      <w:lvlText w:val="%1.%2.%3.%4.%5.%6"/>
      <w:lvlJc w:val="left"/>
      <w:pPr>
        <w:ind w:left="1512" w:hanging="1152"/>
      </w:pPr>
    </w:lvl>
    <w:lvl w:ilvl="6">
      <w:start w:val="1"/>
      <w:pStyle w:val="Encapalament7"/>
      <w:numFmt w:val="decimal"/>
      <w:lvlText w:val="%1.%2.%3.%4.%5.%6.%7"/>
      <w:lvlJc w:val="left"/>
      <w:pPr>
        <w:ind w:left="1656" w:hanging="1296"/>
      </w:pPr>
    </w:lvl>
    <w:lvl w:ilvl="7">
      <w:start w:val="1"/>
      <w:pStyle w:val="Encapalament8"/>
      <w:numFmt w:val="decimal"/>
      <w:lvlText w:val="%1.%2.%3.%4.%5.%6.%7.%8"/>
      <w:lvlJc w:val="left"/>
      <w:pPr>
        <w:ind w:left="1800" w:hanging="1440"/>
      </w:pPr>
    </w:lvl>
    <w:lvl w:ilvl="8">
      <w:start w:val="1"/>
      <w:pStyle w:val="Encapalament9"/>
      <w:numFmt w:val="decimal"/>
      <w:lvlText w:val="%1.%2.%3.%4.%5.%6.%7.%8.%9"/>
      <w:lvlJc w:val="left"/>
      <w:pPr>
        <w:ind w:left="1944" w:hanging="1584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34d0"/>
    <w:pPr>
      <w:widowControl/>
      <w:bidi w:val="0"/>
      <w:spacing w:lineRule="auto" w:line="480" w:before="0" w:after="240"/>
      <w:jc w:val="left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Encapalament1">
    <w:name w:val="Heading 1"/>
    <w:basedOn w:val="Normal"/>
    <w:next w:val="Cosdeltext"/>
    <w:autoRedefine/>
    <w:uiPriority w:val="9"/>
    <w:qFormat/>
    <w:rsid w:val="00902154"/>
    <w:pPr>
      <w:keepNext w:val="true"/>
      <w:keepLines/>
      <w:numPr>
        <w:ilvl w:val="0"/>
        <w:numId w:val="1"/>
      </w:numPr>
      <w:spacing w:before="360" w:after="240"/>
      <w:outlineLvl w:val="0"/>
    </w:pPr>
    <w:rPr>
      <w:rFonts w:eastAsia="" w:cs="" w:cstheme="majorBidi" w:eastAsiaTheme="majorEastAsia"/>
      <w:b/>
      <w:bCs/>
      <w:sz w:val="32"/>
      <w:szCs w:val="32"/>
    </w:rPr>
  </w:style>
  <w:style w:type="paragraph" w:styleId="Encapalament2">
    <w:name w:val="Heading 2"/>
    <w:basedOn w:val="Normal"/>
    <w:next w:val="Cosdeltext"/>
    <w:autoRedefine/>
    <w:uiPriority w:val="9"/>
    <w:unhideWhenUsed/>
    <w:qFormat/>
    <w:rsid w:val="00902154"/>
    <w:pPr>
      <w:keepNext w:val="true"/>
      <w:keepLines/>
      <w:numPr>
        <w:ilvl w:val="1"/>
        <w:numId w:val="1"/>
      </w:numPr>
      <w:spacing w:before="120" w:after="120"/>
      <w:outlineLvl w:val="1"/>
    </w:pPr>
    <w:rPr>
      <w:rFonts w:eastAsia="" w:cs="" w:cstheme="majorBidi" w:eastAsiaTheme="majorEastAsia"/>
      <w:b/>
      <w:bCs/>
      <w:sz w:val="28"/>
      <w:szCs w:val="32"/>
    </w:rPr>
  </w:style>
  <w:style w:type="paragraph" w:styleId="Encapalament3">
    <w:name w:val="Heading 3"/>
    <w:basedOn w:val="Normal"/>
    <w:next w:val="Cosdeltext"/>
    <w:uiPriority w:val="9"/>
    <w:unhideWhenUsed/>
    <w:qFormat/>
    <w:rsid w:val="00902154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Encapalament4">
    <w:name w:val="Heading 4"/>
    <w:basedOn w:val="Normal"/>
    <w:next w:val="Cosdeltext"/>
    <w:uiPriority w:val="9"/>
    <w:unhideWhenUsed/>
    <w:qFormat/>
    <w:rsid w:val="00902154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Encapalament5">
    <w:name w:val="Heading 5"/>
    <w:basedOn w:val="Normal"/>
    <w:next w:val="Cosdeltext"/>
    <w:autoRedefine/>
    <w:uiPriority w:val="9"/>
    <w:unhideWhenUsed/>
    <w:qFormat/>
    <w:rsid w:val="006e5105"/>
    <w:pPr>
      <w:keepNext w:val="true"/>
      <w:keepLines/>
      <w:pageBreakBefore/>
      <w:numPr>
        <w:ilvl w:val="4"/>
        <w:numId w:val="1"/>
      </w:numPr>
      <w:spacing w:before="0" w:after="0"/>
      <w:ind w:left="1366" w:hanging="1009"/>
      <w:contextualSpacing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FFFFFF" w:themeColor="background1"/>
    </w:rPr>
  </w:style>
  <w:style w:type="paragraph" w:styleId="Encapalament6">
    <w:name w:val="Heading 6"/>
    <w:basedOn w:val="Normal"/>
    <w:next w:val="Cosdeltext"/>
    <w:uiPriority w:val="9"/>
    <w:unhideWhenUsed/>
    <w:qFormat/>
    <w:rsid w:val="00902154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paragraph" w:styleId="Encapalament7">
    <w:name w:val="Heading 7"/>
    <w:basedOn w:val="Normal"/>
    <w:next w:val="Normal"/>
    <w:link w:val="Heading7Char"/>
    <w:qFormat/>
    <w:rsid w:val="00902154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Encapalament8">
    <w:name w:val="Heading 8"/>
    <w:basedOn w:val="Normal"/>
    <w:next w:val="Normal"/>
    <w:link w:val="Heading8Char"/>
    <w:qFormat/>
    <w:rsid w:val="00902154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Encapalament9">
    <w:name w:val="Heading 9"/>
    <w:basedOn w:val="Normal"/>
    <w:next w:val="Normal"/>
    <w:link w:val="Heading9Char"/>
    <w:qFormat/>
    <w:rsid w:val="00902154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ptionChar" w:customStyle="1">
    <w:name w:val="Caption Char"/>
    <w:basedOn w:val="DefaultParagraphFont"/>
    <w:link w:val="Caption"/>
    <w:qFormat/>
    <w:rPr/>
  </w:style>
  <w:style w:type="character" w:styleId="VerbatimChar" w:customStyle="1">
    <w:name w:val="Verbatim Char"/>
    <w:basedOn w:val="CaptionChar"/>
    <w:link w:val="SourceCode"/>
    <w:qFormat/>
    <w:rPr>
      <w:rFonts w:ascii="Consolas" w:hAnsi="Consolas"/>
      <w:sz w:val="22"/>
    </w:rPr>
  </w:style>
  <w:style w:type="character" w:styleId="Ncoradenotaalpeu">
    <w:name w:val="Àncora de nota al peu"/>
    <w:rPr>
      <w:vertAlign w:val="superscript"/>
    </w:rPr>
  </w:style>
  <w:style w:type="character" w:styleId="FootnoteCharacters">
    <w:name w:val="Footnote Characters"/>
    <w:basedOn w:val="CaptionChar"/>
    <w:qFormat/>
    <w:rPr>
      <w:vertAlign w:val="superscript"/>
    </w:rPr>
  </w:style>
  <w:style w:type="character" w:styleId="EnlladInternet">
    <w:name w:val="Enllaç d'Internet"/>
    <w:basedOn w:val="Caption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BalloonTextChar" w:customStyle="1">
    <w:name w:val="Balloon Text Char"/>
    <w:basedOn w:val="DefaultParagraphFont"/>
    <w:link w:val="BalloonText"/>
    <w:qFormat/>
    <w:rsid w:val="00d43de9"/>
    <w:rPr>
      <w:rFonts w:ascii="Lucida Grande" w:hAnsi="Lucida Grande" w:cs="Lucida Grande"/>
      <w:sz w:val="18"/>
      <w:szCs w:val="18"/>
    </w:rPr>
  </w:style>
  <w:style w:type="character" w:styleId="Heading7Char" w:customStyle="1">
    <w:name w:val="Heading 7 Char"/>
    <w:basedOn w:val="DefaultParagraphFont"/>
    <w:link w:val="Heading7"/>
    <w:qFormat/>
    <w:rsid w:val="00902154"/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qFormat/>
    <w:rsid w:val="00902154"/>
    <w:rPr>
      <w:rFonts w:ascii="Calibri" w:hAnsi="Calibri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qFormat/>
    <w:rsid w:val="00902154"/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FooterChar" w:customStyle="1">
    <w:name w:val="Footer Char"/>
    <w:basedOn w:val="DefaultParagraphFont"/>
    <w:link w:val="Footer"/>
    <w:qFormat/>
    <w:rsid w:val="00f4669d"/>
    <w:rPr/>
  </w:style>
  <w:style w:type="character" w:styleId="Pagenumber">
    <w:name w:val="page number"/>
    <w:basedOn w:val="DefaultParagraphFont"/>
    <w:qFormat/>
    <w:rsid w:val="00f4669d"/>
    <w:rPr/>
  </w:style>
  <w:style w:type="character" w:styleId="Linenumber">
    <w:name w:val="line number"/>
    <w:basedOn w:val="DefaultParagraphFont"/>
    <w:qFormat/>
    <w:rsid w:val="00f4669d"/>
    <w:rPr/>
  </w:style>
  <w:style w:type="character" w:styleId="ListLabel1">
    <w:name w:val="ListLabel 1"/>
    <w:qFormat/>
    <w:rPr>
      <w:rFonts w:cs="Times New Roman"/>
      <w:color w:val="auto"/>
    </w:rPr>
  </w:style>
  <w:style w:type="character" w:styleId="Numeracidelnies">
    <w:name w:val="Numeració de línies"/>
    <w:rPr/>
  </w:style>
  <w:style w:type="character" w:styleId="ListLabel2">
    <w:name w:val="ListLabel 2"/>
    <w:qFormat/>
    <w:rPr>
      <w:rFonts w:cs="Times New Roman"/>
      <w:color w:val="auto"/>
    </w:rPr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Cosdeltext">
    <w:name w:val="Body Text"/>
    <w:basedOn w:val="Normal"/>
    <w:qFormat/>
    <w:pPr>
      <w:spacing w:before="180" w:after="180"/>
    </w:pPr>
    <w:rPr/>
  </w:style>
  <w:style w:type="paragraph" w:styleId="Llista">
    <w:name w:val="List"/>
    <w:basedOn w:val="Cosdeltext"/>
    <w:pPr/>
    <w:rPr>
      <w:rFonts w:cs="Arial Unicode MS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Arial Unicode MS"/>
    </w:rPr>
  </w:style>
  <w:style w:type="paragraph" w:styleId="FirstParagraph" w:customStyle="1">
    <w:name w:val="First Paragraph"/>
    <w:basedOn w:val="Cosdeltext"/>
    <w:next w:val="Cosdeltext"/>
    <w:autoRedefine/>
    <w:qFormat/>
    <w:rsid w:val="00db788a"/>
    <w:pPr>
      <w:spacing w:before="0" w:after="240"/>
    </w:pPr>
    <w:rPr>
      <w:rFonts w:cs="Times New Roman"/>
    </w:rPr>
  </w:style>
  <w:style w:type="paragraph" w:styleId="Compact" w:customStyle="1">
    <w:name w:val="Compact"/>
    <w:basedOn w:val="Cosdeltext"/>
    <w:qFormat/>
    <w:pPr>
      <w:spacing w:before="36" w:after="36"/>
    </w:pPr>
    <w:rPr/>
  </w:style>
  <w:style w:type="paragraph" w:styleId="Ttol">
    <w:name w:val="Title"/>
    <w:basedOn w:val="Normal"/>
    <w:next w:val="Cosdeltext"/>
    <w:autoRedefine/>
    <w:qFormat/>
    <w:rsid w:val="00af09cf"/>
    <w:pPr>
      <w:keepNext w:val="true"/>
      <w:keepLines/>
      <w:spacing w:before="480" w:after="240"/>
      <w:jc w:val="center"/>
    </w:pPr>
    <w:rPr>
      <w:rFonts w:eastAsia="" w:cs="" w:cstheme="majorBidi" w:eastAsiaTheme="majorEastAsia"/>
      <w:b/>
      <w:bCs/>
      <w:sz w:val="36"/>
      <w:szCs w:val="36"/>
    </w:rPr>
  </w:style>
  <w:style w:type="paragraph" w:styleId="Subttol">
    <w:name w:val="Subtitle"/>
    <w:basedOn w:val="Ttol"/>
    <w:next w:val="Cosdeltext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sdel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autoRedefine/>
    <w:qFormat/>
    <w:rsid w:val="006c20dd"/>
    <w:pPr>
      <w:spacing w:before="0" w:after="120"/>
      <w:ind w:left="567" w:hanging="567"/>
    </w:pPr>
    <w:rPr/>
  </w:style>
  <w:style w:type="paragraph" w:styleId="BlockText">
    <w:name w:val="Block Text"/>
    <w:basedOn w:val="Cosdeltext"/>
    <w:next w:val="Cosdeltext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eu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">
    <w:name w:val="caption"/>
    <w:basedOn w:val="Normal"/>
    <w:link w:val="CaptionCh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FigurewithCaption" w:customStyle="1">
    <w:name w:val="Figure with Caption"/>
    <w:basedOn w:val="Figura"/>
    <w:qFormat/>
    <w:pPr>
      <w:keepNext w:val="true"/>
    </w:pPr>
    <w:rPr/>
  </w:style>
  <w:style w:type="paragraph" w:styleId="TOCHeading">
    <w:name w:val="TOC Heading"/>
    <w:basedOn w:val="Encapalament1"/>
    <w:next w:val="Cosdeltext"/>
    <w:uiPriority w:val="39"/>
    <w:unhideWhenUsed/>
    <w:qFormat/>
    <w:pPr>
      <w:numPr>
        <w:ilvl w:val="0"/>
        <w:numId w:val="0"/>
      </w:numPr>
      <w:spacing w:lineRule="auto" w:line="259" w:before="240" w:after="240"/>
    </w:pPr>
    <w:rPr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paragraph" w:styleId="BalloonText">
    <w:name w:val="Balloon Text"/>
    <w:basedOn w:val="Normal"/>
    <w:link w:val="BalloonTextChar"/>
    <w:qFormat/>
    <w:rsid w:val="00d43de9"/>
    <w:pPr>
      <w:spacing w:before="0" w:after="0"/>
    </w:pPr>
    <w:rPr>
      <w:rFonts w:ascii="Lucida Grande" w:hAnsi="Lucida Grande" w:cs="Lucida Grande"/>
      <w:sz w:val="18"/>
      <w:szCs w:val="18"/>
    </w:rPr>
  </w:style>
  <w:style w:type="paragraph" w:styleId="Peudepgina">
    <w:name w:val="Footer"/>
    <w:basedOn w:val="Normal"/>
    <w:link w:val="FooterChar"/>
    <w:rsid w:val="00f4669d"/>
    <w:pPr>
      <w:suppressLineNumbers/>
      <w:tabs>
        <w:tab w:val="clear" w:pos="720"/>
        <w:tab w:val="center" w:pos="4320" w:leader="none"/>
        <w:tab w:val="right" w:pos="8640" w:leader="none"/>
      </w:tabs>
      <w:spacing w:before="0" w:after="0"/>
    </w:pPr>
    <w:rPr/>
  </w:style>
  <w:style w:type="paragraph" w:styleId="Contingutdelmarc">
    <w:name w:val="Contingut del marc"/>
    <w:basedOn w:val="Normal"/>
    <w:qFormat/>
    <w:pPr/>
    <w:rPr/>
  </w:style>
  <w:style w:type="paragraph" w:styleId="Capalera">
    <w:name w:val="Header"/>
    <w:basedOn w:val="Normal"/>
    <w:pPr>
      <w:suppressLineNumbers/>
      <w:tabs>
        <w:tab w:val="clear" w:pos="720"/>
        <w:tab w:val="center" w:pos="4320" w:leader="none"/>
        <w:tab w:val="right" w:pos="8640" w:leader="none"/>
      </w:tabs>
    </w:pPr>
    <w:rPr/>
  </w:style>
  <w:style w:type="paragraph" w:styleId="Contingutdelataula">
    <w:name w:val="Contingut de la taula"/>
    <w:basedOn w:val="Normal"/>
    <w:qFormat/>
    <w:pPr>
      <w:suppressLineNumbers/>
    </w:pPr>
    <w:rPr/>
  </w:style>
  <w:style w:type="paragraph" w:styleId="Encapalamentdelataula">
    <w:name w:val="Encapçalament de la taula"/>
    <w:basedOn w:val="Contingutdelatau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914773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xavier.rotllan.puig@aster-projects.cat" TargetMode="External"/><Relationship Id="rId3" Type="http://schemas.openxmlformats.org/officeDocument/2006/relationships/hyperlink" Target="https://CRAN.R-project.org/package=MinBAR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hyperlink" Target="https://doi.org/10.13140/RG.2.2.10574.97607/1" TargetMode="Externa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LibreOffice/6.1.6.3$MacOSX_X86_64 LibreOffice_project/5896ab1714085361c45cf540f76f60673dd96a72</Application>
  <Pages>46</Pages>
  <Words>800</Words>
  <Characters>5452</Characters>
  <CharactersWithSpaces>5918</CharactersWithSpaces>
  <Paragraphs>364</Paragraphs>
  <Company>xrp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2020-10-07T15:29:56Z</dcterms:created>
  <dc:creator>Xavier Rotllan-Puig1,✉, and Anna Traveset2</dc:creator>
  <dc:description/>
  <dc:language>ca-ES</dc:language>
  <cp:lastModifiedBy>Xavier Rotllan-Puig</cp:lastModifiedBy>
  <dcterms:modified xsi:type="dcterms:W3CDTF">2020-10-12T12:55:36Z</dcterms:modified>
  <cp:revision>5</cp:revision>
  <dc:subject/>
  <dc:title>DETERMINING THE MINIMAL BACKGROUND AREA FOR SPECIES DISTRIBUTION MODELS: MinBAR PACKAGE. SUPPLEMENTARY MATERIAL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xrp</vt:lpwstr>
  </property>
  <property fmtid="{D5CDD505-2E9C-101B-9397-08002B2CF9AE}" pid="3" name="bibliography">
    <vt:lpwstr>exportlist_1.bib</vt:lpwstr>
  </property>
  <property fmtid="{D5CDD505-2E9C-101B-9397-08002B2CF9AE}" pid="4" name="csl">
    <vt:lpwstr>ecological-modelling.csl</vt:lpwstr>
  </property>
  <property fmtid="{D5CDD505-2E9C-101B-9397-08002B2CF9AE}" pid="5" name="date">
    <vt:lpwstr/>
  </property>
  <property fmtid="{D5CDD505-2E9C-101B-9397-08002B2CF9AE}" pid="6" name="output">
    <vt:lpwstr/>
  </property>
</Properties>
</file>