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2.png" ContentType="image/png"/>
  <Override PartName="/word/media/rId39.png" ContentType="image/png"/>
  <Override PartName="/word/media/rId44.png" ContentType="image/png"/>
  <Override PartName="/word/media/rId28.png" ContentType="image/png"/>
  <Override PartName="/word/media/rId29.png" ContentType="image/png"/>
  <Override PartName="/word/media/rId46.png" ContentType="image/png"/>
  <Override PartName="/word/media/rId37.png" ContentType="image/png"/>
  <Override PartName="/word/media/rId49.png" ContentType="image/png"/>
  <Override PartName="/word/media/rId47.png" ContentType="image/png"/>
  <Override PartName="/word/media/rId50.png" ContentType="image/png"/>
  <Override PartName="/word/media/rId26.png" ContentType="image/png"/>
  <Override PartName="/word/media/rId48.png" ContentType="image/png"/>
  <Override PartName="/word/media/rId40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1.png" ContentType="image/png"/>
  <Override PartName="/word/media/rId33.png" ContentType="image/png"/>
  <Override PartName="/word/media/rId43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DETERMINING</w:t>
      </w:r>
      <w:r>
        <w:t xml:space="preserve"> </w:t>
      </w:r>
      <w:r>
        <w:t xml:space="preserve">THE</w:t>
      </w:r>
      <w:r>
        <w:t xml:space="preserve"> </w:t>
      </w:r>
      <w:r>
        <w:t xml:space="preserve">MINIMAL</w:t>
      </w:r>
      <w:r>
        <w:t xml:space="preserve"> </w:t>
      </w:r>
      <w:r>
        <w:t xml:space="preserve">BACKGROUND</w:t>
      </w:r>
      <w:r>
        <w:t xml:space="preserve"> </w:t>
      </w:r>
      <w:r>
        <w:t xml:space="preserve">AREA</w:t>
      </w:r>
      <w:r>
        <w:t xml:space="preserve"> </w:t>
      </w:r>
      <w:r>
        <w:t xml:space="preserve">FOR</w:t>
      </w:r>
      <w:r>
        <w:t xml:space="preserve"> </w:t>
      </w:r>
      <w:r>
        <w:t xml:space="preserve">SPECIES</w:t>
      </w:r>
      <w:r>
        <w:t xml:space="preserve"> </w:t>
      </w:r>
      <w:r>
        <w:t xml:space="preserve">DISTRIBUTION</w:t>
      </w:r>
      <w:r>
        <w:t xml:space="preserve"> </w:t>
      </w:r>
      <w:r>
        <w:t xml:space="preserve">MODELS:</w:t>
      </w:r>
      <w:r>
        <w:t xml:space="preserve"> </w:t>
      </w:r>
      <w:r>
        <w:t xml:space="preserve">MinBAR</w:t>
      </w:r>
      <w:r>
        <w:t xml:space="preserve"> </w:t>
      </w:r>
      <w:r>
        <w:t xml:space="preserve">PACKAGE.</w:t>
      </w:r>
      <w:r>
        <w:t xml:space="preserve"> </w:t>
      </w:r>
      <w:r>
        <w:t xml:space="preserve">SUPPLEMENTARY</w:t>
      </w:r>
      <w:r>
        <w:t xml:space="preserve"> </w:t>
      </w:r>
      <w:r>
        <w:t xml:space="preserve">MATERIAL</w:t>
      </w:r>
    </w:p>
    <w:p>
      <w:pPr>
        <w:pStyle w:val="Author"/>
      </w:pPr>
      <w:r>
        <w:t xml:space="preserve">Xavier</w:t>
      </w:r>
      <w:r>
        <w:t xml:space="preserve"> </w:t>
      </w:r>
      <w:r>
        <w:t xml:space="preserve">Rotllan-Puig</w:t>
      </w:r>
      <w:r>
        <w:t xml:space="preserve"> </w:t>
      </w:r>
      <w:r>
        <w:t xml:space="preserve">&amp;</w:t>
      </w:r>
      <w:r>
        <w:t xml:space="preserve"> </w:t>
      </w:r>
      <w:r>
        <w:t xml:space="preserve">Anna</w:t>
      </w:r>
      <w:r>
        <w:t xml:space="preserve"> </w:t>
      </w:r>
      <w:r>
        <w:t xml:space="preserve">Traveset(?)</w:t>
      </w: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This is the Supplementary Material to the article</w:t>
      </w:r>
      <w:r>
        <w:t xml:space="preserve"> </w:t>
      </w:r>
      <w:r>
        <w:t xml:space="preserve">“</w:t>
      </w:r>
      <w:r>
        <w:t xml:space="preserve">Determining the minimal background area for MaxEnt species distribution models: MinBAR package</w:t>
      </w:r>
      <w:r>
        <w:t xml:space="preserve">”</w:t>
      </w:r>
      <w:r>
        <w:t xml:space="preserve">, published as a pre-print in BioRxiv with the DOI:</w:t>
      </w:r>
    </w:p>
    <w:p>
      <w:pPr>
        <w:pStyle w:val="Heading1"/>
      </w:pPr>
      <w:bookmarkStart w:id="22" w:name="supplementary-material-s1"/>
      <w:bookmarkEnd w:id="22"/>
      <w:r>
        <w:t xml:space="preserve">Supplementary Material S1</w:t>
      </w:r>
    </w:p>
    <w:p>
      <w:pPr>
        <w:pStyle w:val="TableCaption"/>
      </w:pPr>
      <w:r>
        <w:t xml:space="preserve">Table S1: Example of an output of MinBAR. Buffer in km. (continued below)</w:t>
      </w:r>
    </w:p>
    <w:tbl>
      <w:tblPr>
        <w:tblStyle w:val="TableNormal"/>
        <w:tblW w:type="pct" w:w="4930.555555555556"/>
        <w:tblLook w:firstRow="1"/>
        <w:tblCaption w:val="Table S1: Example of an output of MinBAR. Buffer in km. (continued below)"/>
      </w:tblPr>
      <w:tblGrid>
        <w:gridCol w:w="1870"/>
        <w:gridCol w:w="990"/>
        <w:gridCol w:w="1980"/>
        <w:gridCol w:w="187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Buffer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BoyceIndex_part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BoyceIndex_tot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SD_part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126.8</w:t>
            </w:r>
          </w:p>
        </w:tc>
        <w:tc>
          <w:p>
            <w:pPr>
              <w:pStyle w:val="Compact"/>
              <w:jc w:val="left"/>
            </w:pPr>
            <w:r>
              <w:t xml:space="preserve">0.986</w:t>
            </w:r>
          </w:p>
        </w:tc>
        <w:tc>
          <w:p>
            <w:pPr>
              <w:pStyle w:val="Compact"/>
              <w:jc w:val="left"/>
            </w:pPr>
            <w:r>
              <w:t xml:space="preserve">0.843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228.1</w:t>
            </w:r>
          </w:p>
        </w:tc>
        <w:tc>
          <w:p>
            <w:pPr>
              <w:pStyle w:val="Compact"/>
              <w:jc w:val="left"/>
            </w:pPr>
            <w:r>
              <w:t xml:space="preserve">0.992</w:t>
            </w:r>
          </w:p>
        </w:tc>
        <w:tc>
          <w:p>
            <w:pPr>
              <w:pStyle w:val="Compact"/>
              <w:jc w:val="left"/>
            </w:pPr>
            <w:r>
              <w:t xml:space="preserve">0.911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304.2</w:t>
            </w:r>
          </w:p>
        </w:tc>
        <w:tc>
          <w:p>
            <w:pPr>
              <w:pStyle w:val="Compact"/>
              <w:jc w:val="left"/>
            </w:pPr>
            <w:r>
              <w:t xml:space="preserve">0.988</w:t>
            </w:r>
          </w:p>
        </w:tc>
        <w:tc>
          <w:p>
            <w:pPr>
              <w:pStyle w:val="Compact"/>
              <w:jc w:val="left"/>
            </w:pPr>
            <w:r>
              <w:t xml:space="preserve">0.913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384.3</w:t>
            </w:r>
          </w:p>
        </w:tc>
        <w:tc>
          <w:p>
            <w:pPr>
              <w:pStyle w:val="Compact"/>
              <w:jc w:val="left"/>
            </w:pPr>
            <w:r>
              <w:t xml:space="preserve">0.999</w:t>
            </w:r>
          </w:p>
        </w:tc>
        <w:tc>
          <w:p>
            <w:pPr>
              <w:pStyle w:val="Compact"/>
              <w:jc w:val="left"/>
            </w:pPr>
            <w:r>
              <w:t xml:space="preserve">0.946</w:t>
            </w:r>
          </w:p>
        </w:tc>
        <w:tc>
          <w:p>
            <w:pPr>
              <w:pStyle w:val="Compact"/>
              <w:jc w:val="left"/>
            </w:pPr>
            <w:r>
              <w:t xml:space="preserve">0.005737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476.5</w:t>
            </w:r>
          </w:p>
        </w:tc>
        <w:tc>
          <w:p>
            <w:pPr>
              <w:pStyle w:val="Compact"/>
              <w:jc w:val="left"/>
            </w:pPr>
            <w:r>
              <w:t xml:space="preserve">0.998</w:t>
            </w:r>
          </w:p>
        </w:tc>
        <w:tc>
          <w:p>
            <w:pPr>
              <w:pStyle w:val="Compact"/>
              <w:jc w:val="left"/>
            </w:pPr>
            <w:r>
              <w:t xml:space="preserve">0.912</w:t>
            </w:r>
          </w:p>
        </w:tc>
        <w:tc>
          <w:p>
            <w:pPr>
              <w:pStyle w:val="Compact"/>
              <w:jc w:val="left"/>
            </w:pPr>
            <w:r>
              <w:t xml:space="preserve">0.005188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591.5</w:t>
            </w:r>
          </w:p>
        </w:tc>
        <w:tc>
          <w:p>
            <w:pPr>
              <w:pStyle w:val="Compact"/>
              <w:jc w:val="left"/>
            </w:pPr>
            <w:r>
              <w:t xml:space="preserve">0.999</w:t>
            </w:r>
          </w:p>
        </w:tc>
        <w:tc>
          <w:p>
            <w:pPr>
              <w:pStyle w:val="Compact"/>
              <w:jc w:val="left"/>
            </w:pPr>
            <w:r>
              <w:t xml:space="preserve">0.988</w:t>
            </w:r>
          </w:p>
        </w:tc>
        <w:tc>
          <w:p>
            <w:pPr>
              <w:pStyle w:val="Compact"/>
              <w:jc w:val="left"/>
            </w:pPr>
            <w:r>
              <w:t xml:space="preserve">0.005354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746.2</w:t>
            </w:r>
          </w:p>
        </w:tc>
        <w:tc>
          <w:p>
            <w:pPr>
              <w:pStyle w:val="Compact"/>
              <w:jc w:val="left"/>
            </w:pPr>
            <w:r>
              <w:t xml:space="preserve">0.988</w:t>
            </w:r>
          </w:p>
        </w:tc>
        <w:tc>
          <w:p>
            <w:pPr>
              <w:pStyle w:val="Compact"/>
              <w:jc w:val="left"/>
            </w:pPr>
            <w:r>
              <w:t xml:space="preserve">0.976</w:t>
            </w:r>
          </w:p>
        </w:tc>
        <w:tc>
          <w:p>
            <w:pPr>
              <w:pStyle w:val="Compact"/>
              <w:jc w:val="left"/>
            </w:pPr>
            <w:r>
              <w:t xml:space="preserve">0.005354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878.1</w:t>
            </w:r>
          </w:p>
        </w:tc>
        <w:tc>
          <w:p>
            <w:pPr>
              <w:pStyle w:val="Compact"/>
              <w:jc w:val="left"/>
            </w:pPr>
            <w:r>
              <w:t xml:space="preserve">0.999</w:t>
            </w:r>
          </w:p>
        </w:tc>
        <w:tc>
          <w:p>
            <w:pPr>
              <w:pStyle w:val="Compact"/>
              <w:jc w:val="left"/>
            </w:pPr>
            <w:r>
              <w:t xml:space="preserve">0.995</w:t>
            </w:r>
          </w:p>
        </w:tc>
        <w:tc>
          <w:p>
            <w:pPr>
              <w:pStyle w:val="Compact"/>
              <w:jc w:val="left"/>
            </w:pPr>
            <w:r>
              <w:t xml:space="preserve">0.005354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1068</w:t>
            </w:r>
          </w:p>
        </w:tc>
        <w:tc>
          <w:p>
            <w:pPr>
              <w:pStyle w:val="Compact"/>
              <w:jc w:val="left"/>
            </w:pPr>
            <w:r>
              <w:t xml:space="preserve">0.998</w:t>
            </w:r>
          </w:p>
        </w:tc>
        <w:tc>
          <w:p>
            <w:pPr>
              <w:pStyle w:val="Compact"/>
              <w:jc w:val="left"/>
            </w:pPr>
            <w:r>
              <w:t xml:space="preserve">0.98</w:t>
            </w:r>
          </w:p>
        </w:tc>
        <w:tc>
          <w:p>
            <w:pPr>
              <w:pStyle w:val="Compact"/>
              <w:jc w:val="left"/>
            </w:pPr>
            <w:r>
              <w:t xml:space="preserve">0.005354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</w:t>
            </w:r>
          </w:p>
        </w:tc>
        <w:tc>
          <w:p>
            <w:pPr>
              <w:pStyle w:val="Compact"/>
              <w:jc w:val="left"/>
            </w:pPr>
            <w:r>
              <w:t xml:space="preserve">4942</w:t>
            </w:r>
          </w:p>
        </w:tc>
        <w:tc>
          <w:p>
            <w:pPr>
              <w:pStyle w:val="Compact"/>
              <w:jc w:val="left"/>
            </w:pPr>
            <w:r>
              <w:t xml:space="preserve">0.999</w:t>
            </w:r>
          </w:p>
        </w:tc>
        <w:tc>
          <w:p>
            <w:pPr>
              <w:pStyle w:val="Compact"/>
              <w:jc w:val="left"/>
            </w:pPr>
            <w:r>
              <w:t xml:space="preserve">0.999</w:t>
            </w:r>
          </w:p>
        </w:tc>
        <w:tc>
          <w:p>
            <w:pPr>
              <w:pStyle w:val="Compact"/>
              <w:jc w:val="left"/>
            </w:pPr>
            <w:r>
              <w:t xml:space="preserve">0.005354</w:t>
            </w:r>
          </w:p>
        </w:tc>
      </w:tr>
    </w:tbl>
    <w:p>
      <w:pPr>
        <w:pStyle w:val="TableCaption"/>
      </w:pPr>
      <w:r>
        <w:t xml:space="preserve">Table continues below</w:t>
      </w:r>
    </w:p>
    <w:tbl>
      <w:tblPr>
        <w:tblStyle w:val="TableNormal"/>
        <w:tblW w:type="pct" w:w="4444.444444444444"/>
        <w:tblLook w:firstRow="1"/>
        <w:tblCaption w:val="Table continues below"/>
      </w:tblPr>
      <w:tblGrid>
        <w:gridCol w:w="1210"/>
        <w:gridCol w:w="1760"/>
        <w:gridCol w:w="1540"/>
        <w:gridCol w:w="143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SD_tot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ExecutionTime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rankBI_part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rankBI_tot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rankTime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3.039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3.461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0.04325</w:t>
            </w:r>
          </w:p>
        </w:tc>
        <w:tc>
          <w:p>
            <w:pPr>
              <w:pStyle w:val="Compact"/>
              <w:jc w:val="left"/>
            </w:pPr>
            <w:r>
              <w:t xml:space="preserve">3.794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0.01702</w:t>
            </w:r>
          </w:p>
        </w:tc>
        <w:tc>
          <w:p>
            <w:pPr>
              <w:pStyle w:val="Compact"/>
              <w:jc w:val="left"/>
            </w:pPr>
            <w:r>
              <w:t xml:space="preserve">3.814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0.03584</w:t>
            </w:r>
          </w:p>
        </w:tc>
        <w:tc>
          <w:p>
            <w:pPr>
              <w:pStyle w:val="Compact"/>
              <w:jc w:val="left"/>
            </w:pPr>
            <w:r>
              <w:t xml:space="preserve">4.017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0.03396</w:t>
            </w:r>
          </w:p>
        </w:tc>
        <w:tc>
          <w:p>
            <w:pPr>
              <w:pStyle w:val="Compact"/>
              <w:jc w:val="left"/>
            </w:pPr>
            <w:r>
              <w:t xml:space="preserve">4.29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0.03799</w:t>
            </w:r>
          </w:p>
        </w:tc>
        <w:tc>
          <w:p>
            <w:pPr>
              <w:pStyle w:val="Compact"/>
              <w:jc w:val="left"/>
            </w:pPr>
            <w:r>
              <w:t xml:space="preserve">5.061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0.008461</w:t>
            </w:r>
          </w:p>
        </w:tc>
        <w:tc>
          <w:p>
            <w:pPr>
              <w:pStyle w:val="Compact"/>
              <w:jc w:val="left"/>
            </w:pPr>
            <w:r>
              <w:t xml:space="preserve">5.048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0.01121</w:t>
            </w:r>
          </w:p>
        </w:tc>
        <w:tc>
          <w:p>
            <w:pPr>
              <w:pStyle w:val="Compact"/>
              <w:jc w:val="left"/>
            </w:pPr>
            <w:r>
              <w:t xml:space="preserve">8.097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</w:tbl>
    <w:tbl>
      <w:tblPr>
        <w:tblStyle w:val="TableNormal"/>
        <w:tblW w:type="pct" w:w="2569.4444444444443"/>
        <w:tblLook w:firstRow="1"/>
      </w:tblPr>
      <w:tblGrid>
        <w:gridCol w:w="1980"/>
        <w:gridCol w:w="20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rankFinalNoTime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rankFinalWithTime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</w:tbl>
    <w:p>
      <w:pPr>
        <w:pStyle w:val="Heading1"/>
      </w:pPr>
      <w:bookmarkStart w:id="23" w:name="supplementary-material-s2"/>
      <w:bookmarkEnd w:id="23"/>
      <w:r>
        <w:t xml:space="preserve">Supplementary Material S2</w:t>
      </w:r>
    </w:p>
    <w:p>
      <w:pPr>
        <w:pStyle w:val="TableCaption"/>
      </w:pPr>
      <w:r>
        <w:t xml:space="preserve">Table S2.1: List of species used in case study 1</w:t>
      </w:r>
    </w:p>
    <w:tbl>
      <w:tblPr>
        <w:tblStyle w:val="TableNormal"/>
        <w:tblW w:type="pct" w:w="3333.333333333333"/>
        <w:tblLook w:firstRow="1"/>
        <w:tblCaption w:val="Table S2.1: List of species used in case study 1"/>
      </w:tblPr>
      <w:tblGrid>
        <w:gridCol w:w="363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Case.Study.1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Abbreviation1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Pinus sylvestris L.</w:t>
            </w:r>
          </w:p>
        </w:tc>
        <w:tc>
          <w:p>
            <w:pPr>
              <w:pStyle w:val="Compact"/>
              <w:jc w:val="left"/>
            </w:pPr>
            <w:r>
              <w:t xml:space="preserve">pin_syl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ilex L.</w:t>
            </w:r>
          </w:p>
        </w:tc>
        <w:tc>
          <w:p>
            <w:pPr>
              <w:pStyle w:val="Compact"/>
              <w:jc w:val="left"/>
            </w:pPr>
            <w:r>
              <w:t xml:space="preserve">que_ile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Fagus sylvatica L.</w:t>
            </w:r>
          </w:p>
        </w:tc>
        <w:tc>
          <w:p>
            <w:pPr>
              <w:pStyle w:val="Compact"/>
              <w:jc w:val="left"/>
            </w:pPr>
            <w:r>
              <w:t xml:space="preserve">fag_syl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Fraxinus excelsior L.</w:t>
            </w:r>
          </w:p>
        </w:tc>
        <w:tc>
          <w:p>
            <w:pPr>
              <w:pStyle w:val="Compact"/>
              <w:jc w:val="left"/>
            </w:pPr>
            <w:r>
              <w:t xml:space="preserve">fra_exc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petraea (Matt.) Liebl.</w:t>
            </w:r>
          </w:p>
        </w:tc>
        <w:tc>
          <w:p>
            <w:pPr>
              <w:pStyle w:val="Compact"/>
              <w:jc w:val="left"/>
            </w:pPr>
            <w:r>
              <w:t xml:space="preserve">que_pet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robur L.</w:t>
            </w:r>
          </w:p>
        </w:tc>
        <w:tc>
          <w:p>
            <w:pPr>
              <w:pStyle w:val="Compact"/>
              <w:jc w:val="left"/>
            </w:pPr>
            <w:r>
              <w:t xml:space="preserve">que_rob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pyrenaica Willd.</w:t>
            </w:r>
          </w:p>
        </w:tc>
        <w:tc>
          <w:p>
            <w:pPr>
              <w:pStyle w:val="Compact"/>
              <w:jc w:val="left"/>
            </w:pPr>
            <w:r>
              <w:t xml:space="preserve">que_pyr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suber L.</w:t>
            </w:r>
          </w:p>
        </w:tc>
        <w:tc>
          <w:p>
            <w:pPr>
              <w:pStyle w:val="Compact"/>
              <w:jc w:val="left"/>
            </w:pPr>
            <w:r>
              <w:t xml:space="preserve">que_sub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Abies alba Mill.</w:t>
            </w:r>
          </w:p>
        </w:tc>
        <w:tc>
          <w:p>
            <w:pPr>
              <w:pStyle w:val="Compact"/>
              <w:jc w:val="left"/>
            </w:pPr>
            <w:r>
              <w:t xml:space="preserve">abi_alb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Acer platanoides L.</w:t>
            </w:r>
          </w:p>
        </w:tc>
        <w:tc>
          <w:p>
            <w:pPr>
              <w:pStyle w:val="Compact"/>
              <w:jc w:val="left"/>
            </w:pPr>
            <w:r>
              <w:t xml:space="preserve">ace_pla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Alnus glutinosa (L.) Gaertn.</w:t>
            </w:r>
          </w:p>
        </w:tc>
        <w:tc>
          <w:p>
            <w:pPr>
              <w:pStyle w:val="Compact"/>
              <w:jc w:val="left"/>
            </w:pPr>
            <w:r>
              <w:t xml:space="preserve">aln_glu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Juniperus oxycedrus L.</w:t>
            </w:r>
          </w:p>
        </w:tc>
        <w:tc>
          <w:p>
            <w:pPr>
              <w:pStyle w:val="Compact"/>
              <w:jc w:val="left"/>
            </w:pPr>
            <w:r>
              <w:t xml:space="preserve">jun_oxy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Arbutus unedo L.</w:t>
            </w:r>
          </w:p>
        </w:tc>
        <w:tc>
          <w:p>
            <w:pPr>
              <w:pStyle w:val="Compact"/>
              <w:jc w:val="left"/>
            </w:pPr>
            <w:r>
              <w:t xml:space="preserve">arb_une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Crataegus monogyna Jacq.</w:t>
            </w:r>
          </w:p>
        </w:tc>
        <w:tc>
          <w:p>
            <w:pPr>
              <w:pStyle w:val="Compact"/>
              <w:jc w:val="left"/>
            </w:pPr>
            <w:r>
              <w:t xml:space="preserve">cra_mon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 L.</w:t>
            </w:r>
          </w:p>
        </w:tc>
        <w:tc>
          <w:p>
            <w:pPr>
              <w:pStyle w:val="Compact"/>
              <w:jc w:val="left"/>
            </w:pPr>
            <w:r>
              <w:t xml:space="preserve">pru_spi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Buxus sempervirens L.</w:t>
            </w:r>
          </w:p>
        </w:tc>
        <w:tc>
          <w:p>
            <w:pPr>
              <w:pStyle w:val="Compact"/>
              <w:jc w:val="left"/>
            </w:pPr>
            <w:r>
              <w:t xml:space="preserve">bux_sem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Cotoneaster tomentosus Lindl.</w:t>
            </w:r>
          </w:p>
        </w:tc>
        <w:tc>
          <w:p>
            <w:pPr>
              <w:pStyle w:val="Compact"/>
              <w:jc w:val="left"/>
            </w:pPr>
            <w:r>
              <w:t xml:space="preserve">cot_tom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Viola mirabilis L.</w:t>
            </w:r>
          </w:p>
        </w:tc>
        <w:tc>
          <w:p>
            <w:pPr>
              <w:pStyle w:val="Compact"/>
              <w:jc w:val="left"/>
            </w:pPr>
            <w:r>
              <w:t xml:space="preserve">vio_mir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Diplotaxis erucoides DC.</w:t>
            </w:r>
          </w:p>
        </w:tc>
        <w:tc>
          <w:p>
            <w:pPr>
              <w:pStyle w:val="Compact"/>
              <w:jc w:val="left"/>
            </w:pPr>
            <w:r>
              <w:t xml:space="preserve">dip_eru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Centaurea alba L.</w:t>
            </w:r>
          </w:p>
        </w:tc>
        <w:tc>
          <w:p>
            <w:pPr>
              <w:pStyle w:val="Compact"/>
              <w:jc w:val="left"/>
            </w:pPr>
            <w:r>
              <w:t xml:space="preserve">cen_alb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Geranium lucidum L.</w:t>
            </w:r>
          </w:p>
        </w:tc>
        <w:tc>
          <w:p>
            <w:pPr>
              <w:pStyle w:val="Compact"/>
              <w:jc w:val="left"/>
            </w:pPr>
            <w:r>
              <w:t xml:space="preserve">ger_luc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Linaria alpina Mill.</w:t>
            </w:r>
          </w:p>
        </w:tc>
        <w:tc>
          <w:p>
            <w:pPr>
              <w:pStyle w:val="Compact"/>
              <w:jc w:val="left"/>
            </w:pPr>
            <w:r>
              <w:t xml:space="preserve">lin_alp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Pistacia terebinthus L.</w:t>
            </w:r>
          </w:p>
        </w:tc>
        <w:tc>
          <w:p>
            <w:pPr>
              <w:pStyle w:val="Compact"/>
              <w:jc w:val="left"/>
            </w:pPr>
            <w:r>
              <w:t xml:space="preserve">pis_ter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Muscari comosum (L.) Mill.</w:t>
            </w:r>
          </w:p>
        </w:tc>
        <w:tc>
          <w:p>
            <w:pPr>
              <w:pStyle w:val="Compact"/>
              <w:jc w:val="left"/>
            </w:pPr>
            <w:r>
              <w:t xml:space="preserve">leo_com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Lotus edulis L.</w:t>
            </w:r>
          </w:p>
        </w:tc>
        <w:tc>
          <w:p>
            <w:pPr>
              <w:pStyle w:val="Compact"/>
              <w:jc w:val="left"/>
            </w:pPr>
            <w:r>
              <w:t xml:space="preserve">lot_edu</w:t>
            </w:r>
          </w:p>
        </w:tc>
      </w:tr>
    </w:tbl>
    <w:p>
      <w:pPr>
        <w:pStyle w:val="BodyText"/>
      </w:pPr>
      <w:r>
        <w:t xml:space="preserve"> </w:t>
      </w:r>
      <w:r>
        <w:t xml:space="preserve"> </w:t>
      </w:r>
    </w:p>
    <w:p>
      <w:pPr>
        <w:pStyle w:val="TableCaption"/>
      </w:pPr>
      <w:r>
        <w:t xml:space="preserve">Table S2.2: List of species used in case study 2</w:t>
      </w:r>
    </w:p>
    <w:tbl>
      <w:tblPr>
        <w:tblStyle w:val="TableNormal"/>
        <w:tblW w:type="pct" w:w="2847.222222222222"/>
        <w:tblLook w:firstRow="1"/>
        <w:tblCaption w:val="Table S2.2: List of species used in case study 2"/>
      </w:tblPr>
      <w:tblGrid>
        <w:gridCol w:w="2860"/>
        <w:gridCol w:w="16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Case.Study.2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Abbreviation2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Ephedra fragilis subsp.</w:t>
            </w:r>
            <w:r>
              <w:t xml:space="preserve"> </w:t>
            </w:r>
            <w:r>
              <w:t xml:space="preserve">fragilis</w:t>
            </w:r>
          </w:p>
        </w:tc>
        <w:tc>
          <w:p>
            <w:pPr>
              <w:pStyle w:val="Compact"/>
              <w:jc w:val="left"/>
            </w:pPr>
            <w:r>
              <w:t xml:space="preserve">eph_fra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coccifera</w:t>
            </w:r>
          </w:p>
        </w:tc>
        <w:tc>
          <w:p>
            <w:pPr>
              <w:pStyle w:val="Compact"/>
              <w:jc w:val="left"/>
            </w:pPr>
            <w:r>
              <w:t xml:space="preserve">que_coc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Chamaerops humilis</w:t>
            </w:r>
          </w:p>
        </w:tc>
        <w:tc>
          <w:p>
            <w:pPr>
              <w:pStyle w:val="Compact"/>
              <w:jc w:val="left"/>
            </w:pPr>
            <w:r>
              <w:t xml:space="preserve">cha_hum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Asphodelus aestivus</w:t>
            </w:r>
          </w:p>
        </w:tc>
        <w:tc>
          <w:p>
            <w:pPr>
              <w:pStyle w:val="Compact"/>
              <w:jc w:val="left"/>
            </w:pPr>
            <w:r>
              <w:t xml:space="preserve">asp_aes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Pistacia lentiscus</w:t>
            </w:r>
          </w:p>
        </w:tc>
        <w:tc>
          <w:p>
            <w:pPr>
              <w:pStyle w:val="Compact"/>
              <w:jc w:val="left"/>
            </w:pPr>
            <w:r>
              <w:t xml:space="preserve">pis_len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Arbutus unedo</w:t>
            </w:r>
          </w:p>
        </w:tc>
        <w:tc>
          <w:p>
            <w:pPr>
              <w:pStyle w:val="Compact"/>
              <w:jc w:val="left"/>
            </w:pPr>
            <w:r>
              <w:t xml:space="preserve">arb_une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Taxus baccata</w:t>
            </w:r>
          </w:p>
        </w:tc>
        <w:tc>
          <w:p>
            <w:pPr>
              <w:pStyle w:val="Compact"/>
              <w:jc w:val="left"/>
            </w:pPr>
            <w:r>
              <w:t xml:space="preserve">tax_bac</w:t>
            </w:r>
          </w:p>
        </w:tc>
      </w:tr>
    </w:tbl>
    <w:p>
      <w:pPr>
        <w:pStyle w:val="Heading5"/>
      </w:pPr>
      <w:bookmarkStart w:id="24" w:name="pagebreak"/>
      <w:bookmarkEnd w:id="24"/>
      <w:r>
        <w:t xml:space="preserve">pagebreak</w:t>
      </w:r>
    </w:p>
    <w:p>
      <w:pPr>
        <w:pStyle w:val="Heading1"/>
      </w:pPr>
      <w:bookmarkStart w:id="25" w:name="supplementary-material-s3"/>
      <w:bookmarkEnd w:id="25"/>
      <w:r>
        <w:t xml:space="preserve">Supplementary Material S3</w:t>
      </w:r>
    </w:p>
    <w:p>
      <w:pPr>
        <w:pStyle w:val="FirstParagraph"/>
      </w:pPr>
      <w:r>
        <w:t xml:space="preserve">Figures S3.1 - S3.25: Evolution of Boyce Index Total (green) and Parcial (blue), and the execution time in minutes (pink), for all the species in Case Study 1</w:t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pin_syl/boyce_buffer_pin_syl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que_ile/boyce_buffer_que_ile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fag_syl/boyce_buffer_fag_syl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fra_exc/boyce_buffer_fra_exc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que_pet/boyce_buffer_que_pet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que_rob/boyce_buffer_que_rob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que_pyr/boyce_buffer_que_pyr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que_sub/boyce_buffer_que_sub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abi_alb/boyce_buffer_abi_alb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ace_pla/boyce_buffer_ace_pla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aln_glu/boyce_buffer_aln_glu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jun_oxy/boyce_buffer_jun_oxy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arb_une/boyce_buffer_arb_une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cra_mon/boyce_buffer_cra_mon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pru_spi/boyce_buffer_pru_spi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bux_sem/boyce_buffer_bux_sem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cot_tom/boyce_buffer_cot_tom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vio_mir/boyce_buffer_vio_mir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dip_eru/boyce_buffer_dip_eru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cen_alb/boyce_buffer_cen_alb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ger_luc/boyce_buffer_ger_luc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lin_alp/boyce_buffer_lin_alp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pis_ter/boyce_buffer_pis_ter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leo_com/boyce_buffer_leo_com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430/results_lot_edu/boyce_buffer_lot_edu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5"/>
      </w:pPr>
      <w:bookmarkStart w:id="51" w:name="pagebreak-1"/>
      <w:bookmarkEnd w:id="51"/>
      <w:r>
        <w:t xml:space="preserve">pagebreak</w:t>
      </w:r>
    </w:p>
    <w:p>
      <w:pPr>
        <w:pStyle w:val="Heading1"/>
      </w:pPr>
      <w:bookmarkStart w:id="52" w:name="supplementary-material-s4"/>
      <w:bookmarkEnd w:id="52"/>
      <w:r>
        <w:t xml:space="preserve">Supplementary Material S4</w:t>
      </w:r>
    </w:p>
    <w:p>
      <w:pPr>
        <w:pStyle w:val="FirstParagraph"/>
      </w:pPr>
      <w:r>
        <w:t xml:space="preserve">Figures S4.1 - S4.7: Evolution of Boyce Index Total (green) and Parcial (blue), and the execution time in minutes (pink), for all the species in Case Study 2</w:t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825_balears/results_arb_une/boyce_bandwidth_arb_une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825_balears/results_asp_aes/boyce_bandwidth_asp_aes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825_balears/results_cha_hum/boyce_bandwidth_cha_hum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825_balears/results_eph_fra/boyce_bandwidth_eph_fra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825_balears/results_pis_len/boyce_bandwidth_pis_len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825_balears/results_que_coc/boyce_bandwidth_que_coc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/Google%20Drive/MinBA/minba_20180825_balears/results_tax_bac/boyce_bandwidth_tax_bac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0018" w:rsidRPr="00AF09CF" w:rsidSect="00F4669D">
      <w:footerReference w:type="even" r:id="rId8"/>
      <w:footerReference w:type="default" r:id="rId9"/>
      <w:pgSz w:w="12240" w:h="15840"/>
      <w:pgMar w:top="1440" w:right="1800" w:bottom="1440" w:left="1800" w:header="720" w:footer="720" w:gutter="0"/>
      <w:lnNumType w:countBy="1" w:restart="continuous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CB3426" w14:textId="77777777" w:rsidR="00F4669D" w:rsidRDefault="00F4669D" w:rsidP="00CA578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C042B0" w14:textId="77777777" w:rsidR="00F4669D" w:rsidRDefault="00F4669D" w:rsidP="00F4669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1E275F" w14:textId="77777777" w:rsidR="00F4669D" w:rsidRDefault="00F4669D" w:rsidP="00CA578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50F55">
      <w:rPr>
        <w:rStyle w:val="PageNumber"/>
        <w:noProof/>
      </w:rPr>
      <w:t>6</w:t>
    </w:r>
    <w:r>
      <w:rPr>
        <w:rStyle w:val="PageNumber"/>
      </w:rPr>
      <w:fldChar w:fldCharType="end"/>
    </w:r>
  </w:p>
  <w:p w14:paraId="3B7330A6" w14:textId="77777777" w:rsidR="00F4669D" w:rsidRDefault="00F4669D" w:rsidP="00F4669D">
    <w:pPr>
      <w:pStyle w:val="Footer"/>
      <w:ind w:right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A7F018"/>
    <w:multiLevelType w:val="multilevel"/>
    <w:tmpl w:val="150CCFB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F343A6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88804FA"/>
    <w:multiLevelType w:val="multilevel"/>
    <w:tmpl w:val="4D4A7400"/>
    <w:lvl w:ilvl="0">
      <w:start w:val="1"/>
      <w:numFmt w:val="decimal"/>
      <w:pStyle w:val="Heading1"/>
      <w:lvlText w:val="%1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2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3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6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944" w:hanging="1584"/>
      </w:pPr>
      <w:rPr>
        <w:rFonts w:hint="default"/>
      </w:rPr>
    </w:lvl>
  </w:abstractNum>
  <w:abstractNum w:abstractNumId="3">
    <w:nsid w:val="231806BC"/>
    <w:multiLevelType w:val="multilevel"/>
    <w:tmpl w:val="2390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390294"/>
    <w:multiLevelType w:val="multilevel"/>
    <w:tmpl w:val="9612DF16"/>
    <w:lvl w:ilvl="0">
      <w:start w:val="1"/>
      <w:numFmt w:val="decimal"/>
      <w:lvlText w:val="%1"/>
      <w:lvlJc w:val="left"/>
      <w:pPr>
        <w:tabs>
          <w:tab w:val="num" w:pos="907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" w:hanging="1584"/>
      </w:pPr>
      <w:rPr>
        <w:rFonts w:hint="default"/>
      </w:rPr>
    </w:lvl>
  </w:abstractNum>
  <w:abstractNum w:abstractNumId="5">
    <w:nsid w:val="5729147F"/>
    <w:multiLevelType w:val="multilevel"/>
    <w:tmpl w:val="2DFEAE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60247D07"/>
    <w:multiLevelType w:val="multilevel"/>
    <w:tmpl w:val="EB32699A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990">
    <w:nsid w:val="e8b83b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B788A"/>
    <w:pPr>
      <w:spacing w:after="240"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BodyText"/>
    <w:autoRedefine/>
    <w:uiPriority w:val="9"/>
    <w:qFormat/>
    <w:rsid w:val="00902154"/>
    <w:pPr>
      <w:keepNext/>
      <w:keepLines/>
      <w:numPr>
        <w:numId w:val="3"/>
      </w:numPr>
      <w:spacing w:before="36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autoRedefine/>
    <w:uiPriority w:val="9"/>
    <w:unhideWhenUsed/>
    <w:qFormat/>
    <w:rsid w:val="00902154"/>
    <w:pPr>
      <w:keepNext/>
      <w:keepLines/>
      <w:numPr>
        <w:ilvl w:val="1"/>
        <w:numId w:val="3"/>
      </w:numPr>
      <w:spacing w:before="120" w:after="120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902154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902154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autoRedefine/>
    <w:uiPriority w:val="9"/>
    <w:unhideWhenUsed/>
    <w:qFormat/>
    <w:rsid w:val="006E5105"/>
    <w:pPr>
      <w:keepNext/>
      <w:keepLines/>
      <w:pageBreakBefore/>
      <w:numPr>
        <w:ilvl w:val="4"/>
        <w:numId w:val="3"/>
      </w:numPr>
      <w:spacing w:after="0"/>
      <w:ind w:left="1366" w:hanging="1009"/>
      <w:contextualSpacing/>
      <w:outlineLvl w:val="4"/>
    </w:pPr>
    <w:rPr>
      <w:rFonts w:asciiTheme="majorHAnsi" w:eastAsiaTheme="majorEastAsia" w:hAnsiTheme="majorHAnsi" w:cstheme="majorBidi"/>
      <w:i/>
      <w:iCs/>
      <w:color w:val="FFFFFF" w:themeColor="background1"/>
    </w:rPr>
  </w:style>
  <w:style w:type="paragraph" w:styleId="Heading6">
    <w:name w:val="heading 6"/>
    <w:basedOn w:val="Normal"/>
    <w:next w:val="BodyText"/>
    <w:uiPriority w:val="9"/>
    <w:unhideWhenUsed/>
    <w:qFormat/>
    <w:rsid w:val="00902154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Normal"/>
    <w:link w:val="Heading7Char"/>
    <w:rsid w:val="00902154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902154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902154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autoRedefine/>
    <w:qFormat/>
    <w:rsid w:val="00DB788A"/>
    <w:pPr>
      <w:spacing w:before="0" w:after="240"/>
    </w:pPr>
    <w:rPr>
      <w:rFonts w:cs="Times New Roman"/>
    </w:r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autoRedefine/>
    <w:qFormat/>
    <w:rsid w:val="00AF09CF"/>
    <w:pPr>
      <w:keepNext/>
      <w:keepLines/>
      <w:spacing w:before="480"/>
      <w:jc w:val="center"/>
    </w:pPr>
    <w:rPr>
      <w:rFonts w:eastAsiaTheme="majorEastAsia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autoRedefine/>
    <w:qFormat/>
    <w:rsid w:val="006C20DD"/>
    <w:pPr>
      <w:spacing w:after="120"/>
      <w:ind w:left="567" w:hanging="567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D43DE9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43DE9"/>
    <w:rPr>
      <w:rFonts w:ascii="Lucida Grande" w:hAnsi="Lucida Grande" w:cs="Lucida Grande"/>
      <w:sz w:val="18"/>
      <w:szCs w:val="18"/>
    </w:rPr>
  </w:style>
  <w:style w:type="character" w:customStyle="1" w:styleId="Heading7Char">
    <w:name w:val="Heading 7 Char"/>
    <w:basedOn w:val="DefaultParagraphFont"/>
    <w:link w:val="Heading7"/>
    <w:rsid w:val="0090215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9021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021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rsid w:val="00F4669D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4669D"/>
  </w:style>
  <w:style w:type="character" w:styleId="PageNumber">
    <w:name w:val="page number"/>
    <w:basedOn w:val="DefaultParagraphFont"/>
    <w:rsid w:val="00F4669D"/>
  </w:style>
  <w:style w:type="character" w:styleId="LineNumber">
    <w:name w:val="line number"/>
    <w:basedOn w:val="DefaultParagraphFont"/>
    <w:rsid w:val="00F4669D"/>
  </w:style>
  <w:style w:type="table" w:styleId="TableGrid">
    <w:name w:val="Table Grid"/>
    <w:basedOn w:val="TableNormal"/>
    <w:rsid w:val="00914773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Id="rId9" Type="http://schemas.openxmlformats.org/officeDocument/2006/relationships/footer" Target="footer2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6" Target="media/rId26.png" /><Relationship Type="http://schemas.openxmlformats.org/officeDocument/2006/relationships/image" Id="rId48" Target="media/rId48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43" Target="media/rId43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2051</Words>
  <Characters>11691</Characters>
  <Application>Microsoft Macintosh Word</Application>
  <DocSecurity>0</DocSecurity>
  <Lines>97</Lines>
  <Paragraphs>27</Paragraphs>
  <ScaleCrop>false</ScaleCrop>
  <Company>xrp</Company>
  <LinksUpToDate>false</LinksUpToDate>
  <CharactersWithSpaces>13715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DETERMINING THE MINIMAL BACKGROUND AREA FOR SPECIES DISTRIBUTION MODELS: MinBAR PACKAGE. SUPPLEMENTARY MATERIAL</dc:title>
  <dc:creator>Xavier Rotllan-Puig &amp; Anna Traveset(?)</dc:creator>
  <dcterms:created xsi:type="dcterms:W3CDTF">2019-02-20T23:00:34Z</dcterms:created>
  <dcterms:modified xsi:type="dcterms:W3CDTF">2019-02-20T23:00:34Z</dcterms:modified>
</cp:coreProperties>
</file>