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A9C0C" w14:textId="05026FAB" w:rsidR="003662EE" w:rsidRPr="003662EE" w:rsidRDefault="003662EE" w:rsidP="00EF0EB0">
      <w:pPr>
        <w:spacing w:line="276" w:lineRule="auto"/>
        <w:rPr>
          <w:rFonts w:ascii="Times New Roman" w:eastAsia="Times New Roman" w:hAnsi="Times New Roman" w:cs="Times New Roman"/>
        </w:rPr>
      </w:pPr>
      <w:r w:rsidRPr="003662EE">
        <w:rPr>
          <w:rFonts w:ascii="Arial" w:eastAsia="Times New Roman" w:hAnsi="Arial" w:cs="Arial"/>
          <w:b/>
          <w:bCs/>
          <w:color w:val="000000"/>
          <w:sz w:val="28"/>
          <w:szCs w:val="28"/>
        </w:rPr>
        <w:t xml:space="preserve">Brief Report: Identifying First-Line </w:t>
      </w:r>
      <w:r w:rsidR="003E7DB0">
        <w:rPr>
          <w:rFonts w:ascii="Arial" w:eastAsia="Times New Roman" w:hAnsi="Arial" w:cs="Arial"/>
          <w:b/>
          <w:bCs/>
          <w:color w:val="000000"/>
          <w:sz w:val="28"/>
          <w:szCs w:val="28"/>
        </w:rPr>
        <w:t>Immune Checkpoint Inhibitor</w:t>
      </w:r>
      <w:r w:rsidRPr="003662EE">
        <w:rPr>
          <w:rFonts w:ascii="Arial" w:eastAsia="Times New Roman" w:hAnsi="Arial" w:cs="Arial"/>
          <w:b/>
          <w:bCs/>
          <w:color w:val="000000"/>
          <w:sz w:val="28"/>
          <w:szCs w:val="28"/>
        </w:rPr>
        <w:t xml:space="preserve"> Responders in Advanced Urothelial Cancer Using Real-World Data and Machine Learning Approaches</w:t>
      </w:r>
    </w:p>
    <w:p w14:paraId="40E148E8" w14:textId="77777777" w:rsidR="003662EE" w:rsidRPr="003662EE" w:rsidRDefault="003662EE" w:rsidP="00EF0EB0">
      <w:pPr>
        <w:spacing w:line="276" w:lineRule="auto"/>
        <w:rPr>
          <w:rFonts w:ascii="Times New Roman" w:eastAsia="Times New Roman" w:hAnsi="Times New Roman" w:cs="Times New Roman"/>
        </w:rPr>
      </w:pPr>
    </w:p>
    <w:p w14:paraId="1DB6D03D" w14:textId="782B8113" w:rsidR="003662EE" w:rsidRPr="003662EE" w:rsidRDefault="003662EE" w:rsidP="00EF0EB0">
      <w:pPr>
        <w:spacing w:line="276" w:lineRule="auto"/>
        <w:rPr>
          <w:rFonts w:ascii="Times New Roman" w:eastAsia="Times New Roman" w:hAnsi="Times New Roman" w:cs="Times New Roman"/>
        </w:rPr>
      </w:pPr>
      <w:r w:rsidRPr="003662EE">
        <w:rPr>
          <w:rFonts w:ascii="Arial" w:eastAsia="Times New Roman" w:hAnsi="Arial" w:cs="Arial"/>
          <w:color w:val="000000"/>
          <w:sz w:val="22"/>
          <w:szCs w:val="22"/>
        </w:rPr>
        <w:t xml:space="preserve">Vivek </w:t>
      </w:r>
      <w:proofErr w:type="spellStart"/>
      <w:r w:rsidRPr="003662EE">
        <w:rPr>
          <w:rFonts w:ascii="Arial" w:eastAsia="Times New Roman" w:hAnsi="Arial" w:cs="Arial"/>
          <w:color w:val="000000"/>
          <w:sz w:val="22"/>
          <w:szCs w:val="22"/>
        </w:rPr>
        <w:t>Nimgaonkar</w:t>
      </w:r>
      <w:proofErr w:type="spellEnd"/>
      <w:r w:rsidRPr="003662EE">
        <w:rPr>
          <w:rFonts w:ascii="Arial" w:eastAsia="Times New Roman" w:hAnsi="Arial" w:cs="Arial"/>
          <w:color w:val="000000"/>
          <w:sz w:val="22"/>
          <w:szCs w:val="22"/>
        </w:rPr>
        <w:t>, MD &amp; Xavier Orcutt, MD</w:t>
      </w:r>
      <w:r w:rsidRPr="003662EE">
        <w:rPr>
          <w:rFonts w:ascii="Arial" w:eastAsia="Times New Roman" w:hAnsi="Arial" w:cs="Arial"/>
          <w:color w:val="000000"/>
          <w:sz w:val="22"/>
          <w:szCs w:val="22"/>
        </w:rPr>
        <w:br/>
      </w:r>
    </w:p>
    <w:p w14:paraId="095F737A" w14:textId="239458EB" w:rsidR="003662EE" w:rsidRPr="003662EE" w:rsidRDefault="003662EE" w:rsidP="00EF0EB0">
      <w:pPr>
        <w:spacing w:line="276" w:lineRule="auto"/>
        <w:rPr>
          <w:rFonts w:ascii="Times New Roman" w:eastAsia="Times New Roman" w:hAnsi="Times New Roman" w:cs="Times New Roman"/>
        </w:rPr>
      </w:pPr>
      <w:r w:rsidRPr="003662EE">
        <w:rPr>
          <w:rFonts w:ascii="Arial" w:eastAsia="Times New Roman" w:hAnsi="Arial" w:cs="Arial"/>
          <w:color w:val="000000"/>
          <w:sz w:val="22"/>
          <w:szCs w:val="22"/>
        </w:rPr>
        <w:t xml:space="preserve">Immune checkpoint inhibitors have demonstrated activity in advanced urothelial carcinoma, yet randomized clinical trials have failed to show their superiority as first-line treatment. The Phase III KEYNOTE-361 trial found no survival advantage for pembrolizumab, either as monotherapy or combined with chemotherapy, compared to standard chemotherapy in previously untreated patients. Despite these negative trial results, heterogeneous treatment responses observed in clinical practice suggest that specific patient subgroups might derive meaningful benefit from first-line </w:t>
      </w:r>
      <w:r w:rsidR="003E7DB0">
        <w:rPr>
          <w:rFonts w:ascii="Arial" w:eastAsia="Times New Roman" w:hAnsi="Arial" w:cs="Arial"/>
          <w:color w:val="000000"/>
          <w:sz w:val="22"/>
          <w:szCs w:val="22"/>
        </w:rPr>
        <w:t>i</w:t>
      </w:r>
      <w:r w:rsidR="003E7DB0" w:rsidRPr="003662EE">
        <w:rPr>
          <w:rFonts w:ascii="Arial" w:eastAsia="Times New Roman" w:hAnsi="Arial" w:cs="Arial"/>
          <w:color w:val="000000"/>
          <w:sz w:val="22"/>
          <w:szCs w:val="22"/>
        </w:rPr>
        <w:t>mmune checkpoint inhibitors</w:t>
      </w:r>
      <w:r w:rsidRPr="003662EE">
        <w:rPr>
          <w:rFonts w:ascii="Arial" w:eastAsia="Times New Roman" w:hAnsi="Arial" w:cs="Arial"/>
          <w:color w:val="000000"/>
          <w:sz w:val="22"/>
          <w:szCs w:val="22"/>
        </w:rPr>
        <w:t>.</w:t>
      </w:r>
    </w:p>
    <w:p w14:paraId="2DDDD574" w14:textId="77777777" w:rsidR="003662EE" w:rsidRPr="003662EE" w:rsidRDefault="003662EE" w:rsidP="00EF0EB0">
      <w:pPr>
        <w:spacing w:line="276" w:lineRule="auto"/>
        <w:rPr>
          <w:rFonts w:ascii="Times New Roman" w:eastAsia="Times New Roman" w:hAnsi="Times New Roman" w:cs="Times New Roman"/>
        </w:rPr>
      </w:pPr>
    </w:p>
    <w:p w14:paraId="32529D95" w14:textId="0D23F86F" w:rsidR="003662EE" w:rsidRPr="003662EE" w:rsidRDefault="003662EE" w:rsidP="00EF0EB0">
      <w:pPr>
        <w:spacing w:line="276" w:lineRule="auto"/>
        <w:rPr>
          <w:rFonts w:ascii="Times New Roman" w:eastAsia="Times New Roman" w:hAnsi="Times New Roman" w:cs="Times New Roman"/>
        </w:rPr>
      </w:pPr>
      <w:r w:rsidRPr="003662EE">
        <w:rPr>
          <w:rFonts w:ascii="Arial" w:eastAsia="Times New Roman" w:hAnsi="Arial" w:cs="Arial"/>
          <w:color w:val="000000"/>
          <w:sz w:val="22"/>
          <w:szCs w:val="22"/>
        </w:rPr>
        <w:t>In this study, we analyzed the Flatiron Health advanced urothelial carcinoma cohort to identify potential responder subgroups to first-line pembrolizumab. Using supervised and unsupervised machine learning approaches, we characterized treatment effect heterogeneity in an attempt to identify patient subsets who might benefit from pembrolizumab despite negative overall trial findings.</w:t>
      </w:r>
    </w:p>
    <w:p w14:paraId="267419D3" w14:textId="77777777" w:rsidR="003662EE" w:rsidRPr="003662EE" w:rsidRDefault="003662EE" w:rsidP="00EF0EB0">
      <w:pPr>
        <w:spacing w:line="276" w:lineRule="auto"/>
        <w:rPr>
          <w:rFonts w:ascii="Times New Roman" w:eastAsia="Times New Roman" w:hAnsi="Times New Roman" w:cs="Times New Roman"/>
        </w:rPr>
      </w:pPr>
    </w:p>
    <w:p w14:paraId="4F0F6C13" w14:textId="2A6871FD" w:rsidR="003662EE" w:rsidRPr="003662EE" w:rsidRDefault="003662EE" w:rsidP="00EF0EB0">
      <w:pPr>
        <w:spacing w:line="276" w:lineRule="auto"/>
        <w:rPr>
          <w:rFonts w:ascii="Times New Roman" w:eastAsia="Times New Roman" w:hAnsi="Times New Roman" w:cs="Times New Roman"/>
        </w:rPr>
      </w:pPr>
      <w:r w:rsidRPr="003662EE">
        <w:rPr>
          <w:rFonts w:ascii="Arial" w:eastAsia="Times New Roman" w:hAnsi="Arial" w:cs="Arial"/>
          <w:color w:val="000000"/>
          <w:sz w:val="22"/>
          <w:szCs w:val="22"/>
        </w:rPr>
        <w:t>We began by analyzing survival outcomes for all advanced urothelial carcinoma patients in the Flatiron Health dataset who received either first-line pembrolizumab or chemotherapy (defined as carboplatin or cisplatin plus gemcitabine). Using inverse probability treatment weighted Kaplan-Meier survival curves, pembrolizumab appeared inferior to chemotherapy, with significantly shorter median overall survival (</w:t>
      </w:r>
      <w:proofErr w:type="spellStart"/>
      <w:r w:rsidRPr="003662EE">
        <w:rPr>
          <w:rFonts w:ascii="Arial" w:eastAsia="Times New Roman" w:hAnsi="Arial" w:cs="Arial"/>
          <w:color w:val="000000"/>
          <w:sz w:val="22"/>
          <w:szCs w:val="22"/>
        </w:rPr>
        <w:t>mOS</w:t>
      </w:r>
      <w:proofErr w:type="spellEnd"/>
      <w:r w:rsidRPr="003662EE">
        <w:rPr>
          <w:rFonts w:ascii="Arial" w:eastAsia="Times New Roman" w:hAnsi="Arial" w:cs="Arial"/>
          <w:color w:val="000000"/>
          <w:sz w:val="22"/>
          <w:szCs w:val="22"/>
        </w:rPr>
        <w:t>)</w:t>
      </w:r>
      <w:r w:rsidR="003E7DB0">
        <w:rPr>
          <w:rFonts w:ascii="Arial" w:eastAsia="Times New Roman" w:hAnsi="Arial" w:cs="Arial"/>
          <w:color w:val="000000"/>
          <w:sz w:val="22"/>
          <w:szCs w:val="22"/>
        </w:rPr>
        <w:t xml:space="preserve"> and </w:t>
      </w:r>
      <w:r w:rsidRPr="003662EE">
        <w:rPr>
          <w:rFonts w:ascii="Arial" w:eastAsia="Times New Roman" w:hAnsi="Arial" w:cs="Arial"/>
          <w:color w:val="000000"/>
          <w:sz w:val="22"/>
          <w:szCs w:val="22"/>
        </w:rPr>
        <w:t>restricted mean survival time (RMST) estimates</w:t>
      </w:r>
      <w:r w:rsidR="003E7DB0">
        <w:rPr>
          <w:rFonts w:ascii="Arial" w:eastAsia="Times New Roman" w:hAnsi="Arial" w:cs="Arial"/>
          <w:color w:val="000000"/>
          <w:sz w:val="22"/>
          <w:szCs w:val="22"/>
        </w:rPr>
        <w:t xml:space="preserve"> </w:t>
      </w:r>
      <w:r w:rsidRPr="003662EE">
        <w:rPr>
          <w:rFonts w:ascii="Arial" w:eastAsia="Times New Roman" w:hAnsi="Arial" w:cs="Arial"/>
          <w:color w:val="000000"/>
          <w:sz w:val="22"/>
          <w:szCs w:val="22"/>
        </w:rPr>
        <w:t>(Fig 1). The survival curves suggest this difference primarily stems from early deaths among pembrolizumab-treated patients. </w:t>
      </w:r>
    </w:p>
    <w:p w14:paraId="1DB1E621" w14:textId="77777777" w:rsidR="003662EE" w:rsidRPr="003662EE" w:rsidRDefault="003662EE" w:rsidP="00EF0EB0">
      <w:pPr>
        <w:spacing w:line="276" w:lineRule="auto"/>
        <w:rPr>
          <w:rFonts w:ascii="Times New Roman" w:eastAsia="Times New Roman" w:hAnsi="Times New Roman" w:cs="Times New Roman"/>
        </w:rPr>
      </w:pPr>
    </w:p>
    <w:p w14:paraId="4CD62F91" w14:textId="0E199BF6" w:rsidR="00032170" w:rsidRDefault="003662EE" w:rsidP="00EF0EB0">
      <w:pPr>
        <w:spacing w:line="276" w:lineRule="auto"/>
        <w:rPr>
          <w:rFonts w:ascii="Arial" w:eastAsia="Times New Roman" w:hAnsi="Arial" w:cs="Arial"/>
          <w:color w:val="000000"/>
          <w:sz w:val="22"/>
          <w:szCs w:val="22"/>
        </w:rPr>
      </w:pPr>
      <w:r w:rsidRPr="003662EE">
        <w:rPr>
          <w:rFonts w:ascii="Arial" w:eastAsia="Times New Roman" w:hAnsi="Arial" w:cs="Arial"/>
          <w:color w:val="000000"/>
          <w:sz w:val="22"/>
          <w:szCs w:val="22"/>
        </w:rPr>
        <w:t xml:space="preserve">Baseline clinical characteristics revealed important differences between treatment groups: pembrolizumab patients were older, more likely to have been diagnosed initially with early-stage disease, had more documented weight loss at treatment initiation, and demonstrated worse end-organ function compared to chemotherapy patients (Table 1). These differences suggest pembrolizumab patients were frailer, potentially contributing to early mortality events, and likely were preferentially selected for </w:t>
      </w:r>
      <w:r w:rsidR="003E7DB0">
        <w:rPr>
          <w:rFonts w:ascii="Arial" w:eastAsia="Times New Roman" w:hAnsi="Arial" w:cs="Arial"/>
          <w:color w:val="000000"/>
          <w:sz w:val="22"/>
          <w:szCs w:val="22"/>
        </w:rPr>
        <w:t>immune checkpoint inhibitors</w:t>
      </w:r>
      <w:r w:rsidRPr="003662EE">
        <w:rPr>
          <w:rFonts w:ascii="Arial" w:eastAsia="Times New Roman" w:hAnsi="Arial" w:cs="Arial"/>
          <w:color w:val="000000"/>
          <w:sz w:val="22"/>
          <w:szCs w:val="22"/>
        </w:rPr>
        <w:t xml:space="preserve"> due to its more favorable toxicity profile compared to chemotherapy.</w:t>
      </w:r>
    </w:p>
    <w:p w14:paraId="069072D2" w14:textId="77777777" w:rsidR="00032170" w:rsidRDefault="00032170">
      <w:pPr>
        <w:rPr>
          <w:rFonts w:ascii="Arial" w:eastAsia="Times New Roman" w:hAnsi="Arial" w:cs="Arial"/>
          <w:color w:val="000000"/>
          <w:sz w:val="22"/>
          <w:szCs w:val="22"/>
        </w:rPr>
      </w:pPr>
    </w:p>
    <w:p w14:paraId="262BB48F" w14:textId="054342D5" w:rsidR="00032170" w:rsidRPr="003E7DB0" w:rsidRDefault="003E7DB0" w:rsidP="00032170">
      <w:pPr>
        <w:spacing w:line="276" w:lineRule="auto"/>
        <w:rPr>
          <w:rFonts w:ascii="Arial" w:hAnsi="Arial" w:cs="Arial"/>
          <w:sz w:val="22"/>
          <w:szCs w:val="22"/>
        </w:rPr>
      </w:pPr>
      <w:r w:rsidRPr="003E7DB0">
        <w:rPr>
          <w:rFonts w:ascii="Arial" w:hAnsi="Arial" w:cs="Arial"/>
          <w:sz w:val="22"/>
          <w:szCs w:val="22"/>
        </w:rPr>
        <w:t>We next analyzed survival outcomes for patients receiving first-line pembrolizumab versus carboplatin plus gemcitabine specifically. This focused comparison addresses a common clinical decision point in real-world practice, where physicians must choose between immunotherapy and carboplatin-based chemotherapy for patients with advanced urothelial carcinoma who have compromised performance status, impaired renal function, or other comorbidities that preclude cisplatin eligibility.</w:t>
      </w:r>
    </w:p>
    <w:p w14:paraId="2B49387E" w14:textId="596598C2" w:rsidR="00811AB6" w:rsidRDefault="00032170" w:rsidP="00032170">
      <w:pPr>
        <w:spacing w:line="276" w:lineRule="auto"/>
        <w:rPr>
          <w:rFonts w:ascii="Arial" w:hAnsi="Arial" w:cs="Arial"/>
          <w:sz w:val="22"/>
          <w:szCs w:val="22"/>
        </w:rPr>
      </w:pPr>
      <w:r w:rsidRPr="00032170">
        <w:rPr>
          <w:rFonts w:ascii="Arial" w:hAnsi="Arial" w:cs="Arial"/>
          <w:sz w:val="22"/>
          <w:szCs w:val="22"/>
        </w:rPr>
        <w:lastRenderedPageBreak/>
        <w:t>In this refined comparison, survival analysis still revealed significant early mortality in the pembrolizumab group</w:t>
      </w:r>
      <w:r>
        <w:rPr>
          <w:rFonts w:ascii="Arial" w:hAnsi="Arial" w:cs="Arial"/>
          <w:sz w:val="22"/>
          <w:szCs w:val="22"/>
        </w:rPr>
        <w:t xml:space="preserve"> (Fig 2)</w:t>
      </w:r>
      <w:r w:rsidRPr="00032170">
        <w:rPr>
          <w:rFonts w:ascii="Arial" w:hAnsi="Arial" w:cs="Arial"/>
          <w:sz w:val="22"/>
          <w:szCs w:val="22"/>
        </w:rPr>
        <w:t xml:space="preserve">. However, we observed a modest </w:t>
      </w:r>
      <w:r w:rsidR="00754B6F">
        <w:rPr>
          <w:rFonts w:ascii="Arial" w:hAnsi="Arial" w:cs="Arial"/>
          <w:sz w:val="22"/>
          <w:szCs w:val="22"/>
        </w:rPr>
        <w:t>l</w:t>
      </w:r>
      <w:r w:rsidRPr="00032170">
        <w:rPr>
          <w:rFonts w:ascii="Arial" w:hAnsi="Arial" w:cs="Arial"/>
          <w:sz w:val="22"/>
          <w:szCs w:val="22"/>
        </w:rPr>
        <w:t xml:space="preserve">ong-term survival advantage favoring pembrolizumab, with an absolute improvement of </w:t>
      </w:r>
      <w:r w:rsidR="003E7DB0">
        <w:rPr>
          <w:rFonts w:ascii="Arial" w:hAnsi="Arial" w:cs="Arial"/>
          <w:sz w:val="22"/>
          <w:szCs w:val="22"/>
        </w:rPr>
        <w:t xml:space="preserve">about </w:t>
      </w:r>
      <w:r w:rsidRPr="00032170">
        <w:rPr>
          <w:rFonts w:ascii="Arial" w:hAnsi="Arial" w:cs="Arial"/>
          <w:sz w:val="22"/>
          <w:szCs w:val="22"/>
        </w:rPr>
        <w:t>6% in survival rates at both 3 and 4 years. Examination of baseline characteristics showed greater similarity between treatment groups in this comparison, though pembrolizumab patients still tended to be slightly older, had more documented weight loss, and demonstrated worse end-organ function compared to those receiving carboplatin-based chemotherapy (Table 2).</w:t>
      </w:r>
    </w:p>
    <w:p w14:paraId="7B81FF63" w14:textId="77777777" w:rsidR="00811AB6" w:rsidRDefault="00811AB6" w:rsidP="00032170">
      <w:pPr>
        <w:spacing w:line="276" w:lineRule="auto"/>
        <w:rPr>
          <w:rFonts w:ascii="Arial" w:hAnsi="Arial" w:cs="Arial"/>
          <w:sz w:val="22"/>
          <w:szCs w:val="22"/>
        </w:rPr>
      </w:pPr>
    </w:p>
    <w:p w14:paraId="1C68B030" w14:textId="5447AB52" w:rsidR="00811AB6" w:rsidRPr="003E7DB0" w:rsidRDefault="00811AB6" w:rsidP="00811AB6">
      <w:pPr>
        <w:spacing w:line="276" w:lineRule="auto"/>
        <w:rPr>
          <w:rFonts w:ascii="Arial" w:hAnsi="Arial" w:cs="Arial"/>
          <w:sz w:val="22"/>
          <w:szCs w:val="22"/>
        </w:rPr>
      </w:pPr>
      <w:r w:rsidRPr="003E7DB0">
        <w:rPr>
          <w:rFonts w:ascii="Arial" w:hAnsi="Arial" w:cs="Arial"/>
          <w:sz w:val="22"/>
          <w:szCs w:val="22"/>
        </w:rPr>
        <w:t>To further explore potential treatment effect heterogeneity within this pembrolizumab versus carboplatin-based chemotherapy cohort, we conducted an unsupervised clustering analysis.</w:t>
      </w:r>
      <w:r w:rsidRPr="003E7DB0">
        <w:rPr>
          <w:rFonts w:ascii="Arial" w:hAnsi="Arial" w:cs="Arial"/>
          <w:sz w:val="22"/>
          <w:szCs w:val="22"/>
        </w:rPr>
        <w:t xml:space="preserve"> </w:t>
      </w:r>
      <w:r w:rsidR="003E7DB0" w:rsidRPr="003E7DB0">
        <w:rPr>
          <w:rFonts w:ascii="Arial" w:hAnsi="Arial" w:cs="Arial"/>
          <w:sz w:val="22"/>
          <w:szCs w:val="22"/>
        </w:rPr>
        <w:t xml:space="preserve">Two physicians manually selected clinically relevant variables based on domain knowledge, deliberately excluding treatment type to prevent bias in cluster formation. Sociodemographic features (e.g., race, insurance type) and practice setting </w:t>
      </w:r>
      <w:r w:rsidR="003E7DB0" w:rsidRPr="003E7DB0">
        <w:rPr>
          <w:rFonts w:ascii="Arial" w:hAnsi="Arial" w:cs="Arial"/>
          <w:sz w:val="22"/>
          <w:szCs w:val="22"/>
        </w:rPr>
        <w:t xml:space="preserve">features </w:t>
      </w:r>
      <w:r w:rsidR="003E7DB0" w:rsidRPr="003E7DB0">
        <w:rPr>
          <w:rFonts w:ascii="Arial" w:hAnsi="Arial" w:cs="Arial"/>
          <w:sz w:val="22"/>
          <w:szCs w:val="22"/>
        </w:rPr>
        <w:t>were also excluded from the clustering analysis to focus on identifying biologically relevant phenotypes rather than patterns potentially driven by disparities in care access.</w:t>
      </w:r>
      <w:r w:rsidR="003E7DB0" w:rsidRPr="003E7DB0">
        <w:rPr>
          <w:rFonts w:ascii="Arial" w:hAnsi="Arial" w:cs="Arial"/>
          <w:sz w:val="22"/>
          <w:szCs w:val="22"/>
        </w:rPr>
        <w:t xml:space="preserve"> These features were adjusted for in the survival analysis using IPTW.</w:t>
      </w:r>
      <w:r w:rsidR="0005299C" w:rsidRPr="003E7DB0">
        <w:rPr>
          <w:rFonts w:ascii="Arial" w:hAnsi="Arial" w:cs="Arial"/>
          <w:sz w:val="22"/>
          <w:szCs w:val="22"/>
        </w:rPr>
        <w:t xml:space="preserve"> </w:t>
      </w:r>
      <w:r w:rsidR="003E7DB0" w:rsidRPr="003E7DB0">
        <w:rPr>
          <w:rFonts w:ascii="Arial" w:hAnsi="Arial" w:cs="Arial"/>
          <w:sz w:val="22"/>
          <w:szCs w:val="22"/>
        </w:rPr>
        <w:t>We included PD-L1 status in our model, though its impact was likely minimal as it was documented in only 3% of patients.</w:t>
      </w:r>
      <w:r w:rsidR="003E7DB0" w:rsidRPr="003E7DB0">
        <w:rPr>
          <w:rFonts w:ascii="Arial" w:hAnsi="Arial" w:cs="Arial"/>
          <w:sz w:val="22"/>
          <w:szCs w:val="22"/>
        </w:rPr>
        <w:t xml:space="preserve"> </w:t>
      </w:r>
      <w:r w:rsidR="003E7DB0">
        <w:rPr>
          <w:rFonts w:ascii="Arial" w:hAnsi="Arial" w:cs="Arial"/>
          <w:sz w:val="22"/>
          <w:szCs w:val="22"/>
        </w:rPr>
        <w:t xml:space="preserve">After manual feature selection, </w:t>
      </w:r>
      <w:r w:rsidR="003E7DB0">
        <w:rPr>
          <w:rFonts w:ascii="Arial" w:eastAsia="Times New Roman" w:hAnsi="Arial" w:cs="Arial"/>
          <w:color w:val="000000"/>
          <w:sz w:val="22"/>
          <w:szCs w:val="22"/>
        </w:rPr>
        <w:t>w</w:t>
      </w:r>
      <w:r w:rsidRPr="003E7DB0">
        <w:rPr>
          <w:rFonts w:ascii="Arial" w:eastAsia="Times New Roman" w:hAnsi="Arial" w:cs="Arial"/>
          <w:color w:val="000000"/>
          <w:sz w:val="22"/>
          <w:szCs w:val="22"/>
        </w:rPr>
        <w:t xml:space="preserve">e applied UMAP (Uniform Manifold Approximation and Projection) for </w:t>
      </w:r>
      <w:r w:rsidR="003E7DB0">
        <w:rPr>
          <w:rFonts w:ascii="Arial" w:eastAsia="Times New Roman" w:hAnsi="Arial" w:cs="Arial"/>
          <w:color w:val="000000"/>
          <w:sz w:val="22"/>
          <w:szCs w:val="22"/>
        </w:rPr>
        <w:t xml:space="preserve">further </w:t>
      </w:r>
      <w:r w:rsidRPr="003E7DB0">
        <w:rPr>
          <w:rFonts w:ascii="Arial" w:eastAsia="Times New Roman" w:hAnsi="Arial" w:cs="Arial"/>
          <w:color w:val="000000"/>
          <w:sz w:val="22"/>
          <w:szCs w:val="22"/>
        </w:rPr>
        <w:t xml:space="preserve">dimensionality reduction followed by HDBSCAN (Hierarchical Density-Based Spatial Clustering of Applications with Noise) to identify naturally occurring patient phenotypes. </w:t>
      </w:r>
    </w:p>
    <w:p w14:paraId="50ED5DF1" w14:textId="77777777" w:rsidR="00811AB6" w:rsidRDefault="00811AB6" w:rsidP="00811AB6">
      <w:pPr>
        <w:spacing w:line="276" w:lineRule="auto"/>
        <w:rPr>
          <w:rFonts w:ascii="Arial" w:eastAsia="Times New Roman" w:hAnsi="Arial" w:cs="Arial"/>
          <w:color w:val="000000"/>
          <w:sz w:val="22"/>
          <w:szCs w:val="22"/>
        </w:rPr>
      </w:pPr>
    </w:p>
    <w:p w14:paraId="024D9A5B" w14:textId="5549C7FC" w:rsidR="0005299C" w:rsidRPr="003E7DB0" w:rsidRDefault="0005299C" w:rsidP="00032170">
      <w:pPr>
        <w:spacing w:line="276" w:lineRule="auto"/>
        <w:rPr>
          <w:rFonts w:ascii="Arial" w:eastAsia="Times New Roman" w:hAnsi="Arial" w:cs="Arial"/>
          <w:color w:val="000000"/>
          <w:sz w:val="22"/>
          <w:szCs w:val="22"/>
        </w:rPr>
      </w:pPr>
      <w:r w:rsidRPr="003E7DB0">
        <w:rPr>
          <w:rFonts w:ascii="Arial" w:hAnsi="Arial" w:cs="Arial"/>
          <w:sz w:val="22"/>
          <w:szCs w:val="22"/>
        </w:rPr>
        <w:t xml:space="preserve">This clustering approach identified one distinct subgroup (Cluster 0) with a more favorable risk-benefit profile for pembrolizumab. In this cluster, two key differences emerged compared to the overall cohort: 1) the characteristic early mortality disadvantage with pembrolizumab was attenuated, and 2) the long-term survival advantage was amplified. Within this </w:t>
      </w:r>
      <w:r w:rsidR="003E7DB0" w:rsidRPr="003E7DB0">
        <w:rPr>
          <w:rFonts w:ascii="Arial" w:hAnsi="Arial" w:cs="Arial"/>
          <w:sz w:val="22"/>
          <w:szCs w:val="22"/>
        </w:rPr>
        <w:t>phenotype</w:t>
      </w:r>
      <w:r w:rsidRPr="003E7DB0">
        <w:rPr>
          <w:rFonts w:ascii="Arial" w:hAnsi="Arial" w:cs="Arial"/>
          <w:sz w:val="22"/>
          <w:szCs w:val="22"/>
        </w:rPr>
        <w:t>, pembrolizumab was associated with a statistically significant absolute survival advantage of approximately 10% at both 3 and 4</w:t>
      </w:r>
      <w:r w:rsidRPr="003E7DB0">
        <w:rPr>
          <w:rFonts w:ascii="Arial" w:hAnsi="Arial" w:cs="Arial"/>
          <w:sz w:val="22"/>
          <w:szCs w:val="22"/>
        </w:rPr>
        <w:t xml:space="preserve"> years, </w:t>
      </w:r>
      <w:r w:rsidRPr="003E7DB0">
        <w:rPr>
          <w:rFonts w:ascii="Arial" w:hAnsi="Arial" w:cs="Arial"/>
          <w:sz w:val="22"/>
          <w:szCs w:val="22"/>
        </w:rPr>
        <w:t xml:space="preserve">though differences in </w:t>
      </w:r>
      <w:r w:rsidR="003E7DB0" w:rsidRPr="003E7DB0">
        <w:rPr>
          <w:rFonts w:ascii="Arial" w:hAnsi="Arial" w:cs="Arial"/>
          <w:sz w:val="22"/>
          <w:szCs w:val="22"/>
        </w:rPr>
        <w:t>RMST</w:t>
      </w:r>
      <w:r w:rsidRPr="003E7DB0">
        <w:rPr>
          <w:rFonts w:ascii="Arial" w:hAnsi="Arial" w:cs="Arial"/>
          <w:sz w:val="22"/>
          <w:szCs w:val="22"/>
        </w:rPr>
        <w:t xml:space="preserve"> did not reach statistical significance at these time horizons (Fig 4).</w:t>
      </w:r>
      <w:r w:rsidRPr="003E7DB0">
        <w:rPr>
          <w:rFonts w:ascii="Arial" w:eastAsia="Times New Roman" w:hAnsi="Arial" w:cs="Arial"/>
          <w:color w:val="000000"/>
          <w:sz w:val="22"/>
          <w:szCs w:val="22"/>
        </w:rPr>
        <w:t xml:space="preserve"> </w:t>
      </w:r>
      <w:r w:rsidR="003E7DB0" w:rsidRPr="003E7DB0">
        <w:rPr>
          <w:rFonts w:ascii="Arial" w:hAnsi="Arial" w:cs="Arial"/>
          <w:sz w:val="22"/>
          <w:szCs w:val="22"/>
        </w:rPr>
        <w:t>This enhanced treatment effect was driven by both improved pembrolizumab outcomes and somewhat diminished response to carboplatin-based chemotherapy.</w:t>
      </w:r>
    </w:p>
    <w:p w14:paraId="14913DA5" w14:textId="39DA586D" w:rsidR="00E01F3D" w:rsidRPr="00E01F3D" w:rsidRDefault="00E01F3D" w:rsidP="00E01F3D">
      <w:pPr>
        <w:spacing w:before="240" w:after="240" w:line="276" w:lineRule="auto"/>
        <w:rPr>
          <w:rFonts w:ascii="Arial" w:hAnsi="Arial" w:cs="Arial"/>
          <w:sz w:val="22"/>
          <w:szCs w:val="22"/>
        </w:rPr>
      </w:pPr>
      <w:r w:rsidRPr="00E01F3D">
        <w:rPr>
          <w:rFonts w:ascii="Arial" w:eastAsia="Times New Roman" w:hAnsi="Arial" w:cs="Arial"/>
          <w:color w:val="000000"/>
          <w:sz w:val="22"/>
          <w:szCs w:val="22"/>
        </w:rPr>
        <w:t xml:space="preserve">The demographic characteristics of patients within this cluster revealed noteworthy patterns (Table 3). </w:t>
      </w:r>
      <w:r w:rsidRPr="00E01F3D">
        <w:rPr>
          <w:rFonts w:ascii="Arial" w:hAnsi="Arial" w:cs="Arial"/>
          <w:sz w:val="22"/>
          <w:szCs w:val="22"/>
        </w:rPr>
        <w:t>Both treatment groups predominantly featured advanced disease at initial diagnosis, suggesting this was a key clustering factor. Notably, pembrolizumab-treated patients in this cluster were substantially older than their carboplatin-treated counterparts. Additionally, the pembrolizumab group exhibited poorer performance status and worse end-organ function.</w:t>
      </w:r>
    </w:p>
    <w:p w14:paraId="6846006E" w14:textId="7BAB4452" w:rsidR="00E01F3D" w:rsidRPr="003E7DB0" w:rsidRDefault="00E01F3D" w:rsidP="00E01F3D">
      <w:pPr>
        <w:spacing w:before="240" w:after="240" w:line="276" w:lineRule="auto"/>
        <w:rPr>
          <w:rFonts w:ascii="Arial" w:hAnsi="Arial" w:cs="Arial"/>
          <w:sz w:val="22"/>
          <w:szCs w:val="22"/>
        </w:rPr>
      </w:pPr>
      <w:r w:rsidRPr="00E01F3D">
        <w:rPr>
          <w:rFonts w:ascii="Arial" w:hAnsi="Arial" w:cs="Arial"/>
          <w:sz w:val="22"/>
          <w:szCs w:val="22"/>
        </w:rPr>
        <w:t>W</w:t>
      </w:r>
      <w:r w:rsidRPr="00E01F3D">
        <w:rPr>
          <w:rFonts w:ascii="Arial" w:hAnsi="Arial" w:cs="Arial"/>
          <w:sz w:val="22"/>
          <w:szCs w:val="22"/>
        </w:rPr>
        <w:t xml:space="preserve">e next explored whether a supervised machine learning approach could more directly address the consistent pattern of early mortality observed with pembrolizumab. We hypothesized that by identifying and excluding patients at highest risk for death, we might mitigate pembrolizumab's early mortality disadvantage while preserving its long-term benefits. We therefore developed a gradient boosted </w:t>
      </w:r>
      <w:r>
        <w:rPr>
          <w:rFonts w:ascii="Arial" w:hAnsi="Arial" w:cs="Arial"/>
          <w:sz w:val="22"/>
          <w:szCs w:val="22"/>
        </w:rPr>
        <w:t xml:space="preserve">survival </w:t>
      </w:r>
      <w:r w:rsidRPr="00E01F3D">
        <w:rPr>
          <w:rFonts w:ascii="Arial" w:hAnsi="Arial" w:cs="Arial"/>
          <w:sz w:val="22"/>
          <w:szCs w:val="22"/>
        </w:rPr>
        <w:t xml:space="preserve">model to identify the top </w:t>
      </w:r>
      <w:proofErr w:type="spellStart"/>
      <w:r w:rsidRPr="00E01F3D">
        <w:rPr>
          <w:rFonts w:ascii="Arial" w:hAnsi="Arial" w:cs="Arial"/>
          <w:sz w:val="22"/>
          <w:szCs w:val="22"/>
        </w:rPr>
        <w:t>tertile</w:t>
      </w:r>
      <w:proofErr w:type="spellEnd"/>
      <w:r w:rsidRPr="00E01F3D">
        <w:rPr>
          <w:rFonts w:ascii="Arial" w:hAnsi="Arial" w:cs="Arial"/>
          <w:sz w:val="22"/>
          <w:szCs w:val="22"/>
        </w:rPr>
        <w:t xml:space="preserve"> of patients by mortality risk and examined treatment outcomes in the remaining lower-risk population</w:t>
      </w:r>
      <w:r w:rsidRPr="00E01F3D">
        <w:rPr>
          <w:rFonts w:ascii="Arial" w:hAnsi="Arial" w:cs="Arial"/>
          <w:sz w:val="22"/>
          <w:szCs w:val="22"/>
        </w:rPr>
        <w:t xml:space="preserve"> (Fig 5)</w:t>
      </w:r>
      <w:r w:rsidRPr="00E01F3D">
        <w:rPr>
          <w:rFonts w:ascii="Arial" w:hAnsi="Arial" w:cs="Arial"/>
          <w:sz w:val="22"/>
          <w:szCs w:val="22"/>
        </w:rPr>
        <w:t>.</w:t>
      </w:r>
    </w:p>
    <w:p w14:paraId="14AA84E2" w14:textId="6A34C368" w:rsidR="003E7DB0" w:rsidRDefault="003E7DB0" w:rsidP="00E01F3D">
      <w:pPr>
        <w:spacing w:before="240" w:after="240" w:line="276" w:lineRule="auto"/>
        <w:rPr>
          <w:rFonts w:ascii="Arial" w:hAnsi="Arial" w:cs="Arial"/>
          <w:sz w:val="22"/>
          <w:szCs w:val="22"/>
        </w:rPr>
      </w:pPr>
      <w:r w:rsidRPr="003E7DB0">
        <w:rPr>
          <w:rFonts w:ascii="Arial" w:hAnsi="Arial" w:cs="Arial"/>
          <w:sz w:val="22"/>
          <w:szCs w:val="22"/>
        </w:rPr>
        <w:lastRenderedPageBreak/>
        <w:t>In this risk-adjusted cohort, although early mortality with pembrolizumab persisted, we observed a statistically significant long-term survival advantage of approximately 8% at both 3 and 4 years from treatment initiation (Fig 6). Restricted mean survival time also showed significant improvement at 4 years. Analysis of baseline characteristics revealed comparable age, performance status, and end-organ function markers between treatment groups, though the pembrolizumab cohort still demonstrated slightly less favorable parameters (Table 4).</w:t>
      </w:r>
    </w:p>
    <w:p w14:paraId="4B12CB66" w14:textId="34AD917E" w:rsidR="003E7DB0" w:rsidRPr="003E7DB0" w:rsidRDefault="003E7DB0" w:rsidP="003E7DB0">
      <w:pPr>
        <w:spacing w:line="276" w:lineRule="auto"/>
        <w:rPr>
          <w:rFonts w:ascii="Arial" w:hAnsi="Arial" w:cs="Arial"/>
          <w:sz w:val="22"/>
          <w:szCs w:val="22"/>
        </w:rPr>
      </w:pPr>
      <w:r w:rsidRPr="003E7DB0">
        <w:rPr>
          <w:rFonts w:ascii="Arial" w:hAnsi="Arial" w:cs="Arial"/>
          <w:sz w:val="22"/>
          <w:szCs w:val="22"/>
        </w:rPr>
        <w:t xml:space="preserve">Our analysis of the Flatiron Health advanced urothelial carcinoma cohort yields several insights regarding first-line pembrolizumab treatment. </w:t>
      </w:r>
      <w:r w:rsidR="001A4334">
        <w:rPr>
          <w:rFonts w:ascii="Arial" w:hAnsi="Arial" w:cs="Arial"/>
          <w:sz w:val="22"/>
          <w:szCs w:val="22"/>
        </w:rPr>
        <w:t>W</w:t>
      </w:r>
      <w:r w:rsidRPr="003E7DB0">
        <w:rPr>
          <w:rFonts w:ascii="Arial" w:hAnsi="Arial" w:cs="Arial"/>
          <w:sz w:val="22"/>
          <w:szCs w:val="22"/>
        </w:rPr>
        <w:t>e consistently observed an early mortality disadvantage with pembrolizumab compared to carboplatin-based chemotherapy. The persistence of this pattern even after excluding high-risk patients through supervised learning suggests this vulnerability is more likely intrinsic to pembrolizumab's delayed mechanism of action rather than merely reflecting treatment selection bias.</w:t>
      </w:r>
    </w:p>
    <w:p w14:paraId="0DBA71D2" w14:textId="459816F0" w:rsidR="003E7DB0" w:rsidRPr="00F85F7D" w:rsidRDefault="003E7DB0" w:rsidP="00F85F7D">
      <w:pPr>
        <w:spacing w:before="240" w:after="240" w:line="276" w:lineRule="auto"/>
        <w:rPr>
          <w:rFonts w:ascii="Times New Roman" w:eastAsia="Times New Roman" w:hAnsi="Times New Roman" w:cs="Times New Roman"/>
        </w:rPr>
      </w:pPr>
      <w:r w:rsidRPr="003E7DB0">
        <w:rPr>
          <w:rFonts w:ascii="Arial" w:hAnsi="Arial" w:cs="Arial"/>
          <w:sz w:val="22"/>
          <w:szCs w:val="22"/>
        </w:rPr>
        <w:t xml:space="preserve">Despite this early </w:t>
      </w:r>
      <w:r w:rsidR="00F85F7D">
        <w:rPr>
          <w:rFonts w:ascii="Arial" w:hAnsi="Arial" w:cs="Arial"/>
          <w:sz w:val="22"/>
          <w:szCs w:val="22"/>
        </w:rPr>
        <w:t>vulnerability</w:t>
      </w:r>
      <w:r w:rsidRPr="003E7DB0">
        <w:rPr>
          <w:rFonts w:ascii="Arial" w:hAnsi="Arial" w:cs="Arial"/>
          <w:sz w:val="22"/>
          <w:szCs w:val="22"/>
        </w:rPr>
        <w:t>, pembrolizumab demonstrated a modest but clinically meaningful long-term survival advantage over carboplatin-based chemotherapy</w:t>
      </w:r>
      <w:r w:rsidR="00F85F7D">
        <w:rPr>
          <w:rFonts w:ascii="Arial" w:hAnsi="Arial" w:cs="Arial"/>
          <w:sz w:val="22"/>
          <w:szCs w:val="22"/>
        </w:rPr>
        <w:t>, especially among those that are lower risk</w:t>
      </w:r>
      <w:r w:rsidRPr="003E7DB0">
        <w:rPr>
          <w:rFonts w:ascii="Arial" w:hAnsi="Arial" w:cs="Arial"/>
          <w:sz w:val="22"/>
          <w:szCs w:val="22"/>
        </w:rPr>
        <w:t xml:space="preserve">. </w:t>
      </w:r>
      <w:r w:rsidRPr="003E7DB0">
        <w:rPr>
          <w:rFonts w:ascii="Arial" w:hAnsi="Arial" w:cs="Arial"/>
          <w:sz w:val="22"/>
          <w:szCs w:val="22"/>
        </w:rPr>
        <w:t>Contrary to expectations, patients with traditionally unfavorable characteristics, including advanced age and de novo metastatic disease at diagnosis</w:t>
      </w:r>
      <w:r w:rsidRPr="003E7DB0">
        <w:rPr>
          <w:rFonts w:ascii="Arial" w:hAnsi="Arial" w:cs="Arial"/>
          <w:sz w:val="22"/>
          <w:szCs w:val="22"/>
        </w:rPr>
        <w:t xml:space="preserve">, appeared to have some of the most pronounced benefits from pembrolizumab. </w:t>
      </w:r>
      <w:r w:rsidR="00F85F7D">
        <w:rPr>
          <w:rFonts w:ascii="Arial" w:eastAsia="Times New Roman" w:hAnsi="Arial" w:cs="Arial"/>
          <w:color w:val="000000"/>
          <w:sz w:val="22"/>
          <w:szCs w:val="22"/>
        </w:rPr>
        <w:t xml:space="preserve">These findings </w:t>
      </w:r>
      <w:r w:rsidR="00F85F7D" w:rsidRPr="003662EE">
        <w:rPr>
          <w:rFonts w:ascii="Arial" w:eastAsia="Times New Roman" w:hAnsi="Arial" w:cs="Arial"/>
          <w:color w:val="000000"/>
          <w:sz w:val="22"/>
          <w:szCs w:val="22"/>
        </w:rPr>
        <w:t xml:space="preserve">support exploration of sequenced or combination approaches incorporating both chemotherapy and </w:t>
      </w:r>
      <w:r w:rsidR="00F85F7D">
        <w:rPr>
          <w:rFonts w:ascii="Arial" w:eastAsia="Times New Roman" w:hAnsi="Arial" w:cs="Arial"/>
          <w:color w:val="000000"/>
          <w:sz w:val="22"/>
          <w:szCs w:val="22"/>
        </w:rPr>
        <w:t>immune checkpoint inhibitor</w:t>
      </w:r>
      <w:r w:rsidR="00F85F7D" w:rsidRPr="003662EE">
        <w:rPr>
          <w:rFonts w:ascii="Arial" w:eastAsia="Times New Roman" w:hAnsi="Arial" w:cs="Arial"/>
          <w:color w:val="000000"/>
          <w:sz w:val="22"/>
          <w:szCs w:val="22"/>
        </w:rPr>
        <w:t xml:space="preserve"> to provide immediate disease control while allowing time for </w:t>
      </w:r>
      <w:r w:rsidR="00F85F7D">
        <w:rPr>
          <w:rFonts w:ascii="Arial" w:eastAsia="Times New Roman" w:hAnsi="Arial" w:cs="Arial"/>
          <w:color w:val="000000"/>
          <w:sz w:val="22"/>
          <w:szCs w:val="22"/>
        </w:rPr>
        <w:t xml:space="preserve">the delayed </w:t>
      </w:r>
      <w:r w:rsidR="00F85F7D" w:rsidRPr="003662EE">
        <w:rPr>
          <w:rFonts w:ascii="Arial" w:eastAsia="Times New Roman" w:hAnsi="Arial" w:cs="Arial"/>
          <w:color w:val="000000"/>
          <w:sz w:val="22"/>
          <w:szCs w:val="22"/>
        </w:rPr>
        <w:t>immunotherapy-mediated effects to emerge.</w:t>
      </w:r>
    </w:p>
    <w:p w14:paraId="1C8CBDD3" w14:textId="796BA9C9" w:rsidR="00F85F7D" w:rsidRPr="003E7DB0" w:rsidRDefault="003E7DB0" w:rsidP="003E7DB0">
      <w:pPr>
        <w:spacing w:line="276" w:lineRule="auto"/>
        <w:rPr>
          <w:rFonts w:ascii="Arial" w:hAnsi="Arial" w:cs="Arial"/>
          <w:sz w:val="22"/>
          <w:szCs w:val="22"/>
        </w:rPr>
      </w:pPr>
      <w:r w:rsidRPr="003E7DB0">
        <w:rPr>
          <w:rFonts w:ascii="Arial" w:hAnsi="Arial" w:cs="Arial"/>
          <w:sz w:val="22"/>
          <w:szCs w:val="22"/>
        </w:rPr>
        <w:t xml:space="preserve">The most significant limitation or our study was that </w:t>
      </w:r>
      <w:r w:rsidRPr="003E7DB0">
        <w:rPr>
          <w:rFonts w:ascii="Arial" w:hAnsi="Arial" w:cs="Arial"/>
          <w:sz w:val="22"/>
          <w:szCs w:val="22"/>
        </w:rPr>
        <w:t xml:space="preserve">PD-L1 testing was performed in less than 3% of patients in our cohort, preventing </w:t>
      </w:r>
      <w:r>
        <w:rPr>
          <w:rFonts w:ascii="Arial" w:hAnsi="Arial" w:cs="Arial"/>
          <w:sz w:val="22"/>
          <w:szCs w:val="22"/>
        </w:rPr>
        <w:t xml:space="preserve">meaningful </w:t>
      </w:r>
      <w:r w:rsidR="00F85F7D">
        <w:rPr>
          <w:rFonts w:ascii="Arial" w:hAnsi="Arial" w:cs="Arial"/>
          <w:sz w:val="22"/>
          <w:szCs w:val="22"/>
        </w:rPr>
        <w:t>use</w:t>
      </w:r>
      <w:r w:rsidRPr="003E7DB0">
        <w:rPr>
          <w:rFonts w:ascii="Arial" w:hAnsi="Arial" w:cs="Arial"/>
          <w:sz w:val="22"/>
          <w:szCs w:val="22"/>
        </w:rPr>
        <w:t xml:space="preserve"> of this established biomarker into our analyses. Given the known relationship between PD-L1 expression and </w:t>
      </w:r>
      <w:r w:rsidRPr="003E7DB0">
        <w:rPr>
          <w:rFonts w:ascii="Arial" w:hAnsi="Arial" w:cs="Arial"/>
          <w:sz w:val="22"/>
          <w:szCs w:val="22"/>
        </w:rPr>
        <w:t>immune checkpoint inhibitor</w:t>
      </w:r>
      <w:r w:rsidRPr="003E7DB0">
        <w:rPr>
          <w:rFonts w:ascii="Arial" w:hAnsi="Arial" w:cs="Arial"/>
          <w:sz w:val="22"/>
          <w:szCs w:val="22"/>
        </w:rPr>
        <w:t xml:space="preserve"> response, this represents a substantial constraint on our ability to identify optimal treatment candidates.</w:t>
      </w:r>
    </w:p>
    <w:p w14:paraId="58F2EDB9" w14:textId="77777777" w:rsidR="00FC0E34" w:rsidRPr="003662EE" w:rsidRDefault="00000000" w:rsidP="00EF0EB0">
      <w:pPr>
        <w:spacing w:line="276" w:lineRule="auto"/>
      </w:pPr>
    </w:p>
    <w:sectPr w:rsidR="00FC0E34" w:rsidRPr="003662E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75F"/>
    <w:rsid w:val="00017551"/>
    <w:rsid w:val="00032170"/>
    <w:rsid w:val="0005299C"/>
    <w:rsid w:val="001A4334"/>
    <w:rsid w:val="003662EE"/>
    <w:rsid w:val="003E7DB0"/>
    <w:rsid w:val="00624C70"/>
    <w:rsid w:val="00754B6F"/>
    <w:rsid w:val="00811AB6"/>
    <w:rsid w:val="00BB775F"/>
    <w:rsid w:val="00E01F3D"/>
    <w:rsid w:val="00EF0EB0"/>
    <w:rsid w:val="00F4092F"/>
    <w:rsid w:val="00F85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8FA2D4"/>
  <w15:chartTrackingRefBased/>
  <w15:docId w15:val="{84DDDBC9-0922-7D45-A7F2-64345BA1D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662EE"/>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880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1366</TotalTime>
  <Pages>3</Pages>
  <Words>1172</Words>
  <Characters>7303</Characters>
  <Application>Microsoft Office Word</Application>
  <DocSecurity>0</DocSecurity>
  <Lines>123</Lines>
  <Paragraphs>21</Paragraphs>
  <ScaleCrop>false</ScaleCrop>
  <Company/>
  <LinksUpToDate>false</LinksUpToDate>
  <CharactersWithSpaces>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Orcutt</dc:creator>
  <cp:keywords/>
  <dc:description/>
  <cp:lastModifiedBy>Xavier Orcutt</cp:lastModifiedBy>
  <cp:revision>12</cp:revision>
  <dcterms:created xsi:type="dcterms:W3CDTF">2025-04-28T02:47:00Z</dcterms:created>
  <dcterms:modified xsi:type="dcterms:W3CDTF">2025-05-18T22:59:00Z</dcterms:modified>
</cp:coreProperties>
</file>