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F53D9C">
      <w:pPr>
        <w:pStyle w:val="12"/>
        <w:jc w:val="left"/>
      </w:pPr>
      <w:r>
        <w:t>A贝服务协议</w:t>
      </w:r>
    </w:p>
    <w:p w14:paraId="56132032">
      <w:pPr>
        <w:jc w:val="left"/>
      </w:pPr>
      <w:r>
        <w:t>《A贝服务协议》（以下简称“本协议”）基于《AETRIX用户服务协议》以及AETRIX发布的其他相关协议规范（以下统称“AETRIX服务条款”）制定；同时，AETRIX不时发布的关于A贝的协议、规则、声明、公告、政策等也是本协议的一部分。</w:t>
      </w:r>
      <w:r>
        <w:rPr>
          <w:b/>
          <w:bCs/>
        </w:rPr>
        <w:t>您在使用A贝服务的同时应遵守本协议、AETRIX服务条款及前述相关协议、规则、声明、公告、政策、活动规则等所有条款及后续修改。</w:t>
      </w:r>
    </w:p>
    <w:p w14:paraId="51F10ECB">
      <w:pPr>
        <w:jc w:val="left"/>
      </w:pPr>
      <w:r>
        <w:t>您使用A贝服务前应当阅读并理解本协议，</w:t>
      </w:r>
      <w:r>
        <w:rPr>
          <w:b/>
          <w:bCs/>
        </w:rPr>
        <w:t>本协议中与您的权益（可能）存在重大关系的条款（包括免除其他方责任的条款、限制权利的条款、约定的争议解决方式及司法管辖条款等），AETRIX已采用字体加粗的方式来特别提醒您，请您留意重点查阅。</w:t>
      </w:r>
    </w:p>
    <w:p w14:paraId="69E5C23A">
      <w:pPr>
        <w:jc w:val="left"/>
      </w:pPr>
      <w:r>
        <w:rPr>
          <w:b/>
          <w:bCs/>
        </w:rPr>
        <w:t>根据国家法律法规、监管政策及行业规范变化、互联网高速发展态势及服务运营需要，AETRIX有权修改、替换、升级A贝服务，同时据实修改相关协议条款以覆盖您与AETRIX的所有权利与义务，并提前向用户进行公示（包括但不限于弹窗、邮件、站内信、系统通知、平台通知、网站公告、功能页面提示等方式）。前述修改的协议条款自公示期满之日起生效。如果您不同意或者不接受A贝服务的修改、替代、升级，有权拒绝、停止、取消使用A贝服务。如用户继续使用A贝服务（包括但不限于点击购买、支付等），将视为知悉变动内容并同意接受。</w:t>
      </w:r>
    </w:p>
    <w:p w14:paraId="014BE6F4">
      <w:pPr>
        <w:jc w:val="left"/>
      </w:pPr>
      <w:r>
        <w:rPr>
          <w:b/>
          <w:bCs/>
        </w:rPr>
        <w:t>您购买和/或使用A贝时，可能会因为您使用的软件版本、设备、操作系统等不同以及第三方原因造成差别，由此可能给您带来的不便，您表示理解，并不会因此向AETRIX提出任何主张或追究AETRIX任何责任。</w:t>
      </w:r>
    </w:p>
    <w:p w14:paraId="0B0FF689">
      <w:pPr>
        <w:jc w:val="left"/>
      </w:pPr>
      <w:r>
        <w:rPr>
          <w:b/>
          <w:bCs/>
        </w:rPr>
        <w:t>特别提示：如您尚未成年，请在法定监护人的陪同下阅读和判断是否同意本协议，请特别注意未成年人条款。未成年人行使和履行本协议项下的权利和义务视为已获得法定监护人的认可。</w:t>
      </w:r>
    </w:p>
    <w:p w14:paraId="4B1507E0">
      <w:pPr>
        <w:jc w:val="left"/>
      </w:pPr>
    </w:p>
    <w:p w14:paraId="1FEA8422">
      <w:pPr>
        <w:pStyle w:val="4"/>
        <w:jc w:val="left"/>
      </w:pPr>
      <w:r>
        <w:rPr>
          <w:b/>
          <w:bCs/>
        </w:rPr>
        <w:t>一、A贝</w:t>
      </w:r>
    </w:p>
    <w:p w14:paraId="491DBEEA">
      <w:pPr>
        <w:jc w:val="left"/>
      </w:pPr>
      <w:r>
        <w:t>1. A贝系AETRIX为您提供的数字化商品，用于兑换AETRIX平台上的各种虚拟产品和增值服务。</w:t>
      </w:r>
    </w:p>
    <w:p w14:paraId="0757C436">
      <w:pPr>
        <w:jc w:val="left"/>
      </w:pPr>
      <w:r>
        <w:t xml:space="preserve">2. </w:t>
      </w:r>
      <w:r>
        <w:rPr>
          <w:b/>
          <w:bCs/>
        </w:rPr>
        <w:t>您知悉并理解，A贝属于在线交付的数字化商品，A贝的购买费用系数字化商品价格，而不具有预付款性质或者定金、储值等性质，A贝购买成功后不可转让或逆向兑换（本协议另有约定的情形、因A贝服务存在重大瑕疵导致您完全无法使用等AETRIX违约的情形、法律法规要求必须退款的情形或经AETRIX判断后认为可以退款的情形除外）。</w:t>
      </w:r>
    </w:p>
    <w:p w14:paraId="284B1BF0">
      <w:pPr>
        <w:jc w:val="left"/>
      </w:pPr>
      <w:r>
        <w:t xml:space="preserve">3. </w:t>
      </w:r>
      <w:r>
        <w:rPr>
          <w:b/>
          <w:bCs/>
        </w:rPr>
        <w:t>您不得以营利等非个人使用目的获取/使用A贝，或通过赠与、出借、转让、销售、抵押、许可他人使用等方式获取/处置A贝。</w:t>
      </w:r>
    </w:p>
    <w:p w14:paraId="6A906594">
      <w:pPr>
        <w:jc w:val="left"/>
      </w:pPr>
      <w:r>
        <w:t xml:space="preserve">4. </w:t>
      </w:r>
      <w:r>
        <w:rPr>
          <w:b/>
          <w:bCs/>
        </w:rPr>
        <w:t>A贝和人民币的兑换比例为1：1。A贝在任何情况下都不能逆向兑换成人民币或其他法定货币，请您根据自己的实际需求购买相应数量的A贝。</w:t>
      </w:r>
    </w:p>
    <w:p w14:paraId="433347BC">
      <w:pPr>
        <w:jc w:val="left"/>
      </w:pPr>
    </w:p>
    <w:p w14:paraId="14D63351">
      <w:pPr>
        <w:pStyle w:val="4"/>
        <w:jc w:val="left"/>
      </w:pPr>
      <w:r>
        <w:rPr>
          <w:b/>
          <w:bCs/>
        </w:rPr>
        <w:t>二、A贝服务</w:t>
      </w:r>
    </w:p>
    <w:p w14:paraId="45FD0C4F">
      <w:pPr>
        <w:jc w:val="left"/>
      </w:pPr>
      <w:r>
        <w:t>1. AETRIX将为您提供与购买、兑换和/或管理A贝有关的网络增值服务，包括但不限于提供A贝的购买以及兑换服务、账户管理页面、交易明细查询服务等（以下简称“A贝服务”）。A贝服务的具体内容请以相关页面的信息为准。</w:t>
      </w:r>
    </w:p>
    <w:p w14:paraId="3AAAE39C">
      <w:pPr>
        <w:jc w:val="left"/>
      </w:pPr>
      <w:r>
        <w:t>2. 您同意以AETRIX留存的交易记录作为A贝购买和/或兑换的唯一有效依据，如您对AETRIX留存的交易记录有异议，您应立即向AETRIX提出，AETRIX经核对后发现确有错误的，将予以改正。</w:t>
      </w:r>
    </w:p>
    <w:p w14:paraId="003FB9BF">
      <w:pPr>
        <w:jc w:val="left"/>
      </w:pPr>
      <w:r>
        <w:t>3. 如您的AETRIX账号或A贝账户存在异常情形，您可以联系客服挂失或冻结您的A贝账户。此时，AETRIX需要您提供AETRIX账号的注册信息以完成身份核验。</w:t>
      </w:r>
      <w:r>
        <w:rPr>
          <w:b/>
          <w:bCs/>
        </w:rPr>
        <w:t>您理解并确认，由于技术局限，AETRIX无法保证身份核验的准确性和真实性。</w:t>
      </w:r>
    </w:p>
    <w:p w14:paraId="41CA5579">
      <w:pPr>
        <w:jc w:val="left"/>
      </w:pPr>
    </w:p>
    <w:p w14:paraId="734E1F7F">
      <w:pPr>
        <w:pStyle w:val="4"/>
        <w:jc w:val="left"/>
      </w:pPr>
      <w:r>
        <w:rPr>
          <w:b/>
          <w:bCs/>
        </w:rPr>
        <w:t>三、A贝使用规则</w:t>
      </w:r>
    </w:p>
    <w:p w14:paraId="183D37B5">
      <w:pPr>
        <w:jc w:val="left"/>
      </w:pPr>
      <w:r>
        <w:t>1. 您应通过AETRIX官方接入、授权的支付渠道（包括但不限于银行卡、支付宝、微信、网银等，具体购买方式以AETRIX实际展示为准），依约支付相应费用后购买A贝。</w:t>
      </w:r>
    </w:p>
    <w:p w14:paraId="268CC876">
      <w:pPr>
        <w:jc w:val="left"/>
      </w:pPr>
      <w:r>
        <w:rPr>
          <w:b/>
          <w:bCs/>
        </w:rPr>
        <w:t>您知悉并理解，不同支付渠道的渠道商可能根据其制定的渠道政策向您收取渠道费，购买费用可能因购买渠道政策不同而产生差异，请您注意各购买渠道的渠道费，并根据自身需要选取购买渠道。</w:t>
      </w:r>
    </w:p>
    <w:p w14:paraId="754E2CC8">
      <w:pPr>
        <w:jc w:val="left"/>
      </w:pPr>
      <w:r>
        <w:t xml:space="preserve">2. </w:t>
      </w:r>
      <w:r>
        <w:rPr>
          <w:b/>
          <w:bCs/>
        </w:rPr>
        <w:t>您必须为绑定的支付渠道账户开户人/持有人，可合法、有效使用该账户且未侵犯任何第三方权益，否则因此造成支付账户实际所有人损失的，应由您单独负责解决由此产生的纠纷并承担全部法律责任。</w:t>
      </w:r>
    </w:p>
    <w:p w14:paraId="1FA85C4E">
      <w:pPr>
        <w:jc w:val="left"/>
      </w:pPr>
      <w:r>
        <w:t>3. 您应在购买A贝时仔细确认账号、支付账户、购买数量、购买费用等交易信息准确无误，</w:t>
      </w:r>
      <w:r>
        <w:rPr>
          <w:b/>
          <w:bCs/>
        </w:rPr>
        <w:t>如因您自身原因（包括但不限于账号错误、支付账户错误、操作不当、账号/支付账户存在异常情况等）导致的任何损失应由您自行承担。</w:t>
      </w:r>
    </w:p>
    <w:p w14:paraId="51551EE8">
      <w:pPr>
        <w:jc w:val="left"/>
      </w:pPr>
      <w:r>
        <w:t xml:space="preserve">4. </w:t>
      </w:r>
      <w:r>
        <w:rPr>
          <w:b/>
          <w:bCs/>
        </w:rPr>
        <w:t>您知悉并同意，如因AETRIX或购买渠道原因造成您购买失实并经AETRIX查证属实的，AETRIX将根据查证情形采取如下措施：</w:t>
      </w:r>
    </w:p>
    <w:p w14:paraId="61CBAF20">
      <w:pPr>
        <w:jc w:val="left"/>
      </w:pPr>
      <w:r>
        <w:t>（1） 购买获得的A贝数量小于您实际购买数量的，AETRIX予以补其差额；</w:t>
      </w:r>
    </w:p>
    <w:p w14:paraId="6B9F6324">
      <w:pPr>
        <w:jc w:val="left"/>
      </w:pPr>
      <w:r>
        <w:t>（2） 购买获得的A贝数量大于您实际购买数量的，AETRIX有权追回差额；</w:t>
      </w:r>
    </w:p>
    <w:p w14:paraId="459BEE40">
      <w:pPr>
        <w:jc w:val="left"/>
      </w:pPr>
      <w:r>
        <w:t xml:space="preserve">（3） </w:t>
      </w:r>
      <w:r>
        <w:rPr>
          <w:b/>
          <w:bCs/>
        </w:rPr>
        <w:t>因渠道商收取渠道费等原因导致不同渠道获得的A贝在兑换虚拟道具和增值服务时存在数量差异的，不属于购买失实。</w:t>
      </w:r>
    </w:p>
    <w:p w14:paraId="5AD45A76">
      <w:pPr>
        <w:jc w:val="left"/>
      </w:pPr>
    </w:p>
    <w:p w14:paraId="2865BC90">
      <w:pPr>
        <w:pStyle w:val="4"/>
        <w:jc w:val="left"/>
      </w:pPr>
      <w:r>
        <w:rPr>
          <w:b/>
          <w:bCs/>
        </w:rPr>
        <w:t>四、免责事由</w:t>
      </w:r>
    </w:p>
    <w:p w14:paraId="3227DEE3">
      <w:pPr>
        <w:jc w:val="left"/>
      </w:pPr>
      <w:r>
        <w:t xml:space="preserve">1. </w:t>
      </w:r>
      <w:r>
        <w:rPr>
          <w:b/>
          <w:bCs/>
        </w:rPr>
        <w:t>AETRIX将尽最大努力为您提供与A贝服务相关支持，但由于技术局限，AETRIX无法保证网络服务一定能满足您的要求（包括但不限于网络服务的及时性、安全性、准确性）。</w:t>
      </w:r>
    </w:p>
    <w:p w14:paraId="2DBE2D4A">
      <w:pPr>
        <w:jc w:val="left"/>
      </w:pPr>
      <w:r>
        <w:t xml:space="preserve">2. </w:t>
      </w:r>
      <w:r>
        <w:rPr>
          <w:b/>
          <w:bCs/>
        </w:rPr>
        <w:t>因下述不可抗力及不可归责于AETRIX的原因而产生的损失，AETRIX不承担任何责任，但将尽力减少因此而给您造成的损失和影响：</w:t>
      </w:r>
    </w:p>
    <w:p w14:paraId="2B5BD359">
      <w:pPr>
        <w:jc w:val="left"/>
      </w:pPr>
      <w:r>
        <w:t>（1） 因台风、地震、海啸、洪水、停电、战争、恐怖袭击等不可抗力之因素导致购买系统或服务不能正常运作；</w:t>
      </w:r>
    </w:p>
    <w:p w14:paraId="4C5FF327">
      <w:pPr>
        <w:jc w:val="left"/>
      </w:pPr>
      <w:r>
        <w:t xml:space="preserve">（2） </w:t>
      </w:r>
      <w:r>
        <w:rPr>
          <w:b/>
          <w:bCs/>
        </w:rPr>
        <w:t>鉴于互联网之特殊性质，不可抗力亦包括黑客攻击、电信部门技术调整导致之重大影响、因政府管制导致的暂时关闭、病毒侵袭等影响互联网正常运行之情形</w:t>
      </w:r>
      <w:r>
        <w:t>；</w:t>
      </w:r>
    </w:p>
    <w:p w14:paraId="19020716">
      <w:pPr>
        <w:jc w:val="left"/>
      </w:pPr>
      <w:r>
        <w:t>（3） 由于政府命令、法律法规的变更、司法机关及行政机关的命令、裁定等原因而导致的系统服务中断、终止或延迟；</w:t>
      </w:r>
    </w:p>
    <w:p w14:paraId="36278EED">
      <w:pPr>
        <w:jc w:val="left"/>
      </w:pPr>
      <w:r>
        <w:t>（4） 由于与AETRIX链接或合作的其它网站（如网上银行等）所造成的银行账户信息、身份信息泄露及由此而导致的任何法律争议和后果；</w:t>
      </w:r>
    </w:p>
    <w:p w14:paraId="7B1F748D">
      <w:pPr>
        <w:jc w:val="left"/>
      </w:pPr>
      <w:r>
        <w:t>（5） 如因系统维护或升级的需要而需暂停A贝服务时；</w:t>
      </w:r>
    </w:p>
    <w:p w14:paraId="3C562456">
      <w:pPr>
        <w:jc w:val="left"/>
      </w:pPr>
      <w:r>
        <w:t>（6） 其他不应归责于AETRIX的原因导致的损失。</w:t>
      </w:r>
    </w:p>
    <w:p w14:paraId="781B3250">
      <w:pPr>
        <w:jc w:val="left"/>
      </w:pPr>
      <w:r>
        <w:t xml:space="preserve">3. </w:t>
      </w:r>
      <w:r>
        <w:rPr>
          <w:b/>
          <w:bCs/>
        </w:rPr>
        <w:t>因您自身的原因而产生的任何损失，由您自行负责，AETRIX不承担责任，包括但不限于：</w:t>
      </w:r>
    </w:p>
    <w:p w14:paraId="69DD4965">
      <w:pPr>
        <w:jc w:val="left"/>
      </w:pPr>
      <w:r>
        <w:t>（1） 您未妥善保管您的AETRIX账号信息（包括但不限于您告知他人账号密码或与他人共享账号等情形）导致的损失；</w:t>
      </w:r>
    </w:p>
    <w:p w14:paraId="049D5637">
      <w:pPr>
        <w:jc w:val="left"/>
      </w:pPr>
      <w:r>
        <w:t>（2） 您（包括未成年人用户）向AETRIX提供错误、不完整、不实信息等，造成不能使用或无法正常使用A贝服务；</w:t>
      </w:r>
    </w:p>
    <w:p w14:paraId="43BED09F">
      <w:pPr>
        <w:jc w:val="left"/>
      </w:pPr>
      <w:r>
        <w:t>（3） 您未按照本协议或AETRIX不时公布的任何规则进行操作；</w:t>
      </w:r>
    </w:p>
    <w:p w14:paraId="634C9237">
      <w:pPr>
        <w:jc w:val="left"/>
      </w:pPr>
      <w:r>
        <w:t>（4） 您的AETRIX账号失效、丢失、被封停；</w:t>
      </w:r>
    </w:p>
    <w:p w14:paraId="20F5BCF2">
      <w:pPr>
        <w:jc w:val="left"/>
      </w:pPr>
      <w:r>
        <w:t>（5） 您绑定的第三方支付机构账户的原因导致的损失或责任，包括您使用未经认证的第三方支付账户或使用非您本人的第三方支付账户，您的第三方支付账户被冻结、查封等；</w:t>
      </w:r>
    </w:p>
    <w:p w14:paraId="4E0091AD">
      <w:pPr>
        <w:jc w:val="left"/>
      </w:pPr>
      <w:r>
        <w:t>（6） 其他因您自身原因导致的损失。</w:t>
      </w:r>
    </w:p>
    <w:p w14:paraId="62003CCD">
      <w:pPr>
        <w:jc w:val="left"/>
      </w:pPr>
      <w:r>
        <w:t xml:space="preserve">4. </w:t>
      </w:r>
      <w:r>
        <w:rPr>
          <w:b/>
          <w:bCs/>
        </w:rPr>
        <w:t>AETRIX对于非经AETRIX指定途径/渠道获得的A贝服务不承担任何义务和/或法律责任。</w:t>
      </w:r>
    </w:p>
    <w:p w14:paraId="40267DF7">
      <w:pPr>
        <w:jc w:val="left"/>
      </w:pPr>
    </w:p>
    <w:p w14:paraId="04ADE9D1">
      <w:pPr>
        <w:pStyle w:val="4"/>
        <w:jc w:val="left"/>
      </w:pPr>
      <w:r>
        <w:rPr>
          <w:b/>
          <w:bCs/>
        </w:rPr>
        <w:t>五、协议变更、中止及终止</w:t>
      </w:r>
    </w:p>
    <w:p w14:paraId="5A7889C5">
      <w:pPr>
        <w:jc w:val="left"/>
      </w:pPr>
      <w:r>
        <w:t xml:space="preserve">1. </w:t>
      </w:r>
      <w:r>
        <w:rPr>
          <w:b/>
          <w:bCs/>
        </w:rPr>
        <w:t>AETRIX有权根据国家法律法规、监管政策及行业规范变化、互联网高速发展态势及服务运营需要，单方变更、中止、终止A贝服务或本协议内容。</w:t>
      </w:r>
    </w:p>
    <w:p w14:paraId="7100CB91">
      <w:pPr>
        <w:jc w:val="left"/>
      </w:pPr>
      <w:r>
        <w:t xml:space="preserve">2. </w:t>
      </w:r>
      <w:r>
        <w:rPr>
          <w:b/>
          <w:bCs/>
        </w:rPr>
        <w:t>前述协议内容将在相关页面公布以提前向用户进行公示，并自公示期满之日起生效。同时AETRIX将以适当的方式（包括但不限于弹窗、邮件、站内信、系统通知、平台通知、网站公告、功能页面提示等）提醒您更新后的内容，以便您及时了解本协议的最新版本。</w:t>
      </w:r>
    </w:p>
    <w:p w14:paraId="274D48F3">
      <w:pPr>
        <w:jc w:val="left"/>
      </w:pPr>
      <w:r>
        <w:t xml:space="preserve">3. </w:t>
      </w:r>
      <w:r>
        <w:rPr>
          <w:b/>
          <w:bCs/>
        </w:rPr>
        <w:t>您理解并同意，如存在以下情形，AETRIX有权单方中止或终止本协议，或单方决定中止或终止向您提供全部或部分A贝服务，上述权利的行使无期限限制：</w:t>
      </w:r>
    </w:p>
    <w:p w14:paraId="2E69B212">
      <w:pPr>
        <w:jc w:val="left"/>
      </w:pPr>
      <w:r>
        <w:t>（1） 您利用AETRIX、购买渠道或其他第三方的软件/网站/规则漏洞，通过正当或非正当手段获得A贝和/或A贝服务；</w:t>
      </w:r>
    </w:p>
    <w:p w14:paraId="3309076D">
      <w:pPr>
        <w:jc w:val="left"/>
      </w:pPr>
      <w:r>
        <w:t>（2） 您通过任何机器人软件、蜘蛛软件、爬虫软件、刷屏软件等任何程序、软件方式更改A贝数量、A贝购买费用等信息；</w:t>
      </w:r>
    </w:p>
    <w:p w14:paraId="443FFDBD">
      <w:pPr>
        <w:jc w:val="left"/>
      </w:pPr>
      <w:r>
        <w:t>（3） 您存在或AETRIX经独立判断后认为您存在任何违反国家法律法规、本协议、AETRIX服务条款、公序良俗和/或有损AETRIX和/或其他第三方合法权益的行为的；</w:t>
      </w:r>
    </w:p>
    <w:p w14:paraId="408BA79F">
      <w:pPr>
        <w:jc w:val="left"/>
      </w:pPr>
      <w:r>
        <w:t>（4） 根据法律法规、监管政策的规定或有权机关的要求；</w:t>
      </w:r>
    </w:p>
    <w:p w14:paraId="29628651">
      <w:pPr>
        <w:jc w:val="left"/>
      </w:pPr>
      <w:r>
        <w:t>（5） 不可抗力（鉴于互联网之特殊性质，不可抗力亦包括黑客攻击、电信部门技术调整导致之重大影响、因政府管制导致的暂时关闭、病毒侵袭等影响互联网正常运行之情形）；</w:t>
      </w:r>
    </w:p>
    <w:p w14:paraId="15E657D7">
      <w:pPr>
        <w:jc w:val="left"/>
      </w:pPr>
      <w:r>
        <w:t>（6） 为维护账号与系统安全等紧急情况之需要的；</w:t>
      </w:r>
    </w:p>
    <w:p w14:paraId="6F7F90AE">
      <w:pPr>
        <w:jc w:val="left"/>
      </w:pPr>
      <w:r>
        <w:t>（7） 其他可能导致中止或终止的情形。</w:t>
      </w:r>
    </w:p>
    <w:p w14:paraId="0B80C035">
      <w:pPr>
        <w:jc w:val="left"/>
      </w:pPr>
      <w:r>
        <w:t xml:space="preserve">4. </w:t>
      </w:r>
      <w:r>
        <w:rPr>
          <w:b/>
          <w:bCs/>
        </w:rPr>
        <w:t>如发生前述中止或终止的，AETRIX将根据相关法律法规，视情况对您账号内尚未使用的A贝进行合理处理。</w:t>
      </w:r>
    </w:p>
    <w:p w14:paraId="00E9C1C5">
      <w:pPr>
        <w:jc w:val="left"/>
      </w:pPr>
      <w:r>
        <w:t xml:space="preserve">5. </w:t>
      </w:r>
      <w:r>
        <w:rPr>
          <w:b/>
          <w:bCs/>
        </w:rPr>
        <w:t>如因您违反本协议导致前述中止或终止的，AETRIX有权依据您行为的性质和严重程度决定对您或您的账号采取下述一种或多种处理方式：</w:t>
      </w:r>
    </w:p>
    <w:p w14:paraId="10DA5A4F">
      <w:pPr>
        <w:jc w:val="left"/>
      </w:pPr>
      <w:r>
        <w:t>（1） 视情况对您的账号采取永久封禁、限制功能等措施；</w:t>
      </w:r>
    </w:p>
    <w:p w14:paraId="36034C8D">
      <w:pPr>
        <w:jc w:val="left"/>
      </w:pPr>
      <w:r>
        <w:t>（2） 对您账号的A贝服务进行临时冻结，冻结期限由AETRIX视情况决定；</w:t>
      </w:r>
    </w:p>
    <w:p w14:paraId="6101B650">
      <w:pPr>
        <w:jc w:val="left"/>
      </w:pPr>
      <w:r>
        <w:t>（3） 收取违约金，并将您尚未使用的任何A贝、费用、积分、权益或虚拟商品等冲抵违约金，若违约金不足以赔偿损失，AETRIX有权进一步要求您赔偿损失；</w:t>
      </w:r>
    </w:p>
    <w:p w14:paraId="02E6A413">
      <w:pPr>
        <w:jc w:val="left"/>
      </w:pPr>
      <w:r>
        <w:t>（4） 若您的行为已涉及违法犯罪，AETRIX有权移交行政或司法机关处理。</w:t>
      </w:r>
    </w:p>
    <w:p w14:paraId="5275712A">
      <w:pPr>
        <w:jc w:val="left"/>
      </w:pPr>
      <w:r>
        <w:t xml:space="preserve">6. </w:t>
      </w:r>
      <w:r>
        <w:rPr>
          <w:b/>
          <w:bCs/>
        </w:rPr>
        <w:t>除法律法规另有规定或AETRIX另有说明外，AETRIX无须向您和/或第三人承担任何责任。</w:t>
      </w:r>
    </w:p>
    <w:p w14:paraId="23BB7BEB">
      <w:pPr>
        <w:jc w:val="left"/>
      </w:pPr>
    </w:p>
    <w:p w14:paraId="2C72B347">
      <w:pPr>
        <w:pStyle w:val="4"/>
        <w:jc w:val="left"/>
      </w:pPr>
      <w:r>
        <w:rPr>
          <w:b/>
          <w:bCs/>
        </w:rPr>
        <w:t>六、未成年人保护</w:t>
      </w:r>
    </w:p>
    <w:p w14:paraId="1C30A1C5">
      <w:pPr>
        <w:jc w:val="left"/>
      </w:pPr>
      <w:r>
        <w:t>1. AETRIX非常注重未成年人的保护。</w:t>
      </w:r>
      <w:r>
        <w:rPr>
          <w:b/>
          <w:bCs/>
        </w:rPr>
        <w:t>若您为未成年人，应在监护人监护、指导下阅读本协议，并在取得监护人的同意后使用A贝服务。</w:t>
      </w:r>
    </w:p>
    <w:p w14:paraId="7C262456">
      <w:pPr>
        <w:jc w:val="left"/>
      </w:pPr>
      <w:r>
        <w:t>2. 监护人应指导子女上网应该注意的安全问题，防患于未然。若监护人同意未成年人使用A贝服务，应当对未成年人使用A贝服务进行正确引导、监督。</w:t>
      </w:r>
      <w:r>
        <w:rPr>
          <w:b/>
          <w:bCs/>
        </w:rPr>
        <w:t>未成年人使用A贝服务，以及行使和履行本协议项下的权利和义务即视为已获得了监护人的认可。</w:t>
      </w:r>
    </w:p>
    <w:p w14:paraId="1196EB5A">
      <w:pPr>
        <w:jc w:val="left"/>
      </w:pPr>
    </w:p>
    <w:p w14:paraId="11E4750F">
      <w:pPr>
        <w:pStyle w:val="4"/>
        <w:jc w:val="left"/>
      </w:pPr>
      <w:r>
        <w:rPr>
          <w:b/>
          <w:bCs/>
        </w:rPr>
        <w:t>七、其它</w:t>
      </w:r>
      <w:bookmarkStart w:id="0" w:name="_GoBack"/>
      <w:bookmarkEnd w:id="0"/>
    </w:p>
    <w:p w14:paraId="797F625E">
      <w:pPr>
        <w:jc w:val="left"/>
      </w:pPr>
      <w:r>
        <w:t>1. 本协议的成立、生效、履行、解释及纠纷解决，适用中华人民共和国法律。本协议项下因与现行法律冲突而导致部分无效，不影响其他部分的效力。</w:t>
      </w:r>
    </w:p>
    <w:p w14:paraId="119805F6">
      <w:pPr>
        <w:jc w:val="left"/>
      </w:pPr>
      <w:r>
        <w:t xml:space="preserve">2. </w:t>
      </w:r>
      <w:r>
        <w:rPr>
          <w:b/>
          <w:bCs/>
        </w:rPr>
        <w:t>如就本协议内容或执行发生任何争议，应尽量友好协商解决；协商不成时，则争议双方均一致同意将争议提交深圳国际仲裁委员会按照其仲裁规则进行仲裁，仲裁裁决为一裁终局，对争议双方均有法律约束力。</w:t>
      </w:r>
    </w:p>
    <w:p w14:paraId="756F5B13">
      <w:pPr>
        <w:jc w:val="left"/>
      </w:pPr>
      <w:r>
        <w:t>3. 本协议的标题仅为方便及阅读而设，并不影响正文中任何条款的含义或解释</w:t>
      </w:r>
    </w:p>
    <w:sectPr>
      <w:pgSz w:w="11906" w:h="16838"/>
      <w:pgMar w:top="1440" w:right="1803" w:bottom="1440" w:left="1803" w:header="13" w:footer="13" w:gutter="0"/>
      <w:cols w:space="0" w:num="1"/>
      <w:docGrid w:type="lines"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000001"/>
    <w:multiLevelType w:val="singleLevel"/>
    <w:tmpl w:val="20000001"/>
    <w:lvl w:ilvl="0" w:tentative="0">
      <w:start w:val="1"/>
      <w:numFmt w:val="decimal"/>
      <w:pStyle w:val="17"/>
      <w:suff w:val="space"/>
      <w:lvlText w:val="%1 "/>
      <w:lvlJc w:val="right"/>
      <w:rPr>
        <w:rFonts w:ascii="微软雅黑" w:hAnsi="微软雅黑" w:eastAsia="微软雅黑" w:cs="微软雅黑"/>
        <w:color w:val="C0C6CF"/>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42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834A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extAlignment w:val="baseline"/>
    </w:pPr>
    <w:rPr>
      <w:rFonts w:ascii="微软雅黑" w:hAnsi="微软雅黑" w:eastAsia="微软雅黑" w:cs="微软雅黑"/>
      <w:color w:val="080F17"/>
      <w:sz w:val="22"/>
    </w:rPr>
  </w:style>
  <w:style w:type="paragraph" w:styleId="2">
    <w:name w:val="heading 1"/>
    <w:basedOn w:val="1"/>
    <w:qFormat/>
    <w:uiPriority w:val="0"/>
    <w:pPr>
      <w:spacing w:before="390" w:after="120" w:line="634" w:lineRule="exact"/>
      <w:outlineLvl w:val="0"/>
    </w:pPr>
    <w:rPr>
      <w:b/>
      <w:sz w:val="38"/>
    </w:rPr>
  </w:style>
  <w:style w:type="paragraph" w:styleId="3">
    <w:name w:val="heading 2"/>
    <w:basedOn w:val="1"/>
    <w:qFormat/>
    <w:uiPriority w:val="0"/>
    <w:pPr>
      <w:spacing w:before="330" w:after="120" w:line="536" w:lineRule="exact"/>
      <w:outlineLvl w:val="1"/>
    </w:pPr>
    <w:rPr>
      <w:b/>
      <w:sz w:val="32"/>
    </w:rPr>
  </w:style>
  <w:style w:type="paragraph" w:styleId="4">
    <w:name w:val="heading 3"/>
    <w:basedOn w:val="1"/>
    <w:qFormat/>
    <w:uiPriority w:val="0"/>
    <w:pPr>
      <w:spacing w:before="300" w:after="120" w:line="488" w:lineRule="exact"/>
      <w:outlineLvl w:val="2"/>
    </w:pPr>
    <w:rPr>
      <w:b/>
      <w:sz w:val="30"/>
    </w:rPr>
  </w:style>
  <w:style w:type="paragraph" w:styleId="5">
    <w:name w:val="heading 4"/>
    <w:basedOn w:val="1"/>
    <w:qFormat/>
    <w:uiPriority w:val="0"/>
    <w:pPr>
      <w:spacing w:before="270" w:after="120" w:line="439" w:lineRule="exact"/>
      <w:outlineLvl w:val="3"/>
    </w:pPr>
    <w:rPr>
      <w:b/>
      <w:sz w:val="26"/>
    </w:rPr>
  </w:style>
  <w:style w:type="paragraph" w:styleId="6">
    <w:name w:val="heading 5"/>
    <w:basedOn w:val="1"/>
    <w:qFormat/>
    <w:uiPriority w:val="0"/>
    <w:pPr>
      <w:spacing w:before="240" w:after="120" w:line="390" w:lineRule="exact"/>
      <w:outlineLvl w:val="4"/>
    </w:pPr>
    <w:rPr>
      <w:b/>
      <w:sz w:val="22"/>
    </w:rPr>
  </w:style>
  <w:style w:type="paragraph" w:styleId="7">
    <w:name w:val="heading 6"/>
    <w:basedOn w:val="1"/>
    <w:qFormat/>
    <w:uiPriority w:val="0"/>
    <w:pPr>
      <w:spacing w:before="240" w:after="120" w:line="390" w:lineRule="exact"/>
      <w:outlineLvl w:val="5"/>
    </w:pPr>
    <w:rPr>
      <w:b/>
      <w:sz w:val="22"/>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table" w:styleId="9">
    <w:name w:val="Table Grid"/>
    <w:qFormat/>
    <w:uiPriority w:val="0"/>
    <w:tblPr>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left w:w="108" w:type="dxa"/>
        <w:right w:w="108" w:type="dxa"/>
      </w:tblCellMar>
    </w:tblPr>
  </w:style>
  <w:style w:type="character" w:styleId="11">
    <w:name w:val="Hyperlink"/>
    <w:qFormat/>
    <w:uiPriority w:val="0"/>
    <w:rPr>
      <w:color w:val="0A6CFF"/>
      <w:u w:val="single" w:color="0A6CFF"/>
    </w:rPr>
  </w:style>
  <w:style w:type="paragraph" w:customStyle="1" w:styleId="12">
    <w:name w:val="MainTitle"/>
    <w:basedOn w:val="1"/>
    <w:qFormat/>
    <w:uiPriority w:val="0"/>
    <w:pPr>
      <w:pBdr>
        <w:bottom w:val="single" w:color="E2E6ED" w:sz="6" w:space="5"/>
      </w:pBdr>
      <w:spacing w:before="180" w:after="480" w:line="780" w:lineRule="exact"/>
    </w:pPr>
    <w:rPr>
      <w:b/>
      <w:sz w:val="44"/>
    </w:rPr>
  </w:style>
  <w:style w:type="character" w:customStyle="1" w:styleId="13">
    <w:name w:val="DateTime"/>
    <w:qFormat/>
    <w:uiPriority w:val="0"/>
    <w:rPr>
      <w:color w:val="0A6CFF"/>
    </w:rPr>
  </w:style>
  <w:style w:type="paragraph" w:customStyle="1" w:styleId="14">
    <w:name w:val="Blockquote"/>
    <w:basedOn w:val="1"/>
    <w:qFormat/>
    <w:uiPriority w:val="0"/>
    <w:pPr>
      <w:pBdr>
        <w:left w:val="single" w:color="E2E6ED" w:sz="36" w:space="12"/>
      </w:pBdr>
      <w:ind w:left="330" w:firstLine="0"/>
    </w:pPr>
    <w:rPr>
      <w:color w:val="767C85"/>
      <w:sz w:val="22"/>
    </w:rPr>
  </w:style>
  <w:style w:type="character" w:customStyle="1" w:styleId="15">
    <w:name w:val="Code"/>
    <w:qFormat/>
    <w:uiPriority w:val="0"/>
    <w:rPr>
      <w:bdr w:val="single" w:color="E2E6ED" w:sz="6" w:space="0"/>
    </w:rPr>
  </w:style>
  <w:style w:type="character" w:customStyle="1" w:styleId="16">
    <w:name w:val="Emoji"/>
    <w:qFormat/>
    <w:uiPriority w:val="0"/>
    <w:rPr>
      <w:rFonts w:ascii="Segoe UI Emoji" w:hAnsi="Segoe UI Emoji" w:eastAsia="Segoe UI Emoji" w:cs="Segoe UI Emoji"/>
    </w:rPr>
  </w:style>
  <w:style w:type="paragraph" w:customStyle="1" w:styleId="17">
    <w:name w:val="CodeBlock"/>
    <w:basedOn w:val="1"/>
    <w:qFormat/>
    <w:uiPriority w:val="0"/>
    <w:pPr>
      <w:numPr>
        <w:ilvl w:val="0"/>
        <w:numId w:val="1"/>
      </w:numPr>
      <w:pBdr>
        <w:top w:val="single" w:color="E2E6ED" w:sz="6" w:space="8"/>
        <w:left w:val="single" w:color="E2E6ED" w:sz="6" w:space="26"/>
        <w:bottom w:val="single" w:color="E2E6ED" w:sz="6" w:space="8"/>
        <w:right w:val="single" w:color="E2E6ED" w:sz="6" w:space="0"/>
      </w:pBdr>
      <w:shd w:val="clear" w:color="FFFFFF" w:fill="F5F7F9"/>
      <w:spacing w:before="0" w:after="0" w:line="300" w:lineRule="exact"/>
      <w:ind w:left="540" w:firstLine="0"/>
    </w:pPr>
    <w:rPr>
      <w:sz w:val="18"/>
    </w:rPr>
  </w:style>
  <w:style w:type="table" w:customStyle="1" w:styleId="18">
    <w:name w:val="HighlightBlock"/>
    <w:qFormat/>
    <w:uiPriority w:val="0"/>
    <w:tblPr>
      <w:tblBorders>
        <w:top w:val="single" w:color="FEC794" w:sz="6" w:space="0"/>
        <w:left w:val="single" w:color="FEC794" w:sz="6" w:space="0"/>
        <w:bottom w:val="single" w:color="FEC794" w:sz="6" w:space="0"/>
        <w:right w:val="single" w:color="FEC794" w:sz="6" w:space="0"/>
        <w:insideH w:val="single" w:color="FEC794" w:sz="6" w:space="0"/>
        <w:insideV w:val="single" w:color="FEC794" w:sz="6" w:space="0"/>
      </w:tblBorders>
      <w:tblCellMar>
        <w:left w:w="108" w:type="dxa"/>
        <w:right w:w="108" w:type="dxa"/>
      </w:tblCellMar>
    </w:tblPr>
  </w:style>
  <w:style w:type="paragraph" w:customStyle="1" w:styleId="19">
    <w:name w:val="Seperate"/>
    <w:basedOn w:val="1"/>
    <w:qFormat/>
    <w:uiPriority w:val="0"/>
    <w:pPr>
      <w:spacing w:before="0" w:after="0" w:line="120" w:lineRule="exact"/>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3768</Words>
  <Characters>4085</Characters>
  <TotalTime>5</TotalTime>
  <ScaleCrop>false</ScaleCrop>
  <LinksUpToDate>false</LinksUpToDate>
  <CharactersWithSpaces>4137</CharactersWithSpaces>
  <Application>WPS Office_12.1.0.18898_F1E327BC-269C-435d-A152-05C5408002CA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2025-04-07T15:15:00Z</dcterms:created>
  <dc:creator>webotl</dc:creator>
  <cp:lastModifiedBy>小班</cp:lastModifiedBy>
  <dcterms:modified xsi:type="dcterms:W3CDTF">2025-04-07T10:21:53Z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webotl</vt:lpwstr>
  </property>
  <property fmtid="{D5CDD505-2E9C-101B-9397-08002B2CF9AE}" pid="3" name="KSOProductBuildVer">
    <vt:lpwstr>2052-12.1.0.18898</vt:lpwstr>
  </property>
  <property fmtid="{D5CDD505-2E9C-101B-9397-08002B2CF9AE}" pid="4" name="ICV">
    <vt:lpwstr>31EF327554A94693AB9C779AC88A44B5_12</vt:lpwstr>
  </property>
</Properties>
</file>