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widowControl w:val="false"/>
        <w:spacing w:lineRule="auto" w:line="276"/>
        <w:rPr>
          <w:rFonts w:ascii="Arial" w:hAnsi="Arial" w:cs="Arial"/>
          <w:szCs w:val="18"/>
          <w:lang w:val="nl-NL"/>
        </w:rPr>
      </w:pPr>
      <w:r>
        <w:rPr>
          <w:rFonts w:cs="Arial" w:ascii="Arial" w:hAnsi="Arial"/>
          <w:szCs w:val="18"/>
          <w:lang w:val="nl-NL"/>
        </w:rPr>
        <w:t>NON-DISCLOSURE AGREEMENT</w:t>
      </w:r>
    </w:p>
    <w:p>
      <w:pPr>
        <w:pStyle w:val="Normal"/>
        <w:widowControl w:val="false"/>
        <w:spacing w:lineRule="auto" w:line="276"/>
        <w:rPr>
          <w:sz w:val="18"/>
          <w:szCs w:val="18"/>
        </w:rPr>
      </w:pPr>
      <w:r>
        <w:rPr>
          <w:sz w:val="18"/>
          <w:szCs w:val="18"/>
        </w:rPr>
      </w:r>
    </w:p>
    <w:p>
      <w:pPr>
        <w:pStyle w:val="Normal"/>
        <w:widowControl w:val="false"/>
        <w:spacing w:lineRule="auto" w:line="276"/>
        <w:rPr>
          <w:sz w:val="18"/>
          <w:szCs w:val="18"/>
        </w:rPr>
      </w:pPr>
      <w:r>
        <w:rPr>
          <w:sz w:val="18"/>
          <w:szCs w:val="18"/>
        </w:rPr>
      </w:r>
    </w:p>
    <w:p>
      <w:pPr>
        <w:pStyle w:val="NummeringPartijen"/>
        <w:widowControl w:val="false"/>
        <w:spacing w:lineRule="auto" w:line="276"/>
        <w:ind w:hanging="0" w:left="0"/>
        <w:rPr>
          <w:sz w:val="18"/>
          <w:szCs w:val="18"/>
        </w:rPr>
      </w:pPr>
      <w:r>
        <w:rPr>
          <w:b/>
          <w:sz w:val="18"/>
          <w:szCs w:val="18"/>
        </w:rPr>
        <w:t>{{HemaName}} a private limited liability company (besloten vennootschap met beperkte aansprakelijkheid), having its registered office and place of business in Amsterdam, registered with the Commercial Register of the Netherlands Chamber of Commerce under number {{HemaKvK}}, for the purposes hereof duly represented by {{HemaFunction}} {{HemaSignatory}} (hereinafter referred to as “HEMA”);</w:t>
      </w:r>
    </w:p>
    <w:p>
      <w:pPr>
        <w:pStyle w:val="Normal"/>
        <w:widowControl w:val="false"/>
        <w:spacing w:lineRule="auto" w:line="276"/>
        <w:jc w:val="center"/>
        <w:rPr>
          <w:sz w:val="18"/>
          <w:szCs w:val="18"/>
        </w:rPr>
      </w:pPr>
      <w:r>
        <w:rPr>
          <w:sz w:val="18"/>
          <w:szCs w:val="18"/>
        </w:rPr>
      </w:r>
    </w:p>
    <w:p>
      <w:pPr>
        <w:pStyle w:val="Normal"/>
        <w:widowControl w:val="false"/>
        <w:spacing w:lineRule="auto" w:line="276"/>
        <w:rPr>
          <w:sz w:val="18"/>
          <w:szCs w:val="18"/>
        </w:rPr>
      </w:pPr>
      <w:r>
        <w:rPr>
          <w:sz w:val="18"/>
          <w:szCs w:val="18"/>
        </w:rPr>
        <w:t>and:</w:t>
      </w:r>
    </w:p>
    <w:p>
      <w:pPr>
        <w:pStyle w:val="Normal"/>
        <w:widowControl w:val="false"/>
        <w:spacing w:lineRule="auto" w:line="276"/>
        <w:rPr>
          <w:rFonts w:eastAsia="KaiTi_GB2312"/>
          <w:b/>
          <w:sz w:val="18"/>
          <w:szCs w:val="18"/>
        </w:rPr>
      </w:pPr>
      <w:r>
        <w:rPr>
          <w:rFonts w:eastAsia="KaiTi_GB2312"/>
          <w:b/>
          <w:sz w:val="18"/>
          <w:szCs w:val="18"/>
        </w:rPr>
      </w:r>
    </w:p>
    <w:p>
      <w:pPr>
        <w:pStyle w:val="Normal"/>
        <w:widowControl w:val="false"/>
        <w:spacing w:lineRule="auto" w:line="276"/>
        <w:rPr>
          <w:spacing w:val="4"/>
          <w:sz w:val="18"/>
          <w:szCs w:val="18"/>
        </w:rPr>
      </w:pPr>
      <w:r>
        <w:rPr>
          <w:b/>
          <w:bCs/>
          <w:spacing w:val="4"/>
          <w:sz w:val="18"/>
          <w:szCs w:val="18"/>
        </w:rPr>
        <w:t>[[IF CounterpartyKind=Company]]{{CounterpartyName}}, {{CounterpartyType}}, having its registered office and place of business in {{CounterpartyOffice}}, registered with the Commercial Register of the Netherlands Chamber of Commerce under number {{CounterpartyKvK}}, for the purposes hereof duly represented by {{CounterpartySignatory}} ({{CounterpartyFunction}}) (hereinafter referred to as the “{{CounterpartyDesignation}}”)[[END]][[IF CounterpartyKind=Individual]]{{CounterpartyName}}, a natural person, residing in {{CounterpartyOffice}} (hereinafter referred to as the “{{CounterpartyDesignation}}”)[[END]]</w:t>
      </w:r>
    </w:p>
    <w:p>
      <w:pPr>
        <w:pStyle w:val="Normal"/>
        <w:widowControl w:val="false"/>
        <w:spacing w:lineRule="auto" w:line="276"/>
        <w:rPr>
          <w:spacing w:val="4"/>
          <w:sz w:val="18"/>
          <w:szCs w:val="18"/>
        </w:rPr>
      </w:pPr>
      <w:r>
        <w:rPr>
          <w:b/>
          <w:bCs/>
          <w:spacing w:val="4"/>
          <w:sz w:val="18"/>
          <w:szCs w:val="18"/>
        </w:rPr>
        <w:t>[[REMOVE]]</w:t>
      </w:r>
    </w:p>
    <w:p>
      <w:pPr>
        <w:pStyle w:val="Normal"/>
        <w:widowControl w:val="false"/>
        <w:spacing w:lineRule="auto" w:line="276"/>
        <w:rPr>
          <w:spacing w:val="4"/>
          <w:sz w:val="18"/>
          <w:szCs w:val="18"/>
        </w:rPr>
      </w:pPr>
      <w:r>
        <w:rPr>
          <w:spacing w:val="4"/>
          <w:sz w:val="18"/>
          <w:szCs w:val="18"/>
        </w:rPr>
      </w:r>
    </w:p>
    <w:p>
      <w:pPr>
        <w:pStyle w:val="NummeringPartijen"/>
        <w:widowControl w:val="false"/>
        <w:spacing w:lineRule="auto" w:line="276"/>
        <w:ind w:hanging="0" w:left="0"/>
        <w:rPr>
          <w:sz w:val="18"/>
          <w:szCs w:val="18"/>
        </w:rPr>
      </w:pPr>
      <w:r>
        <w:rPr>
          <w:sz w:val="18"/>
          <w:szCs w:val="18"/>
        </w:rPr>
        <w:t>HEMA and {{CounterpartyDesignation}} are hereinafter also referred to collectively as the “Parties” and each individually as a “Party”.</w:t>
      </w:r>
    </w:p>
    <w:p>
      <w:pPr>
        <w:pStyle w:val="Normal"/>
        <w:widowControl w:val="false"/>
        <w:spacing w:lineRule="auto" w:line="276"/>
        <w:rPr>
          <w:sz w:val="18"/>
          <w:szCs w:val="18"/>
        </w:rPr>
      </w:pPr>
      <w:r>
        <w:rPr>
          <w:sz w:val="18"/>
          <w:szCs w:val="18"/>
        </w:rPr>
      </w:r>
    </w:p>
    <w:p>
      <w:pPr>
        <w:pStyle w:val="Normal"/>
        <w:widowControl w:val="false"/>
        <w:numPr>
          <w:ilvl w:val="1"/>
          <w:numId w:val="5"/>
        </w:numPr>
        <w:spacing w:lineRule="auto" w:line="276" w:before="0" w:after="240"/>
        <w:jc w:val="both"/>
        <w:rPr>
          <w:sz w:val="18"/>
          <w:szCs w:val="18"/>
          <w:lang w:eastAsia="en-GB"/>
        </w:rPr>
      </w:pPr>
      <w:r>
        <w:rPr>
          <w:b/>
          <w:sz w:val="18"/>
          <w:szCs w:val="18"/>
          <w:lang w:eastAsia="en-GB"/>
        </w:rPr>
        <w:t>THE PARTIES HEREBY AGREE AS FOLLOWS:</w:t>
      </w:r>
      <w:r>
        <w:rPr>
          <w:sz w:val="18"/>
          <w:szCs w:val="18"/>
          <w:lang w:eastAsia="en-GB"/>
        </w:rPr>
      </w:r>
    </w:p>
    <w:p>
      <w:pPr>
        <w:pStyle w:val="Normal"/>
        <w:widowControl w:val="false"/>
        <w:numPr>
          <w:ilvl w:val="3"/>
          <w:numId w:val="4"/>
        </w:numPr>
        <w:spacing w:lineRule="auto" w:line="276" w:before="240" w:after="240"/>
        <w:jc w:val="both"/>
        <w:outlineLvl w:val="0"/>
        <w:rPr>
          <w:b/>
          <w:caps/>
          <w:sz w:val="18"/>
          <w:szCs w:val="18"/>
          <w:lang w:val="en-GB" w:eastAsia="en-GB"/>
        </w:rPr>
      </w:pPr>
      <w:bookmarkStart w:id="0" w:name="1478"/>
      <w:bookmarkEnd w:id="0"/>
      <w:r>
        <w:rPr>
          <w:b/>
          <w:caps/>
          <w:sz w:val="18"/>
          <w:szCs w:val="18"/>
          <w:lang w:val="en-GB" w:eastAsia="en-GB"/>
        </w:rPr>
        <w:t>Definitions</w:t>
      </w:r>
    </w:p>
    <w:p>
      <w:pPr>
        <w:pStyle w:val="Normal"/>
        <w:widowControl w:val="false"/>
        <w:numPr>
          <w:ilvl w:val="3"/>
          <w:numId w:val="6"/>
        </w:numPr>
        <w:spacing w:lineRule="auto" w:line="276" w:before="0" w:after="240"/>
        <w:jc w:val="both"/>
        <w:rPr>
          <w:sz w:val="18"/>
          <w:szCs w:val="18"/>
          <w:lang w:val="en-GB" w:eastAsia="en-GB"/>
        </w:rPr>
      </w:pPr>
      <w:bookmarkStart w:id="1" w:name="1482"/>
      <w:bookmarkEnd w:id="1"/>
      <w:r>
        <w:rPr>
          <w:sz w:val="18"/>
          <w:szCs w:val="18"/>
          <w:lang w:val="en-GB" w:eastAsia="en-GB"/>
        </w:rPr>
        <w:t>In this Agreement:</w:t>
      </w:r>
    </w:p>
    <w:p>
      <w:pPr>
        <w:pStyle w:val="Normal"/>
        <w:widowControl w:val="false"/>
        <w:numPr>
          <w:ilvl w:val="4"/>
          <w:numId w:val="6"/>
        </w:numPr>
        <w:tabs>
          <w:tab w:val="clear" w:pos="708"/>
          <w:tab w:val="left" w:pos="3402" w:leader="none"/>
          <w:tab w:val="left" w:pos="3969" w:leader="none"/>
          <w:tab w:val="left" w:pos="4536" w:leader="none"/>
        </w:tabs>
        <w:spacing w:lineRule="auto" w:line="276" w:before="0" w:after="240"/>
        <w:jc w:val="both"/>
        <w:rPr>
          <w:sz w:val="18"/>
          <w:szCs w:val="18"/>
        </w:rPr>
      </w:pPr>
      <w:r>
        <w:rPr>
          <w:b/>
          <w:bCs/>
          <w:sz w:val="18"/>
          <w:szCs w:val="18"/>
          <w:lang w:eastAsia="en-GB"/>
        </w:rPr>
        <w:t>Group Company</w:t>
      </w:r>
      <w:bookmarkStart w:id="2" w:name="3267"/>
      <w:bookmarkEnd w:id="2"/>
      <w:r>
        <w:rPr>
          <w:b w:val="0"/>
          <w:sz w:val="18"/>
          <w:szCs w:val="18"/>
          <w:lang w:eastAsia="en-GB"/>
        </w:rPr>
        <w:tab/>
        <w:t>means, in relation to a person, a company or other entity, whether or not a legal entity, that directly or indirectly exercises control over, is under the control of or is under joint control with that person, company or other entity, or directly or indirectly is under common control with that person, company or other entity, irrespective of the country of incorporation or establishment. In this context, control means having, directly or indirectly, the power to determine the management and/or policy of an entity, whether:</w:t>
      </w:r>
    </w:p>
    <w:p>
      <w:pPr>
        <w:pStyle w:val="WWDefinition"/>
        <w:numPr>
          <w:ilvl w:val="0"/>
          <w:numId w:val="8"/>
        </w:numPr>
        <w:ind w:hanging="360" w:left="3762"/>
        <w:rPr>
          <w:rFonts w:ascii="Arial" w:hAnsi="Arial" w:cs="Arial"/>
          <w:bCs/>
          <w:sz w:val="18"/>
          <w:szCs w:val="18"/>
          <w:lang w:val="nl-NL"/>
        </w:rPr>
      </w:pPr>
      <w:r>
        <w:rPr>
          <w:rFonts w:cs="Arial" w:ascii="Arial" w:hAnsi="Arial"/>
          <w:bCs/>
          <w:sz w:val="18"/>
          <w:szCs w:val="18"/>
          <w:lang w:val="nl-NL"/>
        </w:rPr>
        <w:t>by holding more than fifty percent (50%) of the voting rights, shares or comparable interests;</w:t>
      </w:r>
    </w:p>
    <w:p>
      <w:pPr>
        <w:pStyle w:val="WWDefinition"/>
        <w:numPr>
          <w:ilvl w:val="0"/>
          <w:numId w:val="8"/>
        </w:numPr>
        <w:ind w:hanging="360" w:left="3762"/>
        <w:rPr>
          <w:rFonts w:ascii="Arial" w:hAnsi="Arial" w:cs="Arial"/>
          <w:bCs/>
          <w:sz w:val="18"/>
          <w:szCs w:val="18"/>
          <w:lang w:val="nl-NL"/>
        </w:rPr>
      </w:pPr>
      <w:r>
        <w:rPr>
          <w:rFonts w:cs="Arial" w:ascii="Arial" w:hAnsi="Arial"/>
          <w:bCs/>
          <w:sz w:val="18"/>
          <w:szCs w:val="18"/>
          <w:lang w:val="nl-NL"/>
        </w:rPr>
        <w:t>by the right to appoint or dismiss directors or supervisory officers;</w:t>
      </w:r>
    </w:p>
    <w:p>
      <w:pPr>
        <w:pStyle w:val="WWDefinition"/>
        <w:numPr>
          <w:ilvl w:val="0"/>
          <w:numId w:val="8"/>
        </w:numPr>
        <w:ind w:hanging="360" w:left="3762"/>
        <w:rPr>
          <w:rFonts w:ascii="Arial" w:hAnsi="Arial" w:cs="Arial"/>
          <w:bCs/>
          <w:sz w:val="18"/>
          <w:szCs w:val="18"/>
          <w:lang w:val="nl-NL"/>
        </w:rPr>
      </w:pPr>
      <w:r>
        <w:rPr>
          <w:rFonts w:cs="Arial" w:ascii="Arial" w:hAnsi="Arial"/>
          <w:bCs/>
          <w:sz w:val="18"/>
          <w:szCs w:val="18"/>
          <w:lang w:val="nl-NL"/>
        </w:rPr>
        <w:t>or otherwise on the basis of an agreement, articles of association or factual circumstances.</w:t>
      </w:r>
    </w:p>
    <w:p>
      <w:pPr>
        <w:pStyle w:val="Normal"/>
        <w:widowControl w:val="false"/>
        <w:numPr>
          <w:ilvl w:val="4"/>
          <w:numId w:val="6"/>
        </w:numPr>
        <w:tabs>
          <w:tab w:val="clear" w:pos="708"/>
          <w:tab w:val="left" w:pos="3402" w:leader="none"/>
          <w:tab w:val="left" w:pos="3969" w:leader="none"/>
          <w:tab w:val="left" w:pos="4536" w:leader="none"/>
        </w:tabs>
        <w:spacing w:lineRule="auto" w:line="276" w:before="0" w:after="240"/>
        <w:jc w:val="both"/>
        <w:rPr>
          <w:sz w:val="18"/>
          <w:szCs w:val="18"/>
          <w:lang w:eastAsia="en-GB"/>
        </w:rPr>
      </w:pPr>
      <w:bookmarkStart w:id="3" w:name="25340"/>
      <w:bookmarkEnd w:id="3"/>
      <w:r>
        <w:rPr>
          <w:b/>
          <w:sz w:val="18"/>
          <w:szCs w:val="18"/>
          <w:lang w:eastAsia="en-GB"/>
        </w:rPr>
        <w:t>Confidential Information</w:t>
      </w:r>
      <w:r>
        <w:rPr>
          <w:b w:val="0"/>
          <w:bCs/>
          <w:sz w:val="18"/>
          <w:szCs w:val="18"/>
          <w:lang w:eastAsia="en-GB"/>
        </w:rPr>
        <w:tab/>
        <w:t>means all business, commercial, economic, financial, operational, technical, administrative, marketing, planning and personnel information and data relating to a Party or one of its Group Companies, whether in written, oral or other form, and all information, data, know-how, specifications, drawings, processes, formulas, developments, designs, photographs, software programs, Intellectual Property Rights (as described below), samples, concept and/or marketing research and the underlying ideas and other material that is disclosed by a Party or to its Group Companies (the "Disclosing Party") to the other Party or to its Group Companies (the "Receiving Party") in connection with the Purpose. Without limiting the generality of the foregoing, a reference to Confidential Information includes those parts of all studies, compilations, analyses, interpretations and other documents prepared by the Receiving Party or any of its directors, employees or professional advisers that contain or are derived from such information, discussions and/or negotiations in connection with the Purpose.</w:t>
      </w:r>
      <w:r>
        <w:rPr>
          <w:sz w:val="18"/>
          <w:szCs w:val="18"/>
          <w:lang w:eastAsia="en-GB"/>
        </w:rPr>
      </w:r>
      <w:r>
        <w:rPr>
          <w:sz w:val="18"/>
          <w:szCs w:val="18"/>
        </w:rPr>
      </w:r>
      <w:r>
        <w:rPr>
          <w:sz w:val="18"/>
          <w:szCs w:val="18"/>
          <w:lang w:eastAsia="en-GB"/>
        </w:rPr>
      </w:r>
      <w:r>
        <w:rPr>
          <w:b/>
          <w:sz w:val="18"/>
          <w:szCs w:val="18"/>
          <w:lang w:eastAsia="en-GB"/>
        </w:rPr>
      </w:r>
      <w:r>
        <w:rPr>
          <w:sz w:val="18"/>
          <w:szCs w:val="18"/>
          <w:lang w:eastAsia="en-GB"/>
        </w:rPr>
      </w:r>
      <w:r>
        <w:rPr>
          <w:b/>
          <w:sz w:val="18"/>
          <w:szCs w:val="18"/>
          <w:lang w:eastAsia="en-GB"/>
        </w:rPr>
      </w:r>
      <w:r>
        <w:rPr>
          <w:sz w:val="18"/>
          <w:szCs w:val="18"/>
          <w:lang w:eastAsia="en-GB"/>
        </w:rPr>
      </w:r>
    </w:p>
    <w:p>
      <w:pPr>
        <w:pStyle w:val="Normal"/>
        <w:widowControl w:val="false"/>
        <w:numPr>
          <w:ilvl w:val="4"/>
          <w:numId w:val="6"/>
        </w:numPr>
        <w:tabs>
          <w:tab w:val="clear" w:pos="708"/>
          <w:tab w:val="left" w:pos="3402" w:leader="none"/>
          <w:tab w:val="left" w:pos="3969" w:leader="none"/>
          <w:tab w:val="left" w:pos="4536" w:leader="none"/>
        </w:tabs>
        <w:spacing w:lineRule="auto" w:line="276" w:before="0" w:after="240"/>
        <w:jc w:val="both"/>
        <w:rPr>
          <w:sz w:val="18"/>
          <w:szCs w:val="18"/>
          <w:lang w:eastAsia="en-GB"/>
        </w:rPr>
      </w:pPr>
      <w:bookmarkStart w:id="4" w:name="25323"/>
      <w:bookmarkEnd w:id="4"/>
      <w:r>
        <w:rPr>
          <w:b/>
          <w:sz w:val="18"/>
          <w:szCs w:val="18"/>
          <w:lang w:eastAsia="en-GB"/>
        </w:rPr>
        <w:t>Intellectual Property Rights means all trade and service marks, trade names, trade secrets, patents, copyrights, design rights (whether or not registered and any application for any of the foregoing rights), database rights, personality rights and rights in know-how, confidential information and inventions and other intellectual property rights of a similar or corresponding nature, wherever and however arising, for the full term thereof and all extensions and renewals thereof, which now or in the future are in force in the Netherlands and all other countries of the world.</w:t>
      </w:r>
      <w:r>
        <w:rPr>
          <w:bCs/>
          <w:sz w:val="18"/>
          <w:szCs w:val="18"/>
          <w:lang w:eastAsia="en-GB"/>
        </w:rPr>
      </w:r>
      <w:r>
        <w:rPr>
          <w:b/>
          <w:sz w:val="18"/>
          <w:szCs w:val="18"/>
          <w:lang w:eastAsia="en-GB"/>
        </w:rPr>
      </w:r>
      <w:r>
        <w:rPr>
          <w:sz w:val="18"/>
          <w:szCs w:val="18"/>
          <w:lang w:eastAsia="en-GB"/>
        </w:rPr>
      </w:r>
    </w:p>
    <w:p>
      <w:pPr>
        <w:pStyle w:val="Normal"/>
        <w:widowControl w:val="false"/>
        <w:numPr>
          <w:ilvl w:val="3"/>
          <w:numId w:val="4"/>
        </w:numPr>
        <w:spacing w:lineRule="auto" w:line="276" w:before="240" w:after="240"/>
        <w:jc w:val="both"/>
        <w:outlineLvl w:val="0"/>
        <w:rPr>
          <w:b/>
          <w:caps/>
          <w:sz w:val="18"/>
          <w:szCs w:val="18"/>
          <w:lang w:val="en-GB" w:eastAsia="en-GB"/>
        </w:rPr>
      </w:pPr>
      <w:r>
        <w:rPr>
          <w:b/>
          <w:caps/>
          <w:sz w:val="18"/>
          <w:szCs w:val="18"/>
          <w:lang w:val="en-GB" w:eastAsia="en-GB"/>
        </w:rPr>
        <w:t>Purpose</w:t>
      </w:r>
    </w:p>
    <w:p>
      <w:pPr>
        <w:pStyle w:val="ListParagraph"/>
        <w:widowControl w:val="false"/>
        <w:numPr>
          <w:ilvl w:val="0"/>
          <w:numId w:val="3"/>
        </w:numPr>
        <w:spacing w:lineRule="auto" w:line="276"/>
        <w:rPr>
          <w:vanish/>
          <w:sz w:val="18"/>
          <w:szCs w:val="18"/>
          <w:lang w:val="en-GB"/>
        </w:rPr>
      </w:pPr>
      <w:r>
        <w:rPr>
          <w:vanish/>
          <w:sz w:val="18"/>
          <w:szCs w:val="18"/>
          <w:lang w:val="en-GB"/>
        </w:rPr>
      </w:r>
    </w:p>
    <w:p>
      <w:pPr>
        <w:pStyle w:val="ListParagraph"/>
        <w:widowControl w:val="false"/>
        <w:numPr>
          <w:ilvl w:val="0"/>
          <w:numId w:val="3"/>
        </w:numPr>
        <w:spacing w:lineRule="auto" w:line="276"/>
        <w:rPr>
          <w:vanish/>
          <w:sz w:val="18"/>
          <w:szCs w:val="18"/>
          <w:lang w:val="en-GB"/>
        </w:rPr>
      </w:pPr>
      <w:r>
        <w:rPr>
          <w:vanish/>
          <w:sz w:val="18"/>
          <w:szCs w:val="18"/>
          <w:lang w:val="en-GB"/>
        </w:rPr>
      </w:r>
    </w:p>
    <w:p>
      <w:pPr>
        <w:pStyle w:val="Alinea2d"/>
        <w:widowControl w:val="false"/>
        <w:numPr>
          <w:ilvl w:val="1"/>
          <w:numId w:val="3"/>
        </w:numPr>
        <w:spacing w:lineRule="auto" w:line="276"/>
        <w:rPr>
          <w:rFonts w:ascii="Arial" w:hAnsi="Arial" w:cs="Arial"/>
          <w:szCs w:val="18"/>
        </w:rPr>
      </w:pPr>
      <w:r>
        <w:rPr>
          <w:rFonts w:cs="Arial" w:ascii="Arial" w:hAnsi="Arial"/>
          <w:szCs w:val="18"/>
        </w:rPr>
        <w:t>The Parties wish to share certain Confidential Information (as defined in Article 1) with each other and with Group Companies of each Party solely for the purpose of: {{Purpose}} (the “Purpose”).</w:t>
      </w:r>
    </w:p>
    <w:p>
      <w:pPr>
        <w:pStyle w:val="Alinea2d"/>
        <w:widowControl w:val="false"/>
        <w:numPr>
          <w:ilvl w:val="0"/>
          <w:numId w:val="0"/>
        </w:numPr>
        <w:spacing w:lineRule="auto" w:line="276"/>
        <w:ind w:hanging="0" w:left="567"/>
        <w:rPr>
          <w:rFonts w:ascii="Arial" w:hAnsi="Arial" w:cs="Arial"/>
          <w:szCs w:val="18"/>
        </w:rPr>
      </w:pPr>
      <w:r>
        <w:rPr>
          <w:rFonts w:cs="Arial" w:ascii="Arial" w:hAnsi="Arial"/>
          <w:szCs w:val="18"/>
        </w:rPr>
      </w:r>
    </w:p>
    <w:p>
      <w:pPr>
        <w:pStyle w:val="Normal"/>
        <w:widowControl w:val="false"/>
        <w:numPr>
          <w:ilvl w:val="3"/>
          <w:numId w:val="4"/>
        </w:numPr>
        <w:spacing w:lineRule="auto" w:line="276" w:before="240" w:after="240"/>
        <w:jc w:val="both"/>
        <w:outlineLvl w:val="0"/>
        <w:rPr>
          <w:b/>
          <w:caps/>
          <w:sz w:val="18"/>
          <w:szCs w:val="18"/>
          <w:lang w:val="en-GB" w:eastAsia="en-GB"/>
        </w:rPr>
      </w:pPr>
      <w:r>
        <w:rPr>
          <w:b/>
          <w:caps/>
          <w:sz w:val="18"/>
          <w:szCs w:val="18"/>
          <w:lang w:val="en-GB" w:eastAsia="en-GB"/>
        </w:rPr>
        <w:t>Permitted use and disclosure</w:t>
      </w:r>
    </w:p>
    <w:p>
      <w:pPr>
        <w:pStyle w:val="Normal"/>
        <w:widowControl w:val="false"/>
        <w:numPr>
          <w:ilvl w:val="4"/>
          <w:numId w:val="4"/>
        </w:numPr>
        <w:spacing w:lineRule="auto" w:line="276" w:before="0" w:after="240"/>
        <w:jc w:val="both"/>
        <w:outlineLvl w:val="1"/>
        <w:rPr>
          <w:sz w:val="18"/>
          <w:szCs w:val="18"/>
          <w:lang w:val="en-GB" w:eastAsia="en-GB"/>
        </w:rPr>
      </w:pPr>
      <w:bookmarkStart w:id="5" w:name="20606"/>
      <w:bookmarkEnd w:id="5"/>
      <w:r>
        <w:rPr>
          <w:sz w:val="18"/>
          <w:szCs w:val="18"/>
          <w:lang w:val="en-GB" w:eastAsia="en-GB"/>
        </w:rPr>
        <w:t>The Receiving Party shall:</w:t>
      </w:r>
    </w:p>
    <w:p>
      <w:pPr>
        <w:pStyle w:val="Normal"/>
        <w:widowControl w:val="false"/>
        <w:numPr>
          <w:ilvl w:val="5"/>
          <w:numId w:val="4"/>
        </w:numPr>
        <w:spacing w:lineRule="auto" w:line="276" w:before="0" w:after="240"/>
        <w:jc w:val="both"/>
        <w:outlineLvl w:val="2"/>
        <w:rPr>
          <w:sz w:val="18"/>
          <w:szCs w:val="18"/>
          <w:lang w:eastAsia="en-GB"/>
        </w:rPr>
      </w:pPr>
      <w:r>
        <w:rPr>
          <w:sz w:val="18"/>
          <w:szCs w:val="18"/>
          <w:lang w:eastAsia="en-GB"/>
        </w:rPr>
        <w:t>maintain confidentiality in respect of all Confidential Information, as well as in respect of the discussions taking place between the Parties in connection with the Purpose;</w:t>
      </w:r>
    </w:p>
    <w:p>
      <w:pPr>
        <w:pStyle w:val="Normal"/>
        <w:widowControl w:val="false"/>
        <w:numPr>
          <w:ilvl w:val="5"/>
          <w:numId w:val="4"/>
        </w:numPr>
        <w:spacing w:lineRule="auto" w:line="276" w:before="0" w:after="240"/>
        <w:jc w:val="both"/>
        <w:outlineLvl w:val="2"/>
        <w:rPr>
          <w:sz w:val="18"/>
          <w:szCs w:val="18"/>
          <w:lang w:eastAsia="en-GB"/>
        </w:rPr>
      </w:pPr>
      <w:bookmarkStart w:id="6" w:name="20608"/>
      <w:bookmarkEnd w:id="6"/>
      <w:r>
        <w:rPr>
          <w:sz w:val="18"/>
          <w:szCs w:val="18"/>
          <w:lang w:eastAsia="en-GB"/>
        </w:rPr>
        <w:t>use the Confidential Information solely for the purpose of the Purpose;</w:t>
      </w:r>
    </w:p>
    <w:p>
      <w:pPr>
        <w:pStyle w:val="Normal"/>
        <w:widowControl w:val="false"/>
        <w:numPr>
          <w:ilvl w:val="5"/>
          <w:numId w:val="4"/>
        </w:numPr>
        <w:spacing w:lineRule="auto" w:line="276" w:before="0" w:after="240"/>
        <w:jc w:val="both"/>
        <w:outlineLvl w:val="2"/>
        <w:rPr>
          <w:sz w:val="18"/>
          <w:szCs w:val="18"/>
          <w:lang w:eastAsia="en-GB"/>
        </w:rPr>
      </w:pPr>
      <w:bookmarkStart w:id="7" w:name="20609"/>
      <w:bookmarkEnd w:id="7"/>
      <w:r>
        <w:rPr>
          <w:sz w:val="18"/>
          <w:szCs w:val="18"/>
          <w:lang w:eastAsia="en-GB"/>
        </w:rPr>
        <w:t>exercise at least the same degree of care in respect of the Confidential Information as it exercises in respect of its own confidential information, but in any event a reasonable degree of care; and</w:t>
      </w:r>
    </w:p>
    <w:p>
      <w:pPr>
        <w:pStyle w:val="Normal"/>
        <w:widowControl w:val="false"/>
        <w:numPr>
          <w:ilvl w:val="5"/>
          <w:numId w:val="4"/>
        </w:numPr>
        <w:spacing w:lineRule="auto" w:line="276" w:before="0" w:after="240"/>
        <w:jc w:val="both"/>
        <w:outlineLvl w:val="2"/>
        <w:rPr>
          <w:sz w:val="18"/>
          <w:szCs w:val="18"/>
          <w:lang w:eastAsia="en-GB"/>
        </w:rPr>
      </w:pPr>
      <w:bookmarkStart w:id="8" w:name="20610"/>
      <w:bookmarkEnd w:id="8"/>
      <w:r>
        <w:rPr>
          <w:sz w:val="18"/>
          <w:szCs w:val="18"/>
          <w:lang w:eastAsia="en-GB"/>
        </w:rPr>
        <w:t>not disclose any Confidential Information to any persons other than those of its Group Companies, employees and directors and its external advisers, including tax, financial and legal advisers, and the Receiving Party shall ensure that the persons within its Group Companies, employees and directors and external advisers to whom Confidential Information is disclosed strictly comply in all respects with the terms of this Agreement as if they were a Party to this Agreement.</w:t>
      </w:r>
    </w:p>
    <w:p>
      <w:pPr>
        <w:pStyle w:val="Normal"/>
        <w:widowControl w:val="false"/>
        <w:numPr>
          <w:ilvl w:val="4"/>
          <w:numId w:val="4"/>
        </w:numPr>
        <w:spacing w:lineRule="auto" w:line="276" w:before="0" w:after="240"/>
        <w:jc w:val="both"/>
        <w:outlineLvl w:val="1"/>
        <w:rPr>
          <w:sz w:val="18"/>
          <w:szCs w:val="18"/>
          <w:lang w:eastAsia="en-GB"/>
        </w:rPr>
      </w:pPr>
      <w:bookmarkStart w:id="9" w:name="20611"/>
      <w:bookmarkEnd w:id="9"/>
      <w:r>
        <w:rPr>
          <w:sz w:val="18"/>
          <w:szCs w:val="18"/>
          <w:lang w:eastAsia="en-GB"/>
        </w:rPr>
        <w:t>The Receiving Party is liable for any breach of this Agreement by a person referred to in article 3.1(d).</w:t>
      </w:r>
    </w:p>
    <w:p>
      <w:pPr>
        <w:pStyle w:val="Normal"/>
        <w:widowControl w:val="false"/>
        <w:numPr>
          <w:ilvl w:val="4"/>
          <w:numId w:val="4"/>
        </w:numPr>
        <w:spacing w:lineRule="auto" w:line="276" w:before="0" w:after="240"/>
        <w:jc w:val="both"/>
        <w:outlineLvl w:val="1"/>
        <w:rPr>
          <w:sz w:val="18"/>
          <w:szCs w:val="18"/>
          <w:lang w:eastAsia="en-GB"/>
        </w:rPr>
      </w:pPr>
      <w:bookmarkStart w:id="10" w:name="20612"/>
      <w:bookmarkEnd w:id="10"/>
      <w:r>
        <w:rPr>
          <w:sz w:val="18"/>
          <w:szCs w:val="18"/>
          <w:lang w:eastAsia="en-GB"/>
        </w:rPr>
        <w:t>In the event of disclosure or anticipated disclosure of Confidential Information in breach of the terms of this Agreement, the Receiving Party shall immediately notify the Disclosing Party of the Confidential Information that has been or will be disclosed and the third parties to whom the Confidential Information has been or will be disclosed. In such a case, the Receiving Party shall assist the Disclosing Party in taking all measures reasonably necessary to limit further disclosure or dissemination of the Confidential Information.</w:t>
      </w:r>
    </w:p>
    <w:p>
      <w:pPr>
        <w:pStyle w:val="Normal"/>
        <w:widowControl w:val="false"/>
        <w:numPr>
          <w:ilvl w:val="3"/>
          <w:numId w:val="4"/>
        </w:numPr>
        <w:spacing w:lineRule="auto" w:line="276" w:before="240" w:after="240"/>
        <w:jc w:val="both"/>
        <w:outlineLvl w:val="0"/>
        <w:rPr>
          <w:b/>
          <w:caps/>
          <w:sz w:val="18"/>
          <w:szCs w:val="18"/>
          <w:lang w:val="en-GB" w:eastAsia="en-GB"/>
        </w:rPr>
      </w:pPr>
      <w:bookmarkStart w:id="11" w:name="20613"/>
      <w:bookmarkEnd w:id="11"/>
      <w:r>
        <w:rPr>
          <w:b/>
          <w:caps/>
          <w:sz w:val="18"/>
          <w:szCs w:val="18"/>
          <w:lang w:val="en-GB" w:eastAsia="en-GB"/>
        </w:rPr>
        <w:t>Exceptions</w:t>
      </w:r>
    </w:p>
    <w:p>
      <w:pPr>
        <w:pStyle w:val="Normal"/>
        <w:widowControl w:val="false"/>
        <w:numPr>
          <w:ilvl w:val="4"/>
          <w:numId w:val="4"/>
        </w:numPr>
        <w:spacing w:lineRule="auto" w:line="276" w:before="0" w:after="240"/>
        <w:jc w:val="both"/>
        <w:outlineLvl w:val="1"/>
        <w:rPr>
          <w:sz w:val="18"/>
          <w:szCs w:val="18"/>
          <w:lang w:eastAsia="en-GB"/>
        </w:rPr>
      </w:pPr>
      <w:bookmarkStart w:id="12" w:name="20614"/>
      <w:bookmarkEnd w:id="12"/>
      <w:r>
        <w:rPr>
          <w:sz w:val="18"/>
          <w:szCs w:val="18"/>
          <w:lang w:eastAsia="en-GB"/>
        </w:rPr>
        <w:t>The obligations of the Receiving Party under the Agreement do not apply to Confidential Information which the Receiving Party can demonstrate:</w:t>
      </w:r>
    </w:p>
    <w:p>
      <w:pPr>
        <w:pStyle w:val="Normal"/>
        <w:widowControl w:val="false"/>
        <w:numPr>
          <w:ilvl w:val="5"/>
          <w:numId w:val="4"/>
        </w:numPr>
        <w:spacing w:lineRule="auto" w:line="276" w:before="0" w:after="240"/>
        <w:jc w:val="both"/>
        <w:outlineLvl w:val="2"/>
        <w:rPr>
          <w:sz w:val="18"/>
          <w:szCs w:val="18"/>
          <w:lang w:eastAsia="en-GB"/>
        </w:rPr>
      </w:pPr>
      <w:r>
        <w:rPr>
          <w:sz w:val="18"/>
          <w:szCs w:val="18"/>
          <w:lang w:eastAsia="en-GB"/>
        </w:rPr>
        <w:t>was already in the possession of the Receiving Party on the date of disclosure;</w:t>
      </w:r>
    </w:p>
    <w:p>
      <w:pPr>
        <w:pStyle w:val="Normal"/>
        <w:widowControl w:val="false"/>
        <w:numPr>
          <w:ilvl w:val="5"/>
          <w:numId w:val="4"/>
        </w:numPr>
        <w:spacing w:lineRule="auto" w:line="276" w:before="0" w:after="240"/>
        <w:jc w:val="both"/>
        <w:outlineLvl w:val="2"/>
        <w:rPr>
          <w:sz w:val="18"/>
          <w:szCs w:val="18"/>
          <w:lang w:eastAsia="en-GB"/>
        </w:rPr>
      </w:pPr>
      <w:bookmarkStart w:id="13" w:name="20616"/>
      <w:bookmarkEnd w:id="13"/>
      <w:r>
        <w:rPr>
          <w:sz w:val="18"/>
          <w:szCs w:val="18"/>
          <w:lang w:eastAsia="en-GB"/>
        </w:rPr>
        <w:t>was already public or has entered the public domain after the date of disclosure, otherwise than through the act or negligence of the Receiving Party;</w:t>
      </w:r>
    </w:p>
    <w:p>
      <w:pPr>
        <w:pStyle w:val="Normal"/>
        <w:widowControl w:val="false"/>
        <w:numPr>
          <w:ilvl w:val="5"/>
          <w:numId w:val="4"/>
        </w:numPr>
        <w:spacing w:lineRule="auto" w:line="276" w:before="0" w:after="240"/>
        <w:jc w:val="both"/>
        <w:outlineLvl w:val="2"/>
        <w:rPr>
          <w:sz w:val="18"/>
          <w:szCs w:val="18"/>
          <w:lang w:eastAsia="en-GB"/>
        </w:rPr>
      </w:pPr>
      <w:bookmarkStart w:id="14" w:name="20617"/>
      <w:bookmarkEnd w:id="14"/>
      <w:r>
        <w:rPr>
          <w:sz w:val="18"/>
          <w:szCs w:val="18"/>
          <w:lang w:eastAsia="en-GB"/>
        </w:rPr>
        <w:t>was obtained independently and without an obligation of confidentiality from a third party; or</w:t>
      </w:r>
    </w:p>
    <w:p>
      <w:pPr>
        <w:pStyle w:val="Normal"/>
        <w:widowControl w:val="false"/>
        <w:numPr>
          <w:ilvl w:val="5"/>
          <w:numId w:val="4"/>
        </w:numPr>
        <w:spacing w:lineRule="auto" w:line="276" w:before="0" w:after="240"/>
        <w:jc w:val="both"/>
        <w:outlineLvl w:val="2"/>
        <w:rPr>
          <w:sz w:val="18"/>
          <w:szCs w:val="18"/>
          <w:lang w:eastAsia="en-GB"/>
        </w:rPr>
      </w:pPr>
      <w:bookmarkStart w:id="15" w:name="20618"/>
      <w:bookmarkEnd w:id="15"/>
      <w:r>
        <w:rPr>
          <w:sz w:val="18"/>
          <w:szCs w:val="18"/>
          <w:lang w:eastAsia="en-GB"/>
        </w:rPr>
        <w:t>was developed by the Receiving Party independently of the Confidential Information of the Disclosing Party, as can be demonstrated by written records.</w:t>
      </w:r>
    </w:p>
    <w:p>
      <w:pPr>
        <w:pStyle w:val="Normal"/>
        <w:widowControl w:val="false"/>
        <w:numPr>
          <w:ilvl w:val="4"/>
          <w:numId w:val="4"/>
        </w:numPr>
        <w:spacing w:lineRule="auto" w:line="276" w:before="0" w:after="240"/>
        <w:jc w:val="both"/>
        <w:outlineLvl w:val="1"/>
        <w:rPr>
          <w:sz w:val="18"/>
          <w:szCs w:val="18"/>
          <w:lang w:eastAsia="en-GB"/>
        </w:rPr>
      </w:pPr>
      <w:r>
        <w:rPr>
          <w:sz w:val="18"/>
          <w:szCs w:val="18"/>
          <w:lang w:eastAsia="en-GB"/>
        </w:rPr>
        <w:t>[[IF FranchiseCarveOut=Keep]]{{CounterpartyDesignation}} acknowledges that HEMA operates a franchise organisation and that it may need to share information, including Confidential Information, with its franchisees or the franchisees' association VAB (Vereniging Aangesloten Bedrijven), an association under Dutch law, having its registered office in Rotterdam and its place of business in {{VABOffice}}, registered with the Commercial Register of the Netherlands Chamber of Commerce under number {{VABKvK}} (hereinafter referred to as “VAB”). Accordingly, the Parties agree that under the Agreement the obligations of HEMA as Receiving Party do not extend to Confidential Information that it shares with its franchisees or VAB.  [[END]]</w:t>
      </w:r>
    </w:p>
    <w:p>
      <w:pPr>
        <w:pStyle w:val="Normal"/>
        <w:widowControl w:val="false"/>
        <w:numPr>
          <w:ilvl w:val="4"/>
          <w:numId w:val="4"/>
        </w:numPr>
        <w:spacing w:lineRule="auto" w:line="276" w:before="0" w:after="240"/>
        <w:jc w:val="both"/>
        <w:outlineLvl w:val="1"/>
        <w:rPr>
          <w:sz w:val="18"/>
          <w:szCs w:val="18"/>
          <w:lang w:eastAsia="en-GB"/>
        </w:rPr>
      </w:pPr>
      <w:r>
        <w:rPr>
          <w:sz w:val="18"/>
          <w:szCs w:val="18"/>
          <w:lang w:eastAsia="en-GB"/>
        </w:rPr>
        <w:t>Each Party may disclose the minimum required Confidential Information pursuant to:</w:t>
      </w:r>
    </w:p>
    <w:p>
      <w:pPr>
        <w:pStyle w:val="Normal"/>
        <w:widowControl w:val="false"/>
        <w:numPr>
          <w:ilvl w:val="5"/>
          <w:numId w:val="4"/>
        </w:numPr>
        <w:spacing w:lineRule="auto" w:line="276" w:before="0" w:after="240"/>
        <w:jc w:val="both"/>
        <w:outlineLvl w:val="2"/>
        <w:rPr>
          <w:sz w:val="18"/>
          <w:szCs w:val="18"/>
          <w:lang w:eastAsia="en-GB"/>
        </w:rPr>
      </w:pPr>
      <w:bookmarkStart w:id="16" w:name="25342"/>
      <w:bookmarkEnd w:id="16"/>
      <w:r>
        <w:rPr>
          <w:sz w:val="18"/>
          <w:szCs w:val="18"/>
          <w:lang w:eastAsia="en-GB"/>
        </w:rPr>
        <w:t>an order of a competent court or a competent judicial, governmental or regulatory authority; or</w:t>
      </w:r>
    </w:p>
    <w:p>
      <w:pPr>
        <w:pStyle w:val="Normal"/>
        <w:widowControl w:val="false"/>
        <w:numPr>
          <w:ilvl w:val="5"/>
          <w:numId w:val="4"/>
        </w:numPr>
        <w:spacing w:lineRule="auto" w:line="276" w:before="0" w:after="240"/>
        <w:jc w:val="both"/>
        <w:outlineLvl w:val="2"/>
        <w:rPr>
          <w:sz w:val="18"/>
          <w:szCs w:val="18"/>
          <w:lang w:eastAsia="en-GB"/>
        </w:rPr>
      </w:pPr>
      <w:bookmarkStart w:id="17" w:name="25343"/>
      <w:bookmarkEnd w:id="17"/>
      <w:r>
        <w:rPr>
          <w:sz w:val="18"/>
          <w:szCs w:val="18"/>
          <w:lang w:eastAsia="en-GB"/>
        </w:rPr>
        <w:t>rules of a listing authority or securities exchange on which the shares of one of its Group Companies are listed; or</w:t>
      </w:r>
    </w:p>
    <w:p>
      <w:pPr>
        <w:pStyle w:val="Normal"/>
        <w:widowControl w:val="false"/>
        <w:numPr>
          <w:ilvl w:val="5"/>
          <w:numId w:val="4"/>
        </w:numPr>
        <w:spacing w:lineRule="auto" w:line="276" w:before="0" w:after="240"/>
        <w:jc w:val="both"/>
        <w:outlineLvl w:val="2"/>
        <w:rPr>
          <w:sz w:val="18"/>
          <w:szCs w:val="18"/>
          <w:lang w:eastAsia="en-GB"/>
        </w:rPr>
      </w:pPr>
      <w:bookmarkStart w:id="18" w:name="25344"/>
      <w:bookmarkEnd w:id="18"/>
      <w:r>
        <w:rPr>
          <w:sz w:val="18"/>
          <w:szCs w:val="18"/>
          <w:lang w:eastAsia="en-GB"/>
        </w:rPr>
        <w:t>the laws or regulations of a country having jurisdiction in connection with the affairs of a Party or its Group Companies.</w:t>
      </w:r>
    </w:p>
    <w:p>
      <w:pPr>
        <w:pStyle w:val="Normal"/>
        <w:widowControl w:val="false"/>
        <w:numPr>
          <w:ilvl w:val="3"/>
          <w:numId w:val="6"/>
        </w:numPr>
        <w:spacing w:lineRule="auto" w:line="276" w:before="0" w:after="240"/>
        <w:jc w:val="both"/>
        <w:rPr>
          <w:sz w:val="18"/>
          <w:szCs w:val="18"/>
          <w:lang w:eastAsia="en-GB"/>
        </w:rPr>
      </w:pPr>
      <w:bookmarkStart w:id="19" w:name="25351"/>
      <w:bookmarkStart w:id="20" w:name="25350"/>
      <w:bookmarkStart w:id="21" w:name="25345"/>
      <w:bookmarkEnd w:id="19"/>
      <w:bookmarkEnd w:id="20"/>
      <w:bookmarkEnd w:id="21"/>
      <w:r>
        <w:rPr>
          <w:sz w:val="18"/>
          <w:szCs w:val="18"/>
          <w:lang w:eastAsia="en-GB"/>
        </w:rPr>
        <w:t>In the event that Confidential Information is disclosed under this article 4, the Receiving Party shall, to the extent permitted by law, notify the other Party immediately after the disclosure of the full circumstances of the disclosure and the information that has been disclosed.</w:t>
      </w:r>
    </w:p>
    <w:p>
      <w:pPr>
        <w:pStyle w:val="Normal"/>
        <w:widowControl w:val="false"/>
        <w:numPr>
          <w:ilvl w:val="3"/>
          <w:numId w:val="4"/>
        </w:numPr>
        <w:spacing w:lineRule="auto" w:line="276" w:before="240" w:after="240"/>
        <w:jc w:val="both"/>
        <w:outlineLvl w:val="0"/>
        <w:rPr>
          <w:b/>
          <w:caps/>
          <w:sz w:val="18"/>
          <w:szCs w:val="18"/>
          <w:lang w:val="en-GB" w:eastAsia="en-GB"/>
        </w:rPr>
      </w:pPr>
      <w:r>
        <w:rPr>
          <w:b/>
          <w:caps/>
          <w:sz w:val="18"/>
          <w:szCs w:val="18"/>
          <w:lang w:val="en-GB" w:eastAsia="en-GB"/>
        </w:rPr>
        <w:t>CONFIDENTIALITY</w:t>
      </w:r>
    </w:p>
    <w:p>
      <w:pPr>
        <w:pStyle w:val="Normal"/>
        <w:widowControl w:val="false"/>
        <w:numPr>
          <w:ilvl w:val="4"/>
          <w:numId w:val="4"/>
        </w:numPr>
        <w:spacing w:lineRule="auto" w:line="276" w:before="0" w:after="240"/>
        <w:jc w:val="both"/>
        <w:outlineLvl w:val="1"/>
        <w:rPr>
          <w:sz w:val="18"/>
          <w:szCs w:val="18"/>
          <w:lang w:eastAsia="en-GB"/>
        </w:rPr>
      </w:pPr>
      <w:r>
        <w:rPr>
          <w:sz w:val="18"/>
          <w:szCs w:val="18"/>
          <w:lang w:eastAsia="en-GB"/>
        </w:rPr>
        <w:t>The Parties agree to take reasonable measures in connection with maintaining the confidentiality of Confidential Information to prevent disclosure and unauthorised use of Confidential Information. Without limiting the foregoing, the Parties shall take at least those measures that they take to maintain their own most confidential information and shall ensure that their employees, directors and external advisers who have access to Confidential Information have signed an agreement containing a provision for a prohibition on use and non-disclosure before Confidential Information is disclosed to such employees.</w:t>
      </w:r>
    </w:p>
    <w:p>
      <w:pPr>
        <w:pStyle w:val="Normal"/>
        <w:widowControl w:val="false"/>
        <w:numPr>
          <w:ilvl w:val="3"/>
          <w:numId w:val="4"/>
        </w:numPr>
        <w:spacing w:lineRule="auto" w:line="276" w:before="240" w:after="240"/>
        <w:jc w:val="both"/>
        <w:outlineLvl w:val="0"/>
        <w:rPr>
          <w:b/>
          <w:caps/>
          <w:sz w:val="18"/>
          <w:szCs w:val="18"/>
          <w:lang w:val="en-GB" w:eastAsia="en-GB"/>
        </w:rPr>
      </w:pPr>
      <w:r>
        <w:rPr>
          <w:b/>
          <w:caps/>
          <w:sz w:val="18"/>
          <w:szCs w:val="18"/>
          <w:lang w:val="en-GB" w:eastAsia="en-GB"/>
        </w:rPr>
        <w:t>Return of DATA</w:t>
      </w:r>
    </w:p>
    <w:p>
      <w:pPr>
        <w:pStyle w:val="Normal"/>
        <w:widowControl w:val="false"/>
        <w:numPr>
          <w:ilvl w:val="4"/>
          <w:numId w:val="4"/>
        </w:numPr>
        <w:spacing w:lineRule="auto" w:line="276" w:before="0" w:after="240"/>
        <w:jc w:val="both"/>
        <w:outlineLvl w:val="1"/>
        <w:rPr>
          <w:sz w:val="18"/>
          <w:szCs w:val="18"/>
          <w:lang w:eastAsia="en-GB"/>
        </w:rPr>
      </w:pPr>
      <w:r>
        <w:rPr>
          <w:sz w:val="18"/>
          <w:szCs w:val="18"/>
          <w:lang w:eastAsia="en-GB"/>
        </w:rPr>
        <w:t>All documents and other tangible objects that contain or embody confidential information that has been disclosed, and all copies thereof in the possession of the Receiving Party, are and remain the property of the disclosing Party and shall be returned immediately upon written request. All digitally stored data that contain or embody Confidential Information that has been disclosed, and all copies thereof in the possession of the Receiving Party, are and remain the property of the disclosing Party and shall be destroyed immediately upon written request.</w:t>
      </w:r>
    </w:p>
    <w:p>
      <w:pPr>
        <w:pStyle w:val="Normal"/>
        <w:widowControl w:val="false"/>
        <w:numPr>
          <w:ilvl w:val="3"/>
          <w:numId w:val="4"/>
        </w:numPr>
        <w:spacing w:lineRule="auto" w:line="276" w:before="240" w:after="240"/>
        <w:jc w:val="both"/>
        <w:outlineLvl w:val="0"/>
        <w:rPr>
          <w:b/>
          <w:caps/>
          <w:sz w:val="18"/>
          <w:szCs w:val="18"/>
          <w:lang w:val="en-GB" w:eastAsia="en-GB"/>
        </w:rPr>
      </w:pPr>
      <w:r>
        <w:rPr>
          <w:b/>
          <w:caps/>
          <w:sz w:val="18"/>
          <w:szCs w:val="18"/>
          <w:lang w:val="en-GB" w:eastAsia="en-GB"/>
        </w:rPr>
        <w:t>No obligation</w:t>
      </w:r>
    </w:p>
    <w:p>
      <w:pPr>
        <w:pStyle w:val="Normal"/>
        <w:widowControl w:val="false"/>
        <w:numPr>
          <w:ilvl w:val="4"/>
          <w:numId w:val="4"/>
        </w:numPr>
        <w:spacing w:lineRule="auto" w:line="276" w:before="0" w:after="240"/>
        <w:jc w:val="both"/>
        <w:outlineLvl w:val="1"/>
        <w:rPr>
          <w:sz w:val="18"/>
          <w:szCs w:val="18"/>
          <w:lang w:eastAsia="en-GB"/>
        </w:rPr>
      </w:pPr>
      <w:r>
        <w:rPr>
          <w:sz w:val="18"/>
          <w:szCs w:val="18"/>
          <w:lang w:eastAsia="en-GB"/>
        </w:rPr>
        <w:t>Nothing in this agreement obliges either party to enter into a transaction with the other or to enter into any agreements with the other party other than this non-disclosure agreement.</w:t>
      </w:r>
    </w:p>
    <w:p>
      <w:pPr>
        <w:pStyle w:val="Normal"/>
        <w:widowControl w:val="false"/>
        <w:numPr>
          <w:ilvl w:val="3"/>
          <w:numId w:val="4"/>
        </w:numPr>
        <w:spacing w:lineRule="auto" w:line="276" w:before="240" w:after="240"/>
        <w:jc w:val="both"/>
        <w:outlineLvl w:val="0"/>
        <w:rPr>
          <w:b/>
          <w:caps/>
          <w:sz w:val="18"/>
          <w:szCs w:val="18"/>
          <w:lang w:val="en-GB" w:eastAsia="en-GB"/>
        </w:rPr>
      </w:pPr>
      <w:r>
        <w:rPr>
          <w:b/>
          <w:caps/>
          <w:sz w:val="18"/>
          <w:szCs w:val="18"/>
          <w:lang w:val="en-GB" w:eastAsia="en-GB"/>
        </w:rPr>
        <w:t>No warranty</w:t>
      </w:r>
    </w:p>
    <w:p>
      <w:pPr>
        <w:pStyle w:val="Normal"/>
        <w:widowControl w:val="false"/>
        <w:numPr>
          <w:ilvl w:val="4"/>
          <w:numId w:val="4"/>
        </w:numPr>
        <w:spacing w:lineRule="auto" w:line="276" w:before="0" w:after="240"/>
        <w:jc w:val="both"/>
        <w:outlineLvl w:val="1"/>
        <w:rPr>
          <w:sz w:val="18"/>
          <w:szCs w:val="18"/>
          <w:lang w:eastAsia="en-GB"/>
        </w:rPr>
      </w:pPr>
      <w:r>
        <w:rPr>
          <w:sz w:val="18"/>
          <w:szCs w:val="18"/>
          <w:lang w:eastAsia="en-GB"/>
        </w:rPr>
        <w:t>All Confidential Information is provided in the form and condition in which it is. The Parties give no warranties, whether express, implied or otherwise, with regard to the accuracy, completeness or performance of the Confidential Information.</w:t>
      </w:r>
    </w:p>
    <w:p>
      <w:pPr>
        <w:pStyle w:val="Normal"/>
        <w:widowControl w:val="false"/>
        <w:numPr>
          <w:ilvl w:val="3"/>
          <w:numId w:val="4"/>
        </w:numPr>
        <w:spacing w:lineRule="auto" w:line="276" w:before="240" w:after="240"/>
        <w:jc w:val="both"/>
        <w:outlineLvl w:val="0"/>
        <w:rPr>
          <w:b/>
          <w:caps/>
          <w:sz w:val="18"/>
          <w:szCs w:val="18"/>
          <w:lang w:val="en-GB" w:eastAsia="en-GB"/>
        </w:rPr>
      </w:pPr>
      <w:r>
        <w:rPr>
          <w:b/>
          <w:caps/>
          <w:sz w:val="18"/>
          <w:szCs w:val="18"/>
          <w:lang w:val="en-GB" w:eastAsia="en-GB"/>
        </w:rPr>
        <w:t>No licence</w:t>
      </w:r>
    </w:p>
    <w:p>
      <w:pPr>
        <w:pStyle w:val="Normal"/>
        <w:widowControl w:val="false"/>
        <w:numPr>
          <w:ilvl w:val="4"/>
          <w:numId w:val="4"/>
        </w:numPr>
        <w:spacing w:lineRule="auto" w:line="276" w:before="0" w:after="240"/>
        <w:jc w:val="both"/>
        <w:outlineLvl w:val="1"/>
        <w:rPr>
          <w:sz w:val="18"/>
          <w:szCs w:val="18"/>
          <w:lang w:eastAsia="en-GB"/>
        </w:rPr>
      </w:pPr>
      <w:r>
        <w:rPr>
          <w:sz w:val="18"/>
          <w:szCs w:val="18"/>
          <w:lang w:eastAsia="en-GB"/>
        </w:rPr>
        <w:t>Nothing in this non-disclosure agreement is intended to grant any rights or licences with regard to intellectual property rights, nor shall this non-disclosure agreement grant any rights in or to the Confidential Information, except as expressly set out in this agreement.</w:t>
      </w:r>
    </w:p>
    <w:p>
      <w:pPr>
        <w:pStyle w:val="Normal"/>
        <w:widowControl w:val="false"/>
        <w:numPr>
          <w:ilvl w:val="3"/>
          <w:numId w:val="4"/>
        </w:numPr>
        <w:spacing w:lineRule="auto" w:line="276" w:before="240" w:after="240"/>
        <w:jc w:val="both"/>
        <w:outlineLvl w:val="0"/>
        <w:rPr>
          <w:b/>
          <w:caps/>
          <w:sz w:val="18"/>
          <w:szCs w:val="18"/>
          <w:lang w:val="en-GB" w:eastAsia="en-GB"/>
        </w:rPr>
      </w:pPr>
      <w:r>
        <w:rPr>
          <w:b/>
          <w:caps/>
          <w:sz w:val="18"/>
          <w:szCs w:val="18"/>
          <w:lang w:val="en-GB" w:eastAsia="en-GB"/>
        </w:rPr>
        <w:t>DURATION OF OBLIGATIONS</w:t>
      </w:r>
    </w:p>
    <w:p>
      <w:pPr>
        <w:pStyle w:val="Normal"/>
        <w:widowControl w:val="false"/>
        <w:numPr>
          <w:ilvl w:val="4"/>
          <w:numId w:val="4"/>
        </w:numPr>
        <w:spacing w:lineRule="auto" w:line="276" w:before="0" w:after="240"/>
        <w:jc w:val="both"/>
        <w:outlineLvl w:val="1"/>
        <w:rPr>
          <w:sz w:val="18"/>
          <w:szCs w:val="18"/>
          <w:lang w:eastAsia="en-GB"/>
        </w:rPr>
      </w:pPr>
      <w:r>
        <w:rPr>
          <w:sz w:val="18"/>
          <w:szCs w:val="18"/>
          <w:lang w:eastAsia="en-GB"/>
        </w:rPr>
        <w:t>[[IF DurationChoice=Standard]]The obligations under this agreement shall remain in force until such time as all Confidential Information disclosed under this agreement has become generally available, otherwise than through the act or omission of the Receiving Party.[[END]][[IF DurationChoice=Fixed term]]The obligations under this agreement shall remain in force for a period of {{DurationTerm}} from the date of signing.[[END]][[IF DurationChoice=TBD]]The duration of the confidentiality obligations shall be determined further: ____________________ (to be completed).[[END]]</w:t>
      </w:r>
    </w:p>
    <w:p>
      <w:pPr>
        <w:pStyle w:val="Normal"/>
        <w:widowControl w:val="false"/>
        <w:numPr>
          <w:ilvl w:val="3"/>
          <w:numId w:val="4"/>
        </w:numPr>
        <w:spacing w:lineRule="auto" w:line="276" w:before="240" w:after="240"/>
        <w:jc w:val="both"/>
        <w:outlineLvl w:val="0"/>
        <w:rPr>
          <w:b/>
          <w:caps/>
          <w:sz w:val="18"/>
          <w:szCs w:val="18"/>
          <w:lang w:val="en-GB" w:eastAsia="en-GB"/>
        </w:rPr>
      </w:pPr>
      <w:r>
        <w:rPr>
          <w:b/>
          <w:caps/>
          <w:sz w:val="18"/>
          <w:szCs w:val="18"/>
          <w:lang w:val="en-GB" w:eastAsia="en-GB"/>
        </w:rPr>
        <w:t>MISCELLANEOUS PROVISIONS</w:t>
      </w:r>
    </w:p>
    <w:p>
      <w:pPr>
        <w:pStyle w:val="Normal"/>
        <w:widowControl w:val="false"/>
        <w:numPr>
          <w:ilvl w:val="4"/>
          <w:numId w:val="4"/>
        </w:numPr>
        <w:spacing w:lineRule="auto" w:line="276" w:before="0" w:after="240"/>
        <w:jc w:val="both"/>
        <w:outlineLvl w:val="1"/>
        <w:rPr>
          <w:sz w:val="18"/>
          <w:szCs w:val="18"/>
          <w:lang w:eastAsia="en-GB"/>
        </w:rPr>
      </w:pPr>
      <w:r>
        <w:rPr>
          <w:sz w:val="18"/>
          <w:szCs w:val="18"/>
          <w:lang w:eastAsia="en-GB"/>
        </w:rPr>
        <w:t>This document contains the entire agreement between the parties with regard to the subject matter of this agreement (non-disclosure of Confidential Information).</w:t>
      </w:r>
    </w:p>
    <w:p>
      <w:pPr>
        <w:pStyle w:val="Normal"/>
        <w:widowControl w:val="false"/>
        <w:numPr>
          <w:ilvl w:val="4"/>
          <w:numId w:val="4"/>
        </w:numPr>
        <w:spacing w:lineRule="auto" w:line="276" w:before="0" w:after="240"/>
        <w:jc w:val="both"/>
        <w:outlineLvl w:val="1"/>
        <w:rPr>
          <w:sz w:val="18"/>
          <w:szCs w:val="18"/>
          <w:lang w:eastAsia="en-GB"/>
        </w:rPr>
      </w:pPr>
      <w:r>
        <w:rPr>
          <w:sz w:val="18"/>
          <w:szCs w:val="18"/>
          <w:lang w:eastAsia="en-GB"/>
        </w:rPr>
        <w:t>If a provision of this Agreement is not enforced, this does not constitute a waiver thereof or of any other provision.</w:t>
      </w:r>
    </w:p>
    <w:p>
      <w:pPr>
        <w:pStyle w:val="Normal"/>
        <w:widowControl w:val="false"/>
        <w:numPr>
          <w:ilvl w:val="4"/>
          <w:numId w:val="4"/>
        </w:numPr>
        <w:spacing w:lineRule="auto" w:line="276" w:before="0" w:after="240"/>
        <w:jc w:val="both"/>
        <w:outlineLvl w:val="1"/>
        <w:rPr>
          <w:sz w:val="18"/>
          <w:szCs w:val="18"/>
          <w:lang w:eastAsia="en-GB"/>
        </w:rPr>
      </w:pPr>
      <w:r>
        <w:rPr>
          <w:sz w:val="18"/>
          <w:szCs w:val="18"/>
          <w:lang w:eastAsia="en-GB"/>
        </w:rPr>
        <w:t>This non-disclosure agreement cannot be amended, nor can any obligation be waived, unless signed in writing by both parties.</w:t>
      </w:r>
    </w:p>
    <w:p>
      <w:pPr>
        <w:pStyle w:val="Normal"/>
        <w:widowControl w:val="false"/>
        <w:numPr>
          <w:ilvl w:val="4"/>
          <w:numId w:val="4"/>
        </w:numPr>
        <w:spacing w:lineRule="auto" w:line="276" w:before="0" w:after="240"/>
        <w:jc w:val="both"/>
        <w:outlineLvl w:val="1"/>
        <w:rPr>
          <w:sz w:val="18"/>
          <w:szCs w:val="18"/>
          <w:lang w:eastAsia="en-GB"/>
        </w:rPr>
      </w:pPr>
      <w:r>
        <w:rPr>
          <w:sz w:val="18"/>
          <w:szCs w:val="18"/>
          <w:lang w:eastAsia="en-GB"/>
        </w:rPr>
        <w:t>This non-disclosure agreement is governed by and construed in accordance with the laws of the Netherlands, without reference to its conflict of law principles. The court in Amsterdam, the Netherlands, has exclusive jurisdiction to hear all disputes in connection with this non-disclosure agreement.</w:t>
      </w:r>
    </w:p>
    <w:p>
      <w:pPr>
        <w:pStyle w:val="Normal"/>
        <w:widowControl w:val="false"/>
        <w:numPr>
          <w:ilvl w:val="0"/>
          <w:numId w:val="0"/>
        </w:numPr>
        <w:spacing w:lineRule="auto" w:line="276" w:before="0" w:after="240"/>
        <w:jc w:val="both"/>
        <w:outlineLvl w:val="1"/>
        <w:rPr>
          <w:sz w:val="18"/>
          <w:szCs w:val="18"/>
          <w:lang w:eastAsia="en-GB"/>
        </w:rPr>
      </w:pPr>
      <w:r>
        <w:rPr>
          <w:sz w:val="18"/>
          <w:szCs w:val="18"/>
          <w:lang w:eastAsia="en-GB"/>
        </w:rPr>
      </w:r>
    </w:p>
    <w:p>
      <w:pPr>
        <w:pStyle w:val="Normal"/>
        <w:widowControl w:val="false"/>
        <w:numPr>
          <w:ilvl w:val="0"/>
          <w:numId w:val="0"/>
        </w:numPr>
        <w:spacing w:lineRule="auto" w:line="276" w:before="0" w:after="240"/>
        <w:jc w:val="both"/>
        <w:outlineLvl w:val="1"/>
        <w:rPr>
          <w:sz w:val="18"/>
          <w:szCs w:val="18"/>
          <w:lang w:eastAsia="en-GB"/>
        </w:rPr>
      </w:pPr>
      <w:r>
        <w:rPr>
          <w:sz w:val="18"/>
          <w:szCs w:val="18"/>
          <w:lang w:eastAsia="en-GB"/>
        </w:rPr>
        <w:t>Thus agreed and signed:</w:t>
      </w:r>
    </w:p>
    <w:p>
      <w:pPr>
        <w:pStyle w:val="Normal"/>
        <w:widowControl w:val="false"/>
        <w:numPr>
          <w:ilvl w:val="0"/>
          <w:numId w:val="0"/>
        </w:numPr>
        <w:spacing w:lineRule="auto" w:line="276" w:before="0" w:after="240"/>
        <w:jc w:val="both"/>
        <w:outlineLvl w:val="1"/>
        <w:rPr>
          <w:sz w:val="18"/>
          <w:szCs w:val="18"/>
          <w:lang w:eastAsia="en-GB"/>
        </w:rPr>
      </w:pPr>
      <w:r>
        <w:rPr>
          <w:sz w:val="18"/>
          <w:szCs w:val="18"/>
          <w:lang w:eastAsia="en-GB"/>
        </w:rPr>
      </w:r>
    </w:p>
    <w:tbl>
      <w:tblPr>
        <w:tblW w:w="853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269"/>
        <w:gridCol w:w="4269"/>
      </w:tblGrid>
      <w:tr>
        <w:trPr/>
        <w:tc>
          <w:tcPr>
            <w:tcW w:w="4269" w:type="dxa"/>
            <w:tcBorders/>
          </w:tcPr>
          <w:p>
            <w:pPr>
              <w:pStyle w:val="Normal"/>
              <w:spacing w:before="0" w:after="120"/>
              <w:rPr/>
            </w:pPr>
            <w:r>
              <w:rPr>
                <w:b/>
                <w:sz w:val="20"/>
              </w:rPr>
              <w:t>HEMA</w:t>
            </w:r>
          </w:p>
          <w:p>
            <w:pPr>
              <w:pStyle w:val="Normal"/>
              <w:spacing w:before="0" w:after="120"/>
              <w:rPr/>
            </w:pPr>
            <w:r>
              <w:rPr>
                <w:b w:val="false"/>
                <w:sz w:val="20"/>
              </w:rPr>
              <w:t>By: {{HemaSignatory}}</w:t>
            </w:r>
          </w:p>
          <w:p>
            <w:pPr>
              <w:pStyle w:val="Normal"/>
              <w:spacing w:before="0" w:after="120"/>
              <w:rPr/>
            </w:pPr>
            <w:r>
              <w:rPr>
                <w:b w:val="false"/>
                <w:sz w:val="20"/>
              </w:rPr>
              <w:t>Title: {{HemaFunction}}</w:t>
            </w:r>
          </w:p>
          <w:p>
            <w:pPr>
              <w:pStyle w:val="Normal"/>
              <w:spacing w:before="0" w:after="120"/>
              <w:rPr/>
            </w:pPr>
            <w:r>
              <w:rPr>
                <w:b w:val="false"/>
                <w:sz w:val="20"/>
              </w:rPr>
              <w:t>Date: ____________________</w:t>
            </w:r>
          </w:p>
          <w:p>
            <w:pPr>
              <w:pStyle w:val="Normal"/>
              <w:spacing w:before="0" w:after="120"/>
              <w:rPr/>
            </w:pPr>
            <w:r>
              <w:rPr>
                <w:b w:val="false"/>
                <w:sz w:val="20"/>
              </w:rPr>
              <w:t>Signature: ____________________</w:t>
            </w:r>
          </w:p>
        </w:tc>
        <w:tc>
          <w:tcPr>
            <w:tcW w:w="4269" w:type="dxa"/>
            <w:tcBorders/>
          </w:tcPr>
          <w:p>
            <w:pPr>
              <w:pStyle w:val="Normal"/>
              <w:spacing w:before="0" w:after="120"/>
              <w:rPr/>
            </w:pPr>
            <w:r>
              <w:rPr>
                <w:b/>
                <w:sz w:val="20"/>
              </w:rPr>
              <w:t>{{CounterpartyName}}</w:t>
            </w:r>
          </w:p>
          <w:p>
            <w:pPr>
              <w:pStyle w:val="Normal"/>
              <w:spacing w:before="0" w:after="120"/>
              <w:rPr/>
            </w:pPr>
            <w:r>
              <w:rPr>
                <w:b w:val="false"/>
                <w:sz w:val="20"/>
              </w:rPr>
              <w:t>By: {{CounterpartySignatory}}</w:t>
            </w:r>
          </w:p>
          <w:p>
            <w:pPr>
              <w:pStyle w:val="Normal"/>
              <w:spacing w:before="0" w:after="120"/>
              <w:rPr/>
            </w:pPr>
            <w:r>
              <w:rPr>
                <w:b w:val="false"/>
                <w:sz w:val="20"/>
              </w:rPr>
              <w:t>Title: {{CounterpartyFunction}}</w:t>
            </w:r>
          </w:p>
          <w:p>
            <w:pPr>
              <w:pStyle w:val="Normal"/>
              <w:spacing w:before="0" w:after="120"/>
              <w:rPr/>
            </w:pPr>
            <w:r>
              <w:rPr>
                <w:b w:val="false"/>
                <w:sz w:val="20"/>
              </w:rPr>
              <w:t>Date: ____________________</w:t>
            </w:r>
          </w:p>
          <w:p>
            <w:pPr>
              <w:pStyle w:val="Normal"/>
              <w:spacing w:before="0" w:after="120"/>
              <w:rPr/>
            </w:pPr>
            <w:r>
              <w:rPr>
                <w:b w:val="false"/>
                <w:sz w:val="20"/>
              </w:rPr>
              <w:t>Signature: ____________________</w:t>
            </w:r>
          </w:p>
        </w:tc>
      </w:tr>
    </w:tbl>
    <w:p>
      <w:pPr>
        <w:pStyle w:val="Normal"/>
        <w:widowControl w:val="false"/>
        <w:numPr>
          <w:ilvl w:val="0"/>
          <w:numId w:val="0"/>
        </w:numPr>
        <w:spacing w:lineRule="auto" w:line="276" w:before="0" w:after="240"/>
        <w:jc w:val="both"/>
        <w:outlineLvl w:val="1"/>
        <w:rPr>
          <w:sz w:val="18"/>
          <w:szCs w:val="18"/>
          <w:lang w:eastAsia="en-GB"/>
        </w:rPr>
      </w:pPr>
      <w:r>
        <w:rPr>
          <w:sz w:val="18"/>
          <w:szCs w:val="18"/>
          <w:lang w:eastAsia="en-GB"/>
        </w:rPr>
      </w:r>
    </w:p>
    <w:sectPr>
      <w:headerReference w:type="even" r:id="rId2"/>
      <w:headerReference w:type="default" r:id="rId3"/>
      <w:headerReference w:type="first" r:id="rId4"/>
      <w:type w:val="nextPage"/>
      <w:pgSz w:w="11906" w:h="16838"/>
      <w:pgMar w:left="1684" w:right="1684" w:gutter="0" w:header="709" w:top="2625" w:footer="0" w:bottom="1418"/>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Tahoma">
    <w:charset w:val="01"/>
    <w:family w:val="roman"/>
    <w:pitch w:val="variable"/>
  </w:font>
  <w:font w:name="Liberation Sans">
    <w:altName w:val="Arial"/>
    <w:charset w:val="01"/>
    <w:family w:val="swiss"/>
    <w:pitch w:val="variable"/>
  </w:font>
  <w:font w:name="Verdana">
    <w:charset w:val="01"/>
    <w:family w:val="roman"/>
    <w:pitch w:val="variable"/>
  </w:font>
  <w:font w:name="Calibri">
    <w:charset w:val="01"/>
    <w:family w:val="roman"/>
    <w:pitch w:val="variable"/>
  </w:font>
  <w:font w:name="Wingdings">
    <w:charset w:val="02"/>
    <w:family w:val="auto"/>
    <w:pitch w:val="default"/>
  </w:font>
  <w:font w:name="OpenSymbol">
    <w:altName w:val="Arial Unicode MS"/>
    <w:charset w:val="01"/>
    <w:family w:val="auto"/>
    <w:pitch w:val="default"/>
  </w:font>
  <w:font w:name="Symbol">
    <w:charset w:val="02"/>
    <w:family w:val="auto"/>
    <w:pitch w:val="default"/>
  </w:font>
  <w:font w:name="Courier New">
    <w:charset w:val="0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11114" w:type="dxa"/>
      <w:jc w:val="left"/>
      <w:tblInd w:w="-8" w:type="dxa"/>
      <w:tblLayout w:type="fixed"/>
      <w:tblCellMar>
        <w:top w:w="0" w:type="dxa"/>
        <w:left w:w="0" w:type="dxa"/>
        <w:bottom w:w="0" w:type="dxa"/>
        <w:right w:w="0" w:type="dxa"/>
      </w:tblCellMar>
      <w:tblLook w:val="0000" w:noHBand="0" w:noVBand="0" w:firstColumn="0" w:lastRow="0" w:lastColumn="0" w:firstRow="0"/>
    </w:tblPr>
    <w:tblGrid>
      <w:gridCol w:w="11114"/>
    </w:tblGrid>
    <w:tr>
      <w:trPr>
        <w:trHeight w:val="1531" w:hRule="atLeast"/>
      </w:trPr>
      <w:tc>
        <w:tcPr>
          <w:tcW w:w="11114" w:type="dxa"/>
          <w:tcBorders/>
        </w:tcPr>
        <w:p>
          <w:pPr>
            <w:pStyle w:val="Normal"/>
            <w:rPr/>
          </w:pPr>
          <w:bookmarkStart w:id="22" w:name="LogoPage2"/>
          <w:bookmarkEnd w:id="22"/>
          <w:r>
            <w:rPr/>
            <w:drawing>
              <wp:inline distT="0" distB="0" distL="0" distR="0">
                <wp:extent cx="7054850" cy="1003300"/>
                <wp:effectExtent l="0" t="0" r="0" b="0"/>
                <wp:docPr id="1" name="Afbeelding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2" descr=""/>
                        <pic:cNvPicPr>
                          <a:picLocks noChangeAspect="1" noChangeArrowheads="1"/>
                        </pic:cNvPicPr>
                      </pic:nvPicPr>
                      <pic:blipFill>
                        <a:blip r:embed="rId1"/>
                        <a:stretch>
                          <a:fillRect/>
                        </a:stretch>
                      </pic:blipFill>
                      <pic:spPr bwMode="auto">
                        <a:xfrm>
                          <a:off x="0" y="0"/>
                          <a:ext cx="7054850" cy="1003300"/>
                        </a:xfrm>
                        <a:prstGeom prst="rect">
                          <a:avLst/>
                        </a:prstGeom>
                      </pic:spPr>
                    </pic:pic>
                  </a:graphicData>
                </a:graphic>
              </wp:inline>
            </w:drawing>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11114" w:type="dxa"/>
      <w:jc w:val="left"/>
      <w:tblInd w:w="-8" w:type="dxa"/>
      <w:tblLayout w:type="fixed"/>
      <w:tblCellMar>
        <w:top w:w="0" w:type="dxa"/>
        <w:left w:w="0" w:type="dxa"/>
        <w:bottom w:w="0" w:type="dxa"/>
        <w:right w:w="0" w:type="dxa"/>
      </w:tblCellMar>
      <w:tblLook w:val="0000" w:noHBand="0" w:noVBand="0" w:firstColumn="0" w:lastRow="0" w:lastColumn="0" w:firstRow="0"/>
    </w:tblPr>
    <w:tblGrid>
      <w:gridCol w:w="11114"/>
    </w:tblGrid>
    <w:tr>
      <w:trPr>
        <w:trHeight w:val="1531" w:hRule="atLeast"/>
      </w:trPr>
      <w:tc>
        <w:tcPr>
          <w:tcW w:w="11114" w:type="dxa"/>
          <w:tcBorders/>
        </w:tcPr>
        <w:p>
          <w:pPr>
            <w:pStyle w:val="Normal"/>
            <w:rPr/>
          </w:pPr>
          <w:bookmarkStart w:id="23" w:name="LogoPage1"/>
          <w:bookmarkEnd w:id="23"/>
          <w:r>
            <w:rPr/>
            <w:drawing>
              <wp:inline distT="0" distB="0" distL="0" distR="0">
                <wp:extent cx="7048500" cy="1003300"/>
                <wp:effectExtent l="0" t="0" r="0" b="0"/>
                <wp:docPr id="2" name="Afbeelding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1" descr=""/>
                        <pic:cNvPicPr>
                          <a:picLocks noChangeAspect="1" noChangeArrowheads="1"/>
                        </pic:cNvPicPr>
                      </pic:nvPicPr>
                      <pic:blipFill>
                        <a:blip r:embed="rId1"/>
                        <a:stretch>
                          <a:fillRect/>
                        </a:stretch>
                      </pic:blipFill>
                      <pic:spPr bwMode="auto">
                        <a:xfrm>
                          <a:off x="0" y="0"/>
                          <a:ext cx="7048500" cy="1003300"/>
                        </a:xfrm>
                        <a:prstGeom prst="rect">
                          <a:avLst/>
                        </a:prstGeom>
                      </pic:spPr>
                    </pic:pic>
                  </a:graphicData>
                </a:graphic>
              </wp:inline>
            </w:drawing>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284" w:hanging="284"/>
      </w:pPr>
      <w:rPr>
        <w:rFonts w:ascii="Wingdings" w:hAnsi="Wingdings" w:cs="Wingdings" w:hint="default"/>
      </w:rPr>
    </w:lvl>
    <w:lvl w:ilvl="1">
      <w:start w:val="1"/>
      <w:numFmt w:val="bullet"/>
      <w:lvlText w:val="-"/>
      <w:lvlJc w:val="left"/>
      <w:pPr>
        <w:tabs>
          <w:tab w:val="num" w:pos="644"/>
        </w:tabs>
        <w:ind w:left="567" w:hanging="283"/>
      </w:pPr>
      <w:rPr>
        <w:rFonts w:ascii="OpenSymbol" w:hAnsi="OpenSymbol" w:cs="OpenSymbol" w:hint="default"/>
      </w:rPr>
    </w:lvl>
    <w:lvl w:ilvl="2">
      <w:start w:val="1"/>
      <w:numFmt w:val="bullet"/>
      <w:lvlText w:val=""/>
      <w:lvlJc w:val="left"/>
      <w:pPr>
        <w:tabs>
          <w:tab w:val="num" w:pos="1080"/>
        </w:tabs>
        <w:ind w:left="1080" w:hanging="360"/>
      </w:pPr>
      <w:rPr>
        <w:rFonts w:ascii="Wingdings" w:hAnsi="Wingdings" w:cs="Wingdings"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Symbol" w:hAnsi="Symbol" w:cs="Symbol" w:hint="default"/>
      </w:rPr>
    </w:lvl>
    <w:lvl w:ilvl="5">
      <w:start w:val="1"/>
      <w:numFmt w:val="bullet"/>
      <w:lvlText w:val=""/>
      <w:lvlJc w:val="left"/>
      <w:pPr>
        <w:tabs>
          <w:tab w:val="num" w:pos="2160"/>
        </w:tabs>
        <w:ind w:left="2160" w:hanging="360"/>
      </w:pPr>
      <w:rPr>
        <w:rFonts w:ascii="Wingdings" w:hAnsi="Wingdings" w:cs="Wingdings" w:hint="default"/>
      </w:rPr>
    </w:lvl>
    <w:lvl w:ilvl="6">
      <w:start w:val="1"/>
      <w:numFmt w:val="bullet"/>
      <w:lvlText w:val=""/>
      <w:lvlJc w:val="left"/>
      <w:pPr>
        <w:tabs>
          <w:tab w:val="num" w:pos="2520"/>
        </w:tabs>
        <w:ind w:left="2520" w:hanging="360"/>
      </w:pPr>
      <w:rPr>
        <w:rFonts w:ascii="Wingdings" w:hAnsi="Wingdings" w:cs="Wingdings" w:hint="default"/>
      </w:rPr>
    </w:lvl>
    <w:lvl w:ilvl="7">
      <w:start w:val="1"/>
      <w:numFmt w:val="bullet"/>
      <w:lvlText w:val=""/>
      <w:lvlJc w:val="left"/>
      <w:pPr>
        <w:tabs>
          <w:tab w:val="num" w:pos="2880"/>
        </w:tabs>
        <w:ind w:left="2880" w:hanging="360"/>
      </w:pPr>
      <w:rPr>
        <w:rFonts w:ascii="Symbol" w:hAnsi="Symbol" w:cs="Symbol" w:hint="default"/>
      </w:rPr>
    </w:lvl>
    <w:lvl w:ilvl="8">
      <w:start w:val="1"/>
      <w:numFmt w:val="bullet"/>
      <w:lvlText w:val=""/>
      <w:lvlJc w:val="left"/>
      <w:pPr>
        <w:tabs>
          <w:tab w:val="num" w:pos="3240"/>
        </w:tabs>
        <w:ind w:left="3240" w:hanging="360"/>
      </w:pPr>
      <w:rPr>
        <w:rFonts w:ascii="Symbol" w:hAnsi="Symbol" w:cs="Symbol" w:hint="default"/>
      </w:rPr>
    </w:lvl>
  </w:abstractNum>
  <w:abstractNum w:abstractNumId="2">
    <w:lvl w:ilvl="0">
      <w:start w:val="1"/>
      <w:numFmt w:val="bullet"/>
      <w:lvlText w:val=""/>
      <w:lvlJc w:val="left"/>
      <w:pPr>
        <w:tabs>
          <w:tab w:val="num" w:pos="360"/>
        </w:tabs>
        <w:ind w:left="284" w:hanging="284"/>
      </w:pPr>
      <w:rPr>
        <w:rFonts w:ascii="Wingdings" w:hAnsi="Wingdings" w:cs="Wingdings" w:hint="default"/>
        <w:sz w:val="14"/>
        <w:i w:val="false"/>
        <w:b w:val="false"/>
        <w:szCs w:val="14"/>
        <w:iCs w:val="false"/>
        <w:bCs w:val="fals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decimal"/>
      <w:lvlText w:val="%1."/>
      <w:lvlJc w:val="left"/>
      <w:pPr>
        <w:tabs>
          <w:tab w:val="num" w:pos="567"/>
        </w:tabs>
        <w:ind w:left="567" w:hanging="567"/>
      </w:pPr>
      <w:rPr>
        <w:sz w:val="18"/>
        <w:i w:val="false"/>
        <w:u w:val="none"/>
        <w:b/>
        <w:rFonts w:ascii="Arial" w:hAnsi="Arial" w:cs="Arial"/>
      </w:rPr>
    </w:lvl>
    <w:lvl w:ilvl="1">
      <w:start w:val="1"/>
      <w:numFmt w:val="decimal"/>
      <w:lvlText w:val="%1.%2."/>
      <w:lvlJc w:val="left"/>
      <w:pPr>
        <w:tabs>
          <w:tab w:val="num" w:pos="567"/>
        </w:tabs>
        <w:ind w:left="567" w:hanging="567"/>
      </w:pPr>
      <w:rPr>
        <w:sz w:val="18"/>
        <w:i w:val="false"/>
        <w:b w:val="false"/>
        <w:rFonts w:ascii="Arial" w:hAnsi="Arial" w:cs="Arial"/>
      </w:rPr>
    </w:lvl>
    <w:lvl w:ilvl="2">
      <w:start w:val="1"/>
      <w:numFmt w:val="lowerLetter"/>
      <w:lvlText w:val="%3)"/>
      <w:lvlJc w:val="left"/>
      <w:pPr>
        <w:tabs>
          <w:tab w:val="num" w:pos="1021"/>
        </w:tabs>
        <w:ind w:left="1021" w:hanging="454"/>
      </w:pPr>
      <w:rPr>
        <w:smallCaps w:val="false"/>
        <w:caps w:val="false"/>
        <w:sz w:val="18"/>
        <w:i w:val="false"/>
        <w:b w:val="false"/>
        <w:rFonts w:ascii="Verdana" w:hAnsi="Verdana"/>
      </w:rPr>
    </w:lvl>
    <w:lvl w:ilvl="3">
      <w:start w:val="1"/>
      <w:numFmt w:val="lowerRoman"/>
      <w:lvlText w:val="%4)"/>
      <w:lvlJc w:val="left"/>
      <w:pPr>
        <w:tabs>
          <w:tab w:val="num" w:pos="1571"/>
        </w:tabs>
        <w:ind w:left="1418" w:hanging="567"/>
      </w:pPr>
      <w:rPr>
        <w:sz w:val="18"/>
        <w:i w:val="false"/>
        <w:b w:val="false"/>
        <w:rFonts w:ascii="Verdana" w:hAnsi="Verdana"/>
      </w:rPr>
    </w:lvl>
    <w:lvl w:ilvl="4">
      <w:start w:val="1"/>
      <w:numFmt w:val="none"/>
      <w:suff w:val="nothing"/>
      <w:lvlText w:val=""/>
      <w:lvlJc w:val="left"/>
      <w:pPr>
        <w:tabs>
          <w:tab w:val="num" w:pos="360"/>
        </w:tabs>
        <w:ind w:left="0" w:hanging="0"/>
      </w:pPr>
      <w:rPr/>
    </w:lvl>
    <w:lvl w:ilvl="5">
      <w:start w:val="1"/>
      <w:numFmt w:val="none"/>
      <w:suff w:val="nothing"/>
      <w:lvlText w:val=""/>
      <w:lvlJc w:val="left"/>
      <w:pPr>
        <w:tabs>
          <w:tab w:val="num" w:pos="2736"/>
        </w:tabs>
        <w:ind w:left="2736" w:hanging="936"/>
      </w:pPr>
      <w:rPr/>
    </w:lvl>
    <w:lvl w:ilvl="6">
      <w:start w:val="1"/>
      <w:numFmt w:val="none"/>
      <w:suff w:val="nothing"/>
      <w:lvlText w:val=""/>
      <w:lvlJc w:val="left"/>
      <w:pPr>
        <w:tabs>
          <w:tab w:val="num" w:pos="3240"/>
        </w:tabs>
        <w:ind w:left="3240" w:hanging="1080"/>
      </w:pPr>
      <w:rPr/>
    </w:lvl>
    <w:lvl w:ilvl="7">
      <w:start w:val="1"/>
      <w:numFmt w:val="none"/>
      <w:suff w:val="nothing"/>
      <w:lvlText w:val=""/>
      <w:lvlJc w:val="left"/>
      <w:pPr>
        <w:tabs>
          <w:tab w:val="num" w:pos="3744"/>
        </w:tabs>
        <w:ind w:left="3744" w:hanging="1224"/>
      </w:pPr>
      <w:rPr/>
    </w:lvl>
    <w:lvl w:ilvl="8">
      <w:start w:val="1"/>
      <w:numFmt w:val="none"/>
      <w:suff w:val="nothing"/>
      <w:lvlText w:val=""/>
      <w:lvlJc w:val="left"/>
      <w:pPr>
        <w:tabs>
          <w:tab w:val="num" w:pos="4320"/>
        </w:tabs>
        <w:ind w:left="4320" w:hanging="1440"/>
      </w:pPr>
      <w:rPr/>
    </w:lvl>
  </w:abstractNum>
  <w:abstractNum w:abstractNumId="4">
    <w:lvl w:ilvl="0">
      <w:numFmt w:val="decimal"/>
      <w:lvlText w:val="Schedule %1."/>
      <w:lvlJc w:val="left"/>
      <w:pPr>
        <w:tabs>
          <w:tab w:val="num" w:pos="0"/>
        </w:tabs>
        <w:ind w:left="1701" w:hanging="1701"/>
      </w:pPr>
      <w:rPr>
        <w:rFonts w:cs="Times New Roman"/>
      </w:rPr>
    </w:lvl>
    <w:lvl w:ilvl="1">
      <w:start w:val="0"/>
      <w:numFmt w:val="decimal"/>
      <w:lvlText w:val="Annex %2."/>
      <w:lvlJc w:val="left"/>
      <w:pPr>
        <w:tabs>
          <w:tab w:val="num" w:pos="0"/>
        </w:tabs>
        <w:ind w:left="1701" w:hanging="1701"/>
      </w:pPr>
      <w:rPr>
        <w:rFonts w:cs="Times New Roman"/>
      </w:rPr>
    </w:lvl>
    <w:lvl w:ilvl="2">
      <w:start w:val="1"/>
      <w:numFmt w:val="upperRoman"/>
      <w:lvlText w:val="Part %3."/>
      <w:lvlJc w:val="left"/>
      <w:pPr>
        <w:tabs>
          <w:tab w:val="num" w:pos="0"/>
        </w:tabs>
        <w:ind w:left="1701" w:hanging="1701"/>
      </w:pPr>
      <w:rPr>
        <w:rFonts w:cs="Times New Roman"/>
      </w:rPr>
    </w:lvl>
    <w:lvl w:ilvl="3">
      <w:start w:val="1"/>
      <w:numFmt w:val="decimal"/>
      <w:lvlText w:val="%4."/>
      <w:lvlJc w:val="left"/>
      <w:pPr>
        <w:tabs>
          <w:tab w:val="num" w:pos="0"/>
        </w:tabs>
        <w:ind w:left="567" w:hanging="567"/>
      </w:pPr>
      <w:rPr>
        <w:rFonts w:cs="Times New Roman"/>
      </w:rPr>
    </w:lvl>
    <w:lvl w:ilvl="4">
      <w:start w:val="1"/>
      <w:numFmt w:val="decimal"/>
      <w:lvlText w:val="%4.%5"/>
      <w:lvlJc w:val="left"/>
      <w:pPr>
        <w:tabs>
          <w:tab w:val="num" w:pos="0"/>
        </w:tabs>
        <w:ind w:left="567" w:hanging="567"/>
      </w:pPr>
      <w:rPr>
        <w:rFonts w:cs="Times New Roman"/>
      </w:rPr>
    </w:lvl>
    <w:lvl w:ilvl="5">
      <w:start w:val="1"/>
      <w:numFmt w:val="lowerLetter"/>
      <w:lvlText w:val="(%6)"/>
      <w:lvlJc w:val="left"/>
      <w:pPr>
        <w:tabs>
          <w:tab w:val="num" w:pos="0"/>
        </w:tabs>
        <w:ind w:left="1134" w:hanging="567"/>
      </w:pPr>
      <w:rPr>
        <w:rFonts w:cs="Times New Roman"/>
      </w:rPr>
    </w:lvl>
    <w:lvl w:ilvl="6">
      <w:start w:val="1"/>
      <w:numFmt w:val="lowerRoman"/>
      <w:lvlText w:val="(%7)"/>
      <w:lvlJc w:val="left"/>
      <w:pPr>
        <w:tabs>
          <w:tab w:val="num" w:pos="0"/>
        </w:tabs>
        <w:ind w:left="1701" w:hanging="567"/>
      </w:pPr>
      <w:rPr>
        <w:rFonts w:cs="Times New Roman"/>
      </w:rPr>
    </w:lvl>
    <w:lvl w:ilvl="7">
      <w:start w:val="1"/>
      <w:numFmt w:val="upperLetter"/>
      <w:lvlText w:val="(%8)"/>
      <w:lvlJc w:val="left"/>
      <w:pPr>
        <w:tabs>
          <w:tab w:val="num" w:pos="0"/>
        </w:tabs>
        <w:ind w:left="567" w:firstLine="1134"/>
      </w:pPr>
      <w:rPr>
        <w:rFonts w:cs="Times New Roman"/>
      </w:rPr>
    </w:lvl>
    <w:lvl w:ilvl="8">
      <w:start w:val="1"/>
      <w:numFmt w:val="decimal"/>
      <w:lvlText w:val="(%9)"/>
      <w:lvlJc w:val="left"/>
      <w:pPr>
        <w:tabs>
          <w:tab w:val="num" w:pos="0"/>
        </w:tabs>
        <w:ind w:left="1134" w:firstLine="1134"/>
      </w:pPr>
      <w:rPr>
        <w:rFonts w:cs="Times New Roman"/>
      </w:rPr>
    </w:lvl>
  </w:abstractNum>
  <w:abstractNum w:abstractNumId="5">
    <w:lvl w:ilvl="0">
      <w:start w:val="1"/>
      <w:numFmt w:val="none"/>
      <w:suff w:val="nothing"/>
      <w:lvlText w:val=""/>
      <w:lvlJc w:val="left"/>
      <w:pPr>
        <w:tabs>
          <w:tab w:val="num" w:pos="0"/>
        </w:tabs>
        <w:ind w:left="0" w:hanging="0"/>
      </w:pPr>
      <w:rPr>
        <w:rFonts w:cs="Times New Roman"/>
      </w:rPr>
    </w:lvl>
    <w:lvl w:ilvl="1">
      <w:start w:val="1"/>
      <w:numFmt w:val="none"/>
      <w:suff w:val="nothing"/>
      <w:lvlText w:val=""/>
      <w:lvlJc w:val="left"/>
      <w:pPr>
        <w:tabs>
          <w:tab w:val="num" w:pos="0"/>
        </w:tabs>
        <w:ind w:left="0" w:hanging="0"/>
      </w:pPr>
      <w:rPr>
        <w:rFonts w:cs="Times New Roman"/>
      </w:rPr>
    </w:lvl>
    <w:lvl w:ilvl="2">
      <w:start w:val="1"/>
      <w:numFmt w:val="decimal"/>
      <w:lvlText w:val="%3."/>
      <w:lvlJc w:val="left"/>
      <w:pPr>
        <w:tabs>
          <w:tab w:val="num" w:pos="0"/>
        </w:tabs>
        <w:ind w:left="567" w:hanging="567"/>
      </w:pPr>
      <w:rPr>
        <w:rFonts w:cs="Times New Roman"/>
      </w:rPr>
    </w:lvl>
    <w:lvl w:ilvl="3">
      <w:start w:val="1"/>
      <w:numFmt w:val="upperRoman"/>
      <w:lvlText w:val="%4."/>
      <w:lvlJc w:val="left"/>
      <w:pPr>
        <w:tabs>
          <w:tab w:val="num" w:pos="0"/>
        </w:tabs>
        <w:ind w:left="567" w:hanging="567"/>
      </w:pPr>
      <w:rPr>
        <w:rFonts w:cs="Times New Roman"/>
      </w:rPr>
    </w:lvl>
    <w:lvl w:ilvl="4">
      <w:start w:val="1"/>
      <w:numFmt w:val="none"/>
      <w:suff w:val="nothing"/>
      <w:lvlText w:val=""/>
      <w:lvlJc w:val="left"/>
      <w:pPr>
        <w:tabs>
          <w:tab w:val="num" w:pos="0"/>
        </w:tabs>
        <w:ind w:left="0" w:hanging="0"/>
      </w:pPr>
      <w:rPr>
        <w:rFonts w:cs="Times New Roman"/>
      </w:rPr>
    </w:lvl>
    <w:lvl w:ilvl="5">
      <w:start w:val="1"/>
      <w:numFmt w:val="none"/>
      <w:suff w:val="nothing"/>
      <w:lvlText w:val=""/>
      <w:lvlJc w:val="left"/>
      <w:pPr>
        <w:tabs>
          <w:tab w:val="num" w:pos="0"/>
        </w:tabs>
        <w:ind w:left="0" w:hanging="0"/>
      </w:pPr>
      <w:rPr>
        <w:rFonts w:cs="Times New Roman"/>
      </w:rPr>
    </w:lvl>
    <w:lvl w:ilvl="6">
      <w:start w:val="1"/>
      <w:numFmt w:val="none"/>
      <w:suff w:val="nothing"/>
      <w:lvlText w:val=""/>
      <w:lvlJc w:val="left"/>
      <w:pPr>
        <w:tabs>
          <w:tab w:val="num" w:pos="0"/>
        </w:tabs>
        <w:ind w:left="0" w:hanging="0"/>
      </w:pPr>
      <w:rPr>
        <w:rFonts w:cs="Times New Roman"/>
      </w:rPr>
    </w:lvl>
    <w:lvl w:ilvl="7">
      <w:start w:val="1"/>
      <w:numFmt w:val="none"/>
      <w:suff w:val="nothing"/>
      <w:lvlText w:val=""/>
      <w:lvlJc w:val="left"/>
      <w:pPr>
        <w:tabs>
          <w:tab w:val="num" w:pos="0"/>
        </w:tabs>
        <w:ind w:left="0" w:hanging="0"/>
      </w:pPr>
      <w:rPr>
        <w:rFonts w:cs="Times New Roman"/>
      </w:rPr>
    </w:lvl>
    <w:lvl w:ilvl="8">
      <w:start w:val="1"/>
      <w:numFmt w:val="none"/>
      <w:suff w:val="nothing"/>
      <w:lvlText w:val=""/>
      <w:lvlJc w:val="left"/>
      <w:pPr>
        <w:tabs>
          <w:tab w:val="num" w:pos="0"/>
        </w:tabs>
        <w:ind w:left="0" w:hanging="0"/>
      </w:pPr>
      <w:rPr>
        <w:rFonts w:cs="Times New Roman"/>
      </w:rPr>
    </w:lvl>
  </w:abstractNum>
  <w:abstractNum w:abstractNumId="6">
    <w:lvl w:ilvl="0">
      <w:start w:val="1"/>
      <w:numFmt w:val="none"/>
      <w:suff w:val="nothing"/>
      <w:lvlText w:val=""/>
      <w:lvlJc w:val="left"/>
      <w:pPr>
        <w:tabs>
          <w:tab w:val="num" w:pos="0"/>
        </w:tabs>
        <w:ind w:left="567" w:hanging="567"/>
      </w:pPr>
      <w:rPr>
        <w:rFonts w:cs="Times New Roman"/>
      </w:rPr>
    </w:lvl>
    <w:lvl w:ilvl="1">
      <w:start w:val="1"/>
      <w:numFmt w:val="none"/>
      <w:suff w:val="nothing"/>
      <w:lvlText w:val=""/>
      <w:lvlJc w:val="left"/>
      <w:pPr>
        <w:tabs>
          <w:tab w:val="num" w:pos="0"/>
        </w:tabs>
        <w:ind w:left="567" w:hanging="567"/>
      </w:pPr>
      <w:rPr>
        <w:rFonts w:cs="Times New Roman"/>
      </w:rPr>
    </w:lvl>
    <w:lvl w:ilvl="2">
      <w:start w:val="1"/>
      <w:numFmt w:val="none"/>
      <w:suff w:val="nothing"/>
      <w:lvlText w:val=""/>
      <w:lvlJc w:val="left"/>
      <w:pPr>
        <w:tabs>
          <w:tab w:val="num" w:pos="0"/>
        </w:tabs>
        <w:ind w:left="567" w:hanging="567"/>
      </w:pPr>
      <w:rPr>
        <w:rFonts w:cs="Times New Roman"/>
      </w:rPr>
    </w:lvl>
    <w:lvl w:ilvl="3">
      <w:start w:val="1"/>
      <w:numFmt w:val="none"/>
      <w:suff w:val="nothing"/>
      <w:lvlText w:val=""/>
      <w:lvlJc w:val="left"/>
      <w:pPr>
        <w:tabs>
          <w:tab w:val="num" w:pos="0"/>
        </w:tabs>
        <w:ind w:left="567" w:hanging="0"/>
      </w:pPr>
      <w:rPr>
        <w:rFonts w:cs="Times New Roman"/>
      </w:rPr>
    </w:lvl>
    <w:lvl w:ilvl="4">
      <w:start w:val="1"/>
      <w:numFmt w:val="none"/>
      <w:suff w:val="nothing"/>
      <w:lvlText w:val=""/>
      <w:lvlJc w:val="left"/>
      <w:pPr>
        <w:tabs>
          <w:tab w:val="num" w:pos="0"/>
        </w:tabs>
        <w:ind w:left="3402" w:hanging="2835"/>
      </w:pPr>
      <w:rPr>
        <w:rFonts w:cs="Times New Roman"/>
      </w:rPr>
    </w:lvl>
    <w:lvl w:ilvl="5">
      <w:start w:val="1"/>
      <w:numFmt w:val="lowerLetter"/>
      <w:lvlText w:val="(%6)"/>
      <w:lvlJc w:val="left"/>
      <w:pPr>
        <w:tabs>
          <w:tab w:val="num" w:pos="0"/>
        </w:tabs>
        <w:ind w:left="3969" w:hanging="567"/>
      </w:pPr>
      <w:rPr>
        <w:rFonts w:cs="Times New Roman"/>
      </w:rPr>
    </w:lvl>
    <w:lvl w:ilvl="6">
      <w:start w:val="1"/>
      <w:numFmt w:val="lowerRoman"/>
      <w:lvlText w:val="(%7)"/>
      <w:lvlJc w:val="left"/>
      <w:pPr>
        <w:tabs>
          <w:tab w:val="num" w:pos="0"/>
        </w:tabs>
        <w:ind w:left="4536" w:hanging="567"/>
      </w:pPr>
      <w:rPr>
        <w:rFonts w:cs="Times New Roman"/>
      </w:rPr>
    </w:lvl>
    <w:lvl w:ilvl="7">
      <w:start w:val="1"/>
      <w:numFmt w:val="none"/>
      <w:suff w:val="nothing"/>
      <w:lvlText w:val=""/>
      <w:lvlJc w:val="left"/>
      <w:pPr>
        <w:tabs>
          <w:tab w:val="num" w:pos="0"/>
        </w:tabs>
        <w:ind w:left="0" w:hanging="0"/>
      </w:pPr>
      <w:rPr>
        <w:rFonts w:cs="Times New Roman"/>
      </w:rPr>
    </w:lvl>
    <w:lvl w:ilvl="8">
      <w:start w:val="1"/>
      <w:numFmt w:val="none"/>
      <w:suff w:val="nothing"/>
      <w:lvlText w:val=""/>
      <w:lvlJc w:val="left"/>
      <w:pPr>
        <w:tabs>
          <w:tab w:val="num" w:pos="0"/>
        </w:tabs>
        <w:ind w:left="0" w:hanging="0"/>
      </w:pPr>
      <w:rPr>
        <w:rFonts w:cs="Times New Roman"/>
      </w:rPr>
    </w:lvl>
  </w:abstractNum>
  <w:abstractNum w:abstractNumId="7">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8">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30"/>
  <w:defaultTabStop w:val="708"/>
  <w:autoHyphenation w:val="true"/>
  <w:doNotHyphenateCaps/>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docVars>
    <w:docVar w:name="LogosPresent" w:val="Yes"/>
    <w:docVar w:name="macro_1_Landscape" w:val="Landscape"/>
    <w:docVar w:name="macro_2_Portrait" w:val="Portrait"/>
    <w:docVar w:name="ModelID" w:val="130"/>
    <w:docVar w:name="OriginalTray1" w:val="Blank paper"/>
    <w:docVar w:name="OriginalTray2" w:val="Blank paper"/>
    <w:docVar w:name="style_1_HEMA_opsomming_cijfers" w:val="HEMA opsomming cijfers"/>
    <w:docVar w:name="style_2_HEMA_opsomming_streepjes" w:val="HEMA opsomming streepjes"/>
    <w:docVar w:name="style_3_HEMA_opsomming_vierkantjes" w:val="HEMA opsomming vierkantjes"/>
    <w:docVar w:name="style_4_HEMA_subopsomming_cijfers" w:val="HEMA subopsomming cijfers"/>
    <w:docVar w:name="Tray1" w:val="Blank paper"/>
    <w:docVar w:name="Tray2" w:val="Blank paper"/>
    <w:docVar w:name="VBA_String" w:val="Yes"/>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nl-NL" w:eastAsia="nl-NL"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lineRule="atLeast" w:line="280" w:before="0" w:after="0"/>
      <w:jc w:val="left"/>
    </w:pPr>
    <w:rPr>
      <w:rFonts w:ascii="Arial" w:hAnsi="Arial" w:cs="Arial" w:eastAsia="Times New Roman"/>
      <w:color w:val="auto"/>
      <w:kern w:val="0"/>
      <w:sz w:val="17"/>
      <w:szCs w:val="17"/>
      <w:lang w:val="nl-NL" w:eastAsia="nl-NL" w:bidi="ar-SA"/>
    </w:rPr>
  </w:style>
  <w:style w:type="character" w:styleId="DefaultParagraphFont" w:default="1">
    <w:name w:val="Default Paragraph Font"/>
    <w:uiPriority w:val="1"/>
    <w:semiHidden/>
    <w:unhideWhenUsed/>
    <w:qFormat/>
    <w:rPr/>
  </w:style>
  <w:style w:type="character" w:styleId="FootnoteTextChar" w:customStyle="1">
    <w:name w:val="Footnote Text Char"/>
    <w:link w:val="FootnoteText"/>
    <w:qFormat/>
    <w:rsid w:val="00ae6ea5"/>
    <w:rPr>
      <w:rFonts w:ascii="Arial" w:hAnsi="Arial" w:cs="Arial"/>
    </w:rPr>
  </w:style>
  <w:style w:type="character" w:styleId="FootnoteCharacters">
    <w:name w:val="Footnote Characters"/>
    <w:qFormat/>
    <w:rsid w:val="00ae6ea5"/>
    <w:rPr>
      <w:vertAlign w:val="superscript"/>
    </w:rPr>
  </w:style>
  <w:style w:type="character" w:styleId="FootnoteReference">
    <w:name w:val="Footnote Reference"/>
    <w:rPr>
      <w:vertAlign w:val="superscript"/>
    </w:rPr>
  </w:style>
  <w:style w:type="character" w:styleId="BalloonTextChar" w:customStyle="1">
    <w:name w:val="Balloon Text Char"/>
    <w:link w:val="BalloonText"/>
    <w:qFormat/>
    <w:rsid w:val="00a167ee"/>
    <w:rPr>
      <w:rFonts w:ascii="Tahoma" w:hAnsi="Tahoma" w:cs="Tahoma"/>
      <w:sz w:val="14"/>
      <w:szCs w:val="14"/>
    </w:rPr>
  </w:style>
  <w:style w:type="character" w:styleId="annotationreference">
    <w:name w:val="annotation reference"/>
    <w:qFormat/>
    <w:rsid w:val="00f17a9a"/>
    <w:rPr>
      <w:sz w:val="14"/>
      <w:szCs w:val="14"/>
    </w:rPr>
  </w:style>
  <w:style w:type="character" w:styleId="CommentTextChar" w:customStyle="1">
    <w:name w:val="Comment Text Char"/>
    <w:link w:val="AnnotationText"/>
    <w:qFormat/>
    <w:rsid w:val="00f17a9a"/>
    <w:rPr>
      <w:rFonts w:ascii="Arial" w:hAnsi="Arial" w:cs="Arial"/>
      <w:lang w:val="nl-NL" w:eastAsia="nl-NL"/>
    </w:rPr>
  </w:style>
  <w:style w:type="character" w:styleId="CommentSubjectChar" w:customStyle="1">
    <w:name w:val="Comment Subject Char"/>
    <w:link w:val="annotationsubject"/>
    <w:qFormat/>
    <w:rsid w:val="00f17a9a"/>
    <w:rPr>
      <w:rFonts w:ascii="Arial" w:hAnsi="Arial" w:cs="Arial"/>
      <w:b/>
      <w:bCs/>
      <w:lang w:val="nl-NL" w:eastAsia="nl-NL"/>
    </w:rPr>
  </w:style>
  <w:style w:type="character" w:styleId="Hyperlink">
    <w:name w:val="Hyperlink"/>
    <w:basedOn w:val="DefaultParagraphFont"/>
    <w:rsid w:val="00940675"/>
    <w:rPr>
      <w:color w:themeColor="hyperlink" w:val="0563C1"/>
      <w:u w:val="single"/>
    </w:rPr>
  </w:style>
  <w:style w:type="character" w:styleId="UnresolvedMention">
    <w:name w:val="Unresolved Mention"/>
    <w:basedOn w:val="DefaultParagraphFont"/>
    <w:uiPriority w:val="99"/>
    <w:semiHidden/>
    <w:unhideWhenUsed/>
    <w:qFormat/>
    <w:rsid w:val="00940675"/>
    <w:rPr>
      <w:color w:val="605E5C"/>
      <w:shd w:fill="E1DFDD" w:val="clear"/>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pPr>
      <w:tabs>
        <w:tab w:val="clear" w:pos="708"/>
        <w:tab w:val="center" w:pos="4536" w:leader="none"/>
        <w:tab w:val="right" w:pos="9072" w:leader="none"/>
      </w:tabs>
    </w:pPr>
    <w:rPr/>
  </w:style>
  <w:style w:type="paragraph" w:styleId="Footer">
    <w:name w:val="Footer"/>
    <w:basedOn w:val="Normal"/>
    <w:pPr>
      <w:tabs>
        <w:tab w:val="clear" w:pos="708"/>
        <w:tab w:val="center" w:pos="4536" w:leader="none"/>
        <w:tab w:val="right" w:pos="9072" w:leader="none"/>
      </w:tabs>
    </w:pPr>
    <w:rPr/>
  </w:style>
  <w:style w:type="paragraph" w:styleId="HEMAopsommingcijfers" w:customStyle="1">
    <w:name w:val="HEMA_opsomming_cijfers"/>
    <w:basedOn w:val="Normal"/>
    <w:qFormat/>
    <w:pPr>
      <w:numPr>
        <w:ilvl w:val="0"/>
        <w:numId w:val="7"/>
      </w:numPr>
      <w:tabs>
        <w:tab w:val="clear" w:pos="708"/>
        <w:tab w:val="left" w:pos="284" w:leader="none"/>
      </w:tabs>
    </w:pPr>
    <w:rPr/>
  </w:style>
  <w:style w:type="paragraph" w:styleId="HEMAopsommingstreepjes" w:customStyle="1">
    <w:name w:val="HEMA_opsomming_streepjes"/>
    <w:basedOn w:val="Normal"/>
    <w:qFormat/>
    <w:pPr>
      <w:numPr>
        <w:ilvl w:val="1"/>
        <w:numId w:val="1"/>
      </w:numPr>
      <w:tabs>
        <w:tab w:val="clear" w:pos="708"/>
        <w:tab w:val="left" w:pos="567" w:leader="none"/>
      </w:tabs>
    </w:pPr>
    <w:rPr/>
  </w:style>
  <w:style w:type="paragraph" w:styleId="HEMAopsommingvierkantjes" w:customStyle="1">
    <w:name w:val="HEMA_opsomming_vierkantjes"/>
    <w:basedOn w:val="Normal"/>
    <w:qFormat/>
    <w:pPr>
      <w:numPr>
        <w:ilvl w:val="0"/>
        <w:numId w:val="2"/>
      </w:numPr>
      <w:tabs>
        <w:tab w:val="clear" w:pos="708"/>
        <w:tab w:val="left" w:pos="284" w:leader="none"/>
      </w:tabs>
      <w:ind w:hanging="0" w:left="0"/>
    </w:pPr>
    <w:rPr/>
  </w:style>
  <w:style w:type="paragraph" w:styleId="HEMAsubopsommingcijfers" w:customStyle="1">
    <w:name w:val="HEMA_subopsomming_cijfers"/>
    <w:basedOn w:val="Normal"/>
    <w:qFormat/>
    <w:pPr>
      <w:numPr>
        <w:ilvl w:val="1"/>
        <w:numId w:val="7"/>
      </w:numPr>
      <w:tabs>
        <w:tab w:val="clear" w:pos="708"/>
        <w:tab w:val="left" w:pos="709" w:leader="none"/>
      </w:tabs>
    </w:pPr>
    <w:rPr/>
  </w:style>
  <w:style w:type="paragraph" w:styleId="Alinea1d" w:customStyle="1">
    <w:name w:val="Alinea 1d"/>
    <w:basedOn w:val="Normal"/>
    <w:qFormat/>
    <w:rsid w:val="00da3195"/>
    <w:pPr>
      <w:numPr>
        <w:ilvl w:val="0"/>
        <w:numId w:val="3"/>
      </w:numPr>
      <w:spacing w:lineRule="auto" w:line="240"/>
    </w:pPr>
    <w:rPr>
      <w:rFonts w:ascii="Verdana" w:hAnsi="Verdana" w:cs="Times New Roman"/>
      <w:sz w:val="18"/>
      <w:szCs w:val="22"/>
    </w:rPr>
  </w:style>
  <w:style w:type="paragraph" w:styleId="Alinea2d" w:customStyle="1">
    <w:name w:val="Alinea 2d"/>
    <w:basedOn w:val="Normal"/>
    <w:qFormat/>
    <w:rsid w:val="00da3195"/>
    <w:pPr>
      <w:numPr>
        <w:ilvl w:val="1"/>
        <w:numId w:val="3"/>
      </w:numPr>
      <w:spacing w:lineRule="auto" w:line="240"/>
    </w:pPr>
    <w:rPr>
      <w:rFonts w:ascii="Verdana" w:hAnsi="Verdana" w:cs="Times New Roman"/>
      <w:sz w:val="18"/>
      <w:szCs w:val="22"/>
    </w:rPr>
  </w:style>
  <w:style w:type="paragraph" w:styleId="Alinea3d" w:customStyle="1">
    <w:name w:val="Alinea 3d"/>
    <w:basedOn w:val="Normal"/>
    <w:qFormat/>
    <w:rsid w:val="00da3195"/>
    <w:pPr>
      <w:numPr>
        <w:ilvl w:val="2"/>
        <w:numId w:val="3"/>
      </w:numPr>
      <w:spacing w:lineRule="auto" w:line="240"/>
    </w:pPr>
    <w:rPr>
      <w:rFonts w:ascii="Verdana" w:hAnsi="Verdana" w:cs="Times New Roman"/>
      <w:sz w:val="18"/>
      <w:szCs w:val="22"/>
    </w:rPr>
  </w:style>
  <w:style w:type="paragraph" w:styleId="Alinea4d" w:customStyle="1">
    <w:name w:val="Alinea 4d"/>
    <w:basedOn w:val="Normal"/>
    <w:qFormat/>
    <w:rsid w:val="00da3195"/>
    <w:pPr>
      <w:numPr>
        <w:ilvl w:val="3"/>
        <w:numId w:val="3"/>
      </w:numPr>
      <w:spacing w:lineRule="auto" w:line="240"/>
    </w:pPr>
    <w:rPr>
      <w:rFonts w:ascii="Verdana" w:hAnsi="Verdana" w:cs="Times New Roman"/>
      <w:sz w:val="18"/>
      <w:szCs w:val="22"/>
    </w:rPr>
  </w:style>
  <w:style w:type="paragraph" w:styleId="Title">
    <w:name w:val="Title"/>
    <w:basedOn w:val="Normal"/>
    <w:qFormat/>
    <w:rsid w:val="00da3195"/>
    <w:pPr>
      <w:spacing w:lineRule="auto" w:line="240"/>
      <w:jc w:val="center"/>
    </w:pPr>
    <w:rPr>
      <w:rFonts w:ascii="Verdana" w:hAnsi="Verdana" w:cs="Times New Roman"/>
      <w:b/>
      <w:bCs/>
      <w:sz w:val="18"/>
      <w:szCs w:val="22"/>
      <w:lang w:val="en-GB"/>
    </w:rPr>
  </w:style>
  <w:style w:type="paragraph" w:styleId="NummeringPartijen" w:customStyle="1">
    <w:name w:val="NummeringPartijen"/>
    <w:basedOn w:val="Normal"/>
    <w:qFormat/>
    <w:rsid w:val="00da3195"/>
    <w:pPr>
      <w:tabs>
        <w:tab w:val="clear" w:pos="708"/>
        <w:tab w:val="decimal" w:pos="737" w:leader="none"/>
      </w:tabs>
      <w:spacing w:lineRule="atLeast" w:line="310" w:before="240" w:after="0"/>
      <w:ind w:hanging="720" w:left="720"/>
      <w:jc w:val="both"/>
      <w:outlineLvl w:val="0"/>
    </w:pPr>
    <w:rPr>
      <w:spacing w:val="4"/>
      <w:sz w:val="19"/>
      <w:szCs w:val="19"/>
    </w:rPr>
  </w:style>
  <w:style w:type="paragraph" w:styleId="FootnoteText">
    <w:name w:val="Footnote Text"/>
    <w:basedOn w:val="Normal"/>
    <w:link w:val="FootnoteTextChar"/>
    <w:rsid w:val="00ae6ea5"/>
    <w:pPr/>
    <w:rPr>
      <w:sz w:val="18"/>
      <w:szCs w:val="18"/>
    </w:rPr>
  </w:style>
  <w:style w:type="paragraph" w:styleId="NummeringPartijen2" w:customStyle="1">
    <w:name w:val="NummeringPartijen2"/>
    <w:basedOn w:val="Normal"/>
    <w:qFormat/>
    <w:rsid w:val="00ae6ea5"/>
    <w:pPr>
      <w:widowControl w:val="false"/>
      <w:tabs>
        <w:tab w:val="clear" w:pos="708"/>
        <w:tab w:val="left" w:pos="1191" w:leader="none"/>
      </w:tabs>
      <w:spacing w:lineRule="atLeast" w:line="310" w:before="240" w:after="0"/>
      <w:ind w:hanging="454" w:left="1191"/>
      <w:jc w:val="both"/>
      <w:outlineLvl w:val="1"/>
    </w:pPr>
    <w:rPr>
      <w:rFonts w:cs="Times New Roman"/>
      <w:spacing w:val="4"/>
      <w:sz w:val="19"/>
      <w:szCs w:val="18"/>
      <w:lang w:eastAsia="en-US"/>
    </w:rPr>
  </w:style>
  <w:style w:type="paragraph" w:styleId="BalloonText">
    <w:name w:val="Balloon Text"/>
    <w:basedOn w:val="Normal"/>
    <w:link w:val="BalloonTextChar"/>
    <w:qFormat/>
    <w:rsid w:val="00a167ee"/>
    <w:pPr>
      <w:spacing w:lineRule="auto" w:line="240"/>
    </w:pPr>
    <w:rPr>
      <w:rFonts w:ascii="Tahoma" w:hAnsi="Tahoma" w:cs="Tahoma"/>
      <w:sz w:val="14"/>
      <w:szCs w:val="14"/>
    </w:rPr>
  </w:style>
  <w:style w:type="paragraph" w:styleId="WWDefault" w:customStyle="1">
    <w:name w:val="WW_Default"/>
    <w:qFormat/>
    <w:rsid w:val="00d93ce7"/>
    <w:pPr>
      <w:widowControl/>
      <w:numPr>
        <w:ilvl w:val="0"/>
        <w:numId w:val="5"/>
      </w:numPr>
      <w:bidi w:val="0"/>
      <w:spacing w:lineRule="auto" w:line="360" w:before="0" w:after="0"/>
      <w:jc w:val="both"/>
    </w:pPr>
    <w:rPr>
      <w:rFonts w:ascii="Calibri" w:hAnsi="Calibri" w:eastAsia="Times New Roman" w:cs="Times New Roman"/>
      <w:color w:val="auto"/>
      <w:kern w:val="0"/>
      <w:sz w:val="20"/>
      <w:szCs w:val="20"/>
      <w:lang w:val="en-GB" w:eastAsia="en-GB" w:bidi="ar-SA"/>
    </w:rPr>
  </w:style>
  <w:style w:type="paragraph" w:styleId="WWBodytext" w:customStyle="1">
    <w:name w:val="WW_Body_text"/>
    <w:basedOn w:val="WWDefault"/>
    <w:qFormat/>
    <w:rsid w:val="00d93ce7"/>
    <w:pPr>
      <w:spacing w:before="0" w:after="240"/>
    </w:pPr>
    <w:rPr/>
  </w:style>
  <w:style w:type="paragraph" w:styleId="WW1" w:customStyle="1">
    <w:name w:val="WW_1"/>
    <w:basedOn w:val="WWBodytext"/>
    <w:qFormat/>
    <w:rsid w:val="00d93ce7"/>
    <w:pPr>
      <w:keepNext w:val="true"/>
      <w:keepLines/>
      <w:numPr>
        <w:ilvl w:val="3"/>
        <w:numId w:val="4"/>
      </w:numPr>
      <w:spacing w:before="240" w:after="240"/>
      <w:outlineLvl w:val="0"/>
    </w:pPr>
    <w:rPr>
      <w:b/>
      <w:caps/>
    </w:rPr>
  </w:style>
  <w:style w:type="paragraph" w:styleId="WW2" w:customStyle="1">
    <w:name w:val="WW_2"/>
    <w:basedOn w:val="WWBodytext"/>
    <w:qFormat/>
    <w:rsid w:val="00d93ce7"/>
    <w:pPr>
      <w:numPr>
        <w:ilvl w:val="4"/>
        <w:numId w:val="4"/>
      </w:numPr>
      <w:outlineLvl w:val="1"/>
    </w:pPr>
    <w:rPr/>
  </w:style>
  <w:style w:type="paragraph" w:styleId="WW3" w:customStyle="1">
    <w:name w:val="WW_3"/>
    <w:basedOn w:val="WW2"/>
    <w:qFormat/>
    <w:rsid w:val="00d93ce7"/>
    <w:pPr>
      <w:outlineLvl w:val="2"/>
    </w:pPr>
    <w:rPr/>
  </w:style>
  <w:style w:type="paragraph" w:styleId="WW4" w:customStyle="1">
    <w:name w:val="WW_4"/>
    <w:basedOn w:val="WW2"/>
    <w:qFormat/>
    <w:rsid w:val="00d93ce7"/>
    <w:pPr>
      <w:outlineLvl w:val="3"/>
    </w:pPr>
    <w:rPr/>
  </w:style>
  <w:style w:type="paragraph" w:styleId="WW5" w:customStyle="1">
    <w:name w:val="WW_5"/>
    <w:basedOn w:val="WW2"/>
    <w:qFormat/>
    <w:rsid w:val="00d93ce7"/>
    <w:pPr>
      <w:outlineLvl w:val="4"/>
    </w:pPr>
    <w:rPr/>
  </w:style>
  <w:style w:type="paragraph" w:styleId="WW6" w:customStyle="1">
    <w:name w:val="WW_6"/>
    <w:basedOn w:val="WW2"/>
    <w:qFormat/>
    <w:rsid w:val="00d93ce7"/>
    <w:pPr>
      <w:outlineLvl w:val="5"/>
    </w:pPr>
    <w:rPr/>
  </w:style>
  <w:style w:type="paragraph" w:styleId="WWHeadingSchedule" w:customStyle="1">
    <w:name w:val="WW_Heading_Schedule"/>
    <w:basedOn w:val="WWDefault"/>
    <w:next w:val="WWBodytext"/>
    <w:qFormat/>
    <w:rsid w:val="00d93ce7"/>
    <w:pPr>
      <w:keepNext w:val="true"/>
      <w:keepLines/>
      <w:pageBreakBefore/>
      <w:numPr>
        <w:ilvl w:val="0"/>
        <w:numId w:val="4"/>
      </w:numPr>
      <w:spacing w:before="240" w:after="600"/>
    </w:pPr>
    <w:rPr>
      <w:b/>
    </w:rPr>
  </w:style>
  <w:style w:type="paragraph" w:styleId="WWHeadingAnnex" w:customStyle="1">
    <w:name w:val="WW_Heading_Annex"/>
    <w:basedOn w:val="WWHeadingSchedule"/>
    <w:next w:val="WWBodytext"/>
    <w:qFormat/>
    <w:rsid w:val="00d93ce7"/>
    <w:pPr/>
    <w:rPr/>
  </w:style>
  <w:style w:type="paragraph" w:styleId="WWHeadingSchedulePart" w:customStyle="1">
    <w:name w:val="WW_Heading_Schedule_Part"/>
    <w:basedOn w:val="WWHeadingSchedule"/>
    <w:next w:val="WWBodytext"/>
    <w:qFormat/>
    <w:rsid w:val="00d93ce7"/>
    <w:pPr>
      <w:spacing w:before="360" w:after="240"/>
    </w:pPr>
    <w:rPr/>
  </w:style>
  <w:style w:type="paragraph" w:styleId="WW2nn" w:customStyle="1">
    <w:name w:val="WW_2_nn"/>
    <w:basedOn w:val="WW2"/>
    <w:qFormat/>
    <w:rsid w:val="00d93ce7"/>
    <w:pPr>
      <w:numPr>
        <w:ilvl w:val="3"/>
        <w:numId w:val="6"/>
      </w:numPr>
      <w:ind w:hanging="0"/>
      <w:outlineLvl w:val="9"/>
    </w:pPr>
    <w:rPr/>
  </w:style>
  <w:style w:type="paragraph" w:styleId="WWParty" w:customStyle="1">
    <w:name w:val="WW_Party"/>
    <w:basedOn w:val="WWBodytext"/>
    <w:qFormat/>
    <w:rsid w:val="00d93ce7"/>
    <w:pPr/>
    <w:rPr/>
  </w:style>
  <w:style w:type="paragraph" w:styleId="WWRecital" w:customStyle="1">
    <w:name w:val="WW_Recital"/>
    <w:basedOn w:val="WWBodytext"/>
    <w:qFormat/>
    <w:rsid w:val="00d93ce7"/>
    <w:pPr/>
    <w:rPr/>
  </w:style>
  <w:style w:type="paragraph" w:styleId="WWDefinition" w:customStyle="1">
    <w:name w:val="WW_Definition"/>
    <w:basedOn w:val="WW2nn"/>
    <w:qFormat/>
    <w:rsid w:val="00d93ce7"/>
    <w:pPr>
      <w:tabs>
        <w:tab w:val="clear" w:pos="708"/>
        <w:tab w:val="left" w:pos="3402" w:leader="none"/>
        <w:tab w:val="left" w:pos="3969" w:leader="none"/>
        <w:tab w:val="left" w:pos="4536" w:leader="none"/>
      </w:tabs>
    </w:pPr>
    <w:rPr/>
  </w:style>
  <w:style w:type="paragraph" w:styleId="WWDefinitionSubitem" w:customStyle="1">
    <w:name w:val="WW_Definition_Subitem"/>
    <w:basedOn w:val="WW3"/>
    <w:qFormat/>
    <w:rsid w:val="00d93ce7"/>
    <w:pPr>
      <w:numPr>
        <w:ilvl w:val="5"/>
        <w:numId w:val="6"/>
      </w:numPr>
      <w:outlineLvl w:val="9"/>
    </w:pPr>
    <w:rPr/>
  </w:style>
  <w:style w:type="paragraph" w:styleId="WWDefinitionSub-subitem" w:customStyle="1">
    <w:name w:val="WW_Definition_Sub-subitem"/>
    <w:basedOn w:val="WW4"/>
    <w:qFormat/>
    <w:rsid w:val="00d93ce7"/>
    <w:pPr>
      <w:numPr>
        <w:ilvl w:val="6"/>
        <w:numId w:val="6"/>
      </w:numPr>
    </w:pPr>
    <w:rPr/>
  </w:style>
  <w:style w:type="paragraph" w:styleId="ListParagraph">
    <w:name w:val="List Paragraph"/>
    <w:basedOn w:val="Normal"/>
    <w:uiPriority w:val="34"/>
    <w:qFormat/>
    <w:rsid w:val="00d93ce7"/>
    <w:pPr>
      <w:ind w:left="708"/>
    </w:pPr>
    <w:rPr/>
  </w:style>
  <w:style w:type="paragraph" w:styleId="Revision">
    <w:name w:val="Revision"/>
    <w:uiPriority w:val="99"/>
    <w:semiHidden/>
    <w:qFormat/>
    <w:rsid w:val="008345e8"/>
    <w:pPr>
      <w:widowControl/>
      <w:bidi w:val="0"/>
      <w:spacing w:before="0" w:after="0"/>
      <w:jc w:val="left"/>
    </w:pPr>
    <w:rPr>
      <w:rFonts w:ascii="Arial" w:hAnsi="Arial" w:cs="Arial" w:eastAsia="Times New Roman"/>
      <w:color w:val="auto"/>
      <w:kern w:val="0"/>
      <w:sz w:val="17"/>
      <w:szCs w:val="17"/>
      <w:lang w:val="nl-NL" w:eastAsia="nl-NL" w:bidi="ar-SA"/>
    </w:rPr>
  </w:style>
  <w:style w:type="paragraph" w:styleId="AnnotationText">
    <w:name w:val="Annotation Text"/>
    <w:basedOn w:val="Normal"/>
    <w:link w:val="CommentTextChar"/>
    <w:rsid w:val="00f17a9a"/>
    <w:pPr/>
    <w:rPr>
      <w:sz w:val="18"/>
      <w:szCs w:val="18"/>
    </w:rPr>
  </w:style>
  <w:style w:type="paragraph" w:styleId="annotationsubject">
    <w:name w:val="annotation subject"/>
    <w:basedOn w:val="AnnotationText"/>
    <w:next w:val="AnnotationText"/>
    <w:link w:val="CommentSubjectChar"/>
    <w:qFormat/>
    <w:rsid w:val="00f17a9a"/>
    <w:pPr/>
    <w:rPr>
      <w:b/>
      <w:bCs/>
    </w:rPr>
  </w:style>
  <w:style w:type="numbering" w:styleId="NoList" w:default="1">
    <w:name w:val="No List"/>
    <w:uiPriority w:val="99"/>
    <w:semiHidden/>
    <w:unhideWhenUsed/>
    <w:qFormat/>
  </w:style>
  <w:style w:type="numbering" w:styleId="WWListPartiesRecitals" w:customStyle="1">
    <w:name w:val="WW_List_Parties_Recitals"/>
    <w:qFormat/>
    <w:rsid w:val="00d93ce7"/>
  </w:style>
  <w:style w:type="numbering" w:styleId="WWListDefinitions" w:customStyle="1">
    <w:name w:val="WW_List_Definitions"/>
    <w:qFormat/>
    <w:rsid w:val="00d93ce7"/>
  </w:style>
  <w:style w:type="numbering" w:styleId="WWList" w:customStyle="1">
    <w:name w:val="WW_List"/>
    <w:qFormat/>
    <w:rsid w:val="00d93ce7"/>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73B3B4-B0F4-492C-BAD5-9B79DAF63C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ages>3</Pages>
  <Words>705</Words>
  <Characters>4773</Characters>
  <CharactersWithSpaces>5430</CharactersWithSpaces>
  <Paragraphs>34</Paragraphs>
  <Company>I'tension b.v.</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2026-06-17T09:37:00Z</dcterms:created>
  <dc:creator>Anna Evers</dc:creator>
  <dc:description/>
  <cp:keywords> docId 80C8F893315EA1CE3999C20B1722E778</cp:keywords>
  <dc:language>en-US</dc:language>
  <cp:lastModifiedBy/>
  <cp:lastPrinted>2011-08-01T11:47:00Z</cp:lastPrinted>
  <dcterms:modified xsi:type="dcterms:W3CDTF">2026-06-29T08:17:11Z</dcterms:modified>
  <cp:revision>3</cp:revision>
  <dc:subject/>
  <dc:title>NON-DISCLOSURE AGREEMENT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