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160" w:before="0"/>
        <w:jc w:val="center"/>
      </w:pPr>
      <w:r>
        <w:rPr>
          <w:rFonts w:ascii="Arial" w:cs="Arial" w:eastAsia="Arial" w:hAnsi="Arial"/>
          <w:b/>
          <w:bCs/>
          <w:caps/>
          <w:color w:val="169B86"/>
          <w:sz w:val="28"/>
          <w:szCs w:val="28"/>
        </w:rPr>
        <w:t xml:space="preserve">KYA-ENERGY GROUP</w:t>
      </w:r>
    </w:p>
    <w:p>
      <w:pPr>
        <w:pBdr>
          <w:bottom w:val="single" w:color="F0A02B" w:sz="8" w:space="1"/>
        </w:pBdr>
        <w:spacing w:after="140" w:before="10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200" w:before="0"/>
        <w:jc w:val="center"/>
      </w:pPr>
      <w:r>
        <w:rPr>
          <w:rFonts w:ascii="Arial" w:cs="Arial" w:eastAsia="Arial" w:hAnsi="Arial"/>
          <w:b/>
          <w:bCs/>
          <w:caps/>
          <w:color w:val="0D2B55"/>
          <w:sz w:val="48"/>
          <w:szCs w:val="48"/>
        </w:rPr>
        <w:t xml:space="preserve">CAHIER DES CHARGES FONCTIONNEL</w:t>
      </w:r>
    </w:p>
    <w:p>
      <w:pPr>
        <w:spacing w:after="800" w:before="0"/>
        <w:jc w:val="center"/>
      </w:pPr>
      <w:r>
        <w:rPr>
          <w:rFonts w:ascii="Arial" w:cs="Arial" w:eastAsia="Arial" w:hAnsi="Arial"/>
          <w:b/>
          <w:bCs/>
          <w:color w:val="F0A02B"/>
          <w:sz w:val="30"/>
          <w:szCs w:val="30"/>
        </w:rPr>
        <w:t xml:space="preserve">Plateforme Interne de Gestion des Business Models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Document</w:t>
            </w:r>
          </w:p>
        </w:tc>
        <w:tc>
          <w:tcPr>
            <w:tcW w:type="dxa" w:w="63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Informations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Titre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Cahier des Charges Fonctionnel — Plateforme de Gestion des Business Models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Projet de stage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Conception d'un Dashboard de Digitalisation du Business Model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Entreprise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KYA-Energy Group — Lomé, Togo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Usage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Interne — Usage exclusif de KYA-Energy Group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Rédigé par</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GBANDI WAKE (Stagiaire)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Maîtres de stage</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MARC LOMOU / MESSAN Jean-Claude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Version</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V1.0 — Avril 2026</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Statut</w:t>
            </w:r>
          </w:p>
        </w:tc>
        <w:tc>
          <w:tcPr>
            <w:tcW w:type="dxa" w:w="6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Draft — En attente de validation</w:t>
            </w:r>
          </w:p>
        </w:tc>
      </w:tr>
    </w:tbl>
    <w:p>
      <w:r>
        <w:br w:type="page"/>
      </w:r>
    </w:p>
    <w:p>
      <w:pPr>
        <w:pStyle w:val="Heading1"/>
        <w:spacing w:after="200" w:before="400"/>
      </w:pPr>
      <w:r>
        <w:rPr>
          <w:rFonts w:ascii="Arial" w:cs="Arial" w:eastAsia="Arial" w:hAnsi="Arial"/>
          <w:b/>
          <w:bCs/>
          <w:color w:val="0D2B55"/>
          <w:sz w:val="32"/>
          <w:szCs w:val="32"/>
        </w:rPr>
        <w:t xml:space="preserve">Table des Matières</w:t>
      </w:r>
    </w:p>
    <w:p>
      <w:pPr>
        <w:pBdr>
          <w:bottom w:val="single" w:color="F0A02B" w:sz="8" w:space="1"/>
        </w:pBdr>
        <w:spacing w:after="140" w:before="100"/>
      </w:pPr>
      <w:r>
        <w:rPr>
          <w:rFonts w:ascii="Arial" w:cs="Arial" w:eastAsia="Arial" w:hAnsi="Arial"/>
          <w:sz w:val="22"/>
          <w:szCs w:val="22"/>
        </w:rPr>
        <w:t xml:space="preserve"/>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00" w:before="400"/>
      </w:pPr>
      <w:r>
        <w:rPr>
          <w:rFonts w:ascii="Arial" w:cs="Arial" w:eastAsia="Arial" w:hAnsi="Arial"/>
          <w:b/>
          <w:bCs/>
          <w:color w:val="0D2B55"/>
          <w:sz w:val="32"/>
          <w:szCs w:val="32"/>
        </w:rPr>
        <w:t xml:space="preserve">1. Introduction</w:t>
      </w:r>
    </w:p>
    <w:p>
      <w:pPr>
        <w:pBdr>
          <w:bottom w:val="single" w:color="F0A02B" w:sz="8" w:space="1"/>
        </w:pBdr>
        <w:spacing w:after="140" w:before="10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1.1 Contexte</w:t>
      </w:r>
    </w:p>
    <w:p>
      <w:pPr>
        <w:spacing w:after="100" w:before="80"/>
      </w:pPr>
      <w:r>
        <w:rPr>
          <w:rFonts w:ascii="Arial" w:cs="Arial" w:eastAsia="Arial" w:hAnsi="Arial"/>
          <w:sz w:val="22"/>
          <w:szCs w:val="22"/>
        </w:rPr>
        <w:t xml:space="preserve">KYA-Energy Group est une entreprise togolaise spécialisée dans les énergies renouvelables. Dans le cadre de son développement, l'entreprise est régulièrement amenée à élaborer des Business Models pour ses projets et produits — aujourd'hui les systèmes solaires KYA-SoP, et demain d'autres produits ou projets à venir.</w:t>
      </w:r>
    </w:p>
    <w:p>
      <w:pPr>
        <w:spacing w:after="100" w:before="80"/>
      </w:pPr>
      <w:r>
        <w:rPr>
          <w:rFonts w:ascii="Arial" w:cs="Arial" w:eastAsia="Arial" w:hAnsi="Arial"/>
          <w:sz w:val="22"/>
          <w:szCs w:val="22"/>
        </w:rPr>
        <w:t xml:space="preserve">Actuellement, chaque Business Model est construit manuellement dans un fichier Microsoft Excel dédié. Cette approche fonctionne pour un projet isolé, mais atteint rapidement ses limites dès que l'entreprise doit gérer plusieurs projets en parallèle, impliquer plusieurs collaborateurs, ou capitaliser sur l'expérience des projets passés.</w:t>
      </w:r>
    </w:p>
    <w:p>
      <w:pPr>
        <w:pStyle w:val="Heading2"/>
        <w:spacing w:after="160" w:before="280"/>
      </w:pPr>
      <w:r>
        <w:rPr>
          <w:rFonts w:ascii="Arial" w:cs="Arial" w:eastAsia="Arial" w:hAnsi="Arial"/>
          <w:b/>
          <w:bCs/>
          <w:color w:val="169B86"/>
          <w:sz w:val="26"/>
          <w:szCs w:val="26"/>
        </w:rPr>
        <w:t xml:space="preserve">1.2 Problème identifié</w:t>
      </w:r>
    </w:p>
    <w:p>
      <w:pPr>
        <w:spacing w:after="100" w:before="80"/>
      </w:pPr>
      <w:r>
        <w:rPr>
          <w:rFonts w:ascii="Arial" w:cs="Arial" w:eastAsia="Arial" w:hAnsi="Arial"/>
          <w:sz w:val="22"/>
          <w:szCs w:val="22"/>
        </w:rPr>
        <w:t xml:space="preserve">L'outil Excel présente plusieurs limites structurelles qui justifient la création d'une plateforme dédiée :</w:t>
      </w:r>
    </w:p>
    <w:p>
      <w:pPr>
        <w:pStyle w:val="ListParagraph"/>
        <w:numPr>
          <w:ilvl w:val="0"/>
          <w:numId w:val="2"/>
        </w:numPr>
        <w:spacing w:after="60" w:before="60"/>
      </w:pPr>
      <w:r>
        <w:rPr>
          <w:rFonts w:ascii="Arial" w:cs="Arial" w:eastAsia="Arial" w:hAnsi="Arial"/>
          <w:sz w:val="22"/>
          <w:szCs w:val="22"/>
        </w:rPr>
        <w:t xml:space="preserve">Pas de centralisation : chaque projet a son propre fichier, sans lien entre eux</w:t>
      </w:r>
    </w:p>
    <w:p>
      <w:pPr>
        <w:pStyle w:val="ListParagraph"/>
        <w:numPr>
          <w:ilvl w:val="0"/>
          <w:numId w:val="2"/>
        </w:numPr>
        <w:spacing w:after="60" w:before="60"/>
      </w:pPr>
      <w:r>
        <w:rPr>
          <w:rFonts w:ascii="Arial" w:cs="Arial" w:eastAsia="Arial" w:hAnsi="Arial"/>
          <w:sz w:val="22"/>
          <w:szCs w:val="22"/>
        </w:rPr>
        <w:t xml:space="preserve">Complexité de navigation : des dizaines de feuilles interdépendantes, difficiles à maîtriser</w:t>
      </w:r>
    </w:p>
    <w:p>
      <w:pPr>
        <w:pStyle w:val="ListParagraph"/>
        <w:numPr>
          <w:ilvl w:val="0"/>
          <w:numId w:val="2"/>
        </w:numPr>
        <w:spacing w:after="60" w:before="60"/>
      </w:pPr>
      <w:r>
        <w:rPr>
          <w:rFonts w:ascii="Arial" w:cs="Arial" w:eastAsia="Arial" w:hAnsi="Arial"/>
          <w:sz w:val="22"/>
          <w:szCs w:val="22"/>
        </w:rPr>
        <w:t xml:space="preserve">Risques d'erreurs : formules fragiles, modifications accidentelles sans traçabilité</w:t>
      </w:r>
    </w:p>
    <w:p>
      <w:pPr>
        <w:pStyle w:val="ListParagraph"/>
        <w:numPr>
          <w:ilvl w:val="0"/>
          <w:numId w:val="2"/>
        </w:numPr>
        <w:spacing w:after="60" w:before="60"/>
      </w:pPr>
      <w:r>
        <w:rPr>
          <w:rFonts w:ascii="Arial" w:cs="Arial" w:eastAsia="Arial" w:hAnsi="Arial"/>
          <w:sz w:val="22"/>
          <w:szCs w:val="22"/>
        </w:rPr>
        <w:t xml:space="preserve">Collaboration impossible : pas de travail simultané, pas de workflow de validation</w:t>
      </w:r>
    </w:p>
    <w:p>
      <w:pPr>
        <w:pStyle w:val="ListParagraph"/>
        <w:numPr>
          <w:ilvl w:val="0"/>
          <w:numId w:val="2"/>
        </w:numPr>
        <w:spacing w:after="60" w:before="60"/>
      </w:pPr>
      <w:r>
        <w:rPr>
          <w:rFonts w:ascii="Arial" w:cs="Arial" w:eastAsia="Arial" w:hAnsi="Arial"/>
          <w:sz w:val="22"/>
          <w:szCs w:val="22"/>
        </w:rPr>
        <w:t xml:space="preserve">Pas de réutilisabilité : impossible de capitaliser sur un Business Model existant pour en créer un nouveau</w:t>
      </w:r>
    </w:p>
    <w:p>
      <w:pPr>
        <w:pStyle w:val="ListParagraph"/>
        <w:numPr>
          <w:ilvl w:val="0"/>
          <w:numId w:val="2"/>
        </w:numPr>
        <w:spacing w:after="60" w:before="60"/>
      </w:pPr>
      <w:r>
        <w:rPr>
          <w:rFonts w:ascii="Arial" w:cs="Arial" w:eastAsia="Arial" w:hAnsi="Arial"/>
          <w:sz w:val="22"/>
          <w:szCs w:val="22"/>
        </w:rPr>
        <w:t xml:space="preserve">Visualisation statique : pas de tableaux de bord dynamiques ni de comparaison de scénarios</w:t>
      </w:r>
    </w:p>
    <w:p>
      <w:pPr>
        <w:pStyle w:val="Heading2"/>
        <w:spacing w:after="160" w:before="280"/>
      </w:pPr>
      <w:r>
        <w:rPr>
          <w:rFonts w:ascii="Arial" w:cs="Arial" w:eastAsia="Arial" w:hAnsi="Arial"/>
          <w:b/>
          <w:bCs/>
          <w:color w:val="169B86"/>
          <w:sz w:val="26"/>
          <w:szCs w:val="26"/>
        </w:rPr>
        <w:t xml:space="preserve">1.3 Objectif du projet</w:t>
      </w:r>
    </w:p>
    <w:p>
      <w:pPr>
        <w:spacing w:after="100" w:before="80"/>
      </w:pPr>
      <w:r>
        <w:rPr>
          <w:rFonts w:ascii="Arial" w:cs="Arial" w:eastAsia="Arial" w:hAnsi="Arial"/>
          <w:sz w:val="22"/>
          <w:szCs w:val="22"/>
        </w:rPr>
        <w:t xml:space="preserve">L'objectif est de concevoir et développer une plateforme web interne à KYA-Energy Group permettant de créer, gérer et analyser des Business Models pour n'importe quel projet ou produit de l'entreprise.</w:t>
      </w:r>
    </w:p>
    <w:p>
      <w:pPr>
        <w:spacing w:after="100" w:before="80"/>
      </w:pPr>
      <w:r>
        <w:rPr>
          <w:rFonts w:ascii="Arial" w:cs="Arial" w:eastAsia="Arial" w:hAnsi="Arial"/>
          <w:sz w:val="22"/>
          <w:szCs w:val="22"/>
        </w:rPr>
        <w:t xml:space="preserve">La plateforme n'est pas spécifique à un produit existant. Elle est conçue pour être flexible : l'utilisateur crée un projet, définit ses propres produits, ses propres coûts et ses propres hypothèses. La plateforme se charge de tous les calculs financiers et produit automatiquement les indicateurs de performance et les tableaux de bord.</w:t>
      </w:r>
    </w:p>
    <w:p>
      <w:pPr>
        <w:spacing w:after="100" w:before="80"/>
      </w:pPr>
      <w:r>
        <w:rPr>
          <w:rFonts w:ascii="Arial" w:cs="Arial" w:eastAsia="Arial" w:hAnsi="Arial"/>
          <w:sz w:val="22"/>
          <w:szCs w:val="22"/>
        </w:rPr>
        <w:t xml:space="preserve">Le fichier Excel du Business Model KYA-SoP Institutions a servi de référence pour comprendre la logique métier et identifier les blocs fonctionnels nécessaires — il n'est pas le périmètre de la plateforme, mais son point de départ.</w:t>
      </w:r>
    </w:p>
    <w:p>
      <w:pPr>
        <w:pStyle w:val="Heading2"/>
        <w:spacing w:after="160" w:before="280"/>
      </w:pPr>
      <w:r>
        <w:rPr>
          <w:rFonts w:ascii="Arial" w:cs="Arial" w:eastAsia="Arial" w:hAnsi="Arial"/>
          <w:b/>
          <w:bCs/>
          <w:color w:val="169B86"/>
          <w:sz w:val="26"/>
          <w:szCs w:val="26"/>
        </w:rPr>
        <w:t xml:space="preserve">1.4 Positionnement — V1 et évolutions futures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693"/>
        <w:gridCol w:w="3693"/>
      </w:tblGrid>
      <w:tr>
        <w:tc>
          <w:tcPr>
            <w:tcW w:type="dxa" w:w="2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
            </w:r>
          </w:p>
        </w:tc>
        <w:tc>
          <w:tcPr>
            <w:tcW w:type="dxa" w:w="3693"/>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Version 1 (ce stage)</w:t>
            </w:r>
          </w:p>
        </w:tc>
        <w:tc>
          <w:tcPr>
            <w:tcW w:type="dxa" w:w="3693"/>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Version 2 (évolutions futures)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Structure</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7 blocs standards prédéfinis, identiques pour tous les projets</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Blocs personnalisables — l'utilisateur peut ajouter ses propres sections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Utilisateurs</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Utilisateur unique (administrateur)</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Multi-utilisateurs avec rôles : Consultant, Validateur, Administrateur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Gestion projets</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Création et gestion de plusieurs projets en parallèle</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Collaboration en temps réel, workflow de validation, notifications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Scénarios</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Un scénario par projet (Base)</w:t>
            </w:r>
          </w:p>
        </w:tc>
        <w:tc>
          <w:tcPr>
            <w:tcW w:type="dxa" w:w="369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Multi-scénarios avec comparaison côte à côte</w:t>
            </w:r>
          </w:p>
        </w:tc>
      </w:tr>
    </w:tbl>
    <w:p>
      <w:r>
        <w:br w:type="page"/>
      </w:r>
    </w:p>
    <w:p>
      <w:pPr>
        <w:pStyle w:val="Heading1"/>
        <w:spacing w:after="200" w:before="400"/>
      </w:pPr>
      <w:r>
        <w:rPr>
          <w:rFonts w:ascii="Arial" w:cs="Arial" w:eastAsia="Arial" w:hAnsi="Arial"/>
          <w:b/>
          <w:bCs/>
          <w:color w:val="0D2B55"/>
          <w:sz w:val="32"/>
          <w:szCs w:val="32"/>
        </w:rPr>
        <w:t xml:space="preserve">2. Vision Générale de la Plateforme</w:t>
      </w:r>
    </w:p>
    <w:p>
      <w:pPr>
        <w:pBdr>
          <w:bottom w:val="single" w:color="F0A02B" w:sz="8" w:space="1"/>
        </w:pBdr>
        <w:spacing w:after="140" w:before="10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2.1 Concept</w:t>
      </w:r>
    </w:p>
    <w:p>
      <w:pPr>
        <w:spacing w:after="100" w:before="80"/>
      </w:pPr>
      <w:r>
        <w:rPr>
          <w:rFonts w:ascii="Arial" w:cs="Arial" w:eastAsia="Arial" w:hAnsi="Arial"/>
          <w:sz w:val="22"/>
          <w:szCs w:val="22"/>
        </w:rPr>
        <w:t xml:space="preserve">La plateforme est un outil interne de gestion de Business Models. Elle fonctionne comme un studio de modélisation financière : l'utilisateur crée un projet, le remplit bloc par bloc, et la plateforme calcule automatiquement tous les résultats financiers et affiche les indicateurs de performance.</w:t>
      </w:r>
    </w:p>
    <w:p>
      <w:pPr>
        <w:spacing w:after="100" w:before="80"/>
      </w:pPr>
      <w:r>
        <w:rPr>
          <w:rFonts w:ascii="Arial" w:cs="Arial" w:eastAsia="Arial" w:hAnsi="Arial"/>
          <w:sz w:val="22"/>
          <w:szCs w:val="22"/>
        </w:rPr>
        <w:t xml:space="preserve">Chaque projet est indépendant et complet : il contient ses propres produits, ses propres hypothèses, ses propres coûts et ses propres résultats. L'entreprise peut ainsi gérer autant de Business Models que nécessaire, les conserver dans le temps, et les consulter à tout moment.</w:t>
      </w:r>
    </w:p>
    <w:p>
      <w:pPr>
        <w:pStyle w:val="Heading2"/>
        <w:spacing w:after="160" w:before="280"/>
      </w:pPr>
      <w:r>
        <w:rPr>
          <w:rFonts w:ascii="Arial" w:cs="Arial" w:eastAsia="Arial" w:hAnsi="Arial"/>
          <w:b/>
          <w:bCs/>
          <w:color w:val="169B86"/>
          <w:sz w:val="26"/>
          <w:szCs w:val="26"/>
        </w:rPr>
        <w:t xml:space="preserve">2.2 Les 7 blocs de la Version 1</w:t>
      </w:r>
    </w:p>
    <w:p>
      <w:pPr>
        <w:spacing w:after="100" w:before="80"/>
      </w:pPr>
      <w:r>
        <w:rPr>
          <w:rFonts w:ascii="Arial" w:cs="Arial" w:eastAsia="Arial" w:hAnsi="Arial"/>
          <w:sz w:val="22"/>
          <w:szCs w:val="22"/>
        </w:rPr>
        <w:t xml:space="preserve">Tout Business Model créé dans la plateforme suit la même structure en 7 blocs. Cette structure est inspirée de la logique du fichier Excel KYA-SoP, mais généralisée pour s'appliquer à n'importe quel projet.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00"/>
        <w:gridCol w:w="3286"/>
      </w:tblGrid>
      <w:tr>
        <w:tc>
          <w:tcPr>
            <w:tcW w:type="dxa" w:w="4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Bloc</w:t>
            </w:r>
          </w:p>
        </w:tc>
        <w:tc>
          <w:tcPr>
            <w:tcW w:type="dxa" w:w="35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Description</w:t>
            </w:r>
          </w:p>
        </w:tc>
        <w:tc>
          <w:tcPr>
            <w:tcW w:type="dxa" w:w="32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Équivalent Excel (référence)</w:t>
            </w:r>
          </w:p>
        </w:tc>
      </w:tr>
      <w:tr>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Informations du projet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Nom, description, secteur d'activité, durée, année de démarrage, contexte stratégique</w:t>
            </w:r>
          </w:p>
        </w:tc>
        <w:tc>
          <w:tcPr>
            <w:tcW w:type="dxa" w:w="3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Résumé Exécutif, Cadre du modèle</w:t>
            </w:r>
          </w:p>
        </w:tc>
      </w:tr>
      <w:tr>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Produits &amp; Services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Ce que le projet vend — nom, description, caractéristiques techniques, segments de clientèle visés</w:t>
            </w:r>
          </w:p>
        </w:tc>
        <w:tc>
          <w:tcPr>
            <w:tcW w:type="dxa" w:w="3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Caractéristiques du Produit, Tableau de bord, KYA-SoP M3/M5</w:t>
            </w:r>
          </w:p>
        </w:tc>
      </w:tr>
      <w:tr>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Hypothèses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Tous les paramètres d'entrée du modèle — taux, marges, volumes, croissance, financement</w:t>
            </w:r>
          </w:p>
        </w:tc>
        <w:tc>
          <w:tcPr>
            <w:tcW w:type="dxa" w:w="3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Hypothèses (feuille principale)</w:t>
            </w:r>
          </w:p>
        </w:tc>
      </w:tr>
      <w:tr>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Coûts &amp; Composants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CAPEX (investissements initiaux) et OPEX (coûts d'exploitation) définis librement par l'utilisateur</w:t>
            </w:r>
          </w:p>
        </w:tc>
        <w:tc>
          <w:tcPr>
            <w:tcW w:type="dxa" w:w="3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CAPEX-INVESTISSEMENT, DETAILS CAPEX, OPEX, Détail OPEX, Accessoires, COUT DES COMMERCIAUX</w:t>
            </w:r>
          </w:p>
        </w:tc>
      </w:tr>
      <w:tr>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Revenus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Volumes de vente par période, prix de vente, chiffre d'affaires prévisionnel</w:t>
            </w:r>
          </w:p>
        </w:tc>
        <w:tc>
          <w:tcPr>
            <w:tcW w:type="dxa" w:w="3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Prévisions financières (sections CA)</w:t>
            </w:r>
          </w:p>
        </w:tc>
      </w:tr>
      <w:tr>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Prévisions financières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Compte de résultat, bilan, flux de trésorerie — calculés automatiquement à partir des blocs précédents</w:t>
            </w:r>
          </w:p>
        </w:tc>
        <w:tc>
          <w:tcPr>
            <w:tcW w:type="dxa" w:w="3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Prévisions financières, Plan de financement, Payement des prêts</w:t>
            </w:r>
          </w:p>
        </w:tc>
      </w:tr>
      <w:tr>
        <w:tc>
          <w:tcPr>
            <w:tcW w:type="dxa" w:w="4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KPIs &amp; Dashboard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Indicateurs de performance clés et visualisations graphiques, générés automatiquement</w:t>
            </w:r>
          </w:p>
        </w:tc>
        <w:tc>
          <w:tcPr>
            <w:tcW w:type="dxa" w:w="3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KPI, Graphes, Indicateur d'Impact</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2.3 Flux de données entre les blocs</w:t>
      </w:r>
    </w:p>
    <w:p>
      <w:pPr>
        <w:spacing w:after="100" w:before="80"/>
      </w:pPr>
      <w:r>
        <w:rPr>
          <w:rFonts w:ascii="Arial" w:cs="Arial" w:eastAsia="Arial" w:hAnsi="Arial"/>
          <w:sz w:val="22"/>
          <w:szCs w:val="22"/>
        </w:rPr>
        <w:t xml:space="preserve">Les blocs ne sont pas indépendants — ils s'alimentent les uns les autres dans un sens précis. Les blocs 1 à 5 sont les entrées, le bloc 6 est le moteur de calcul, et le bloc 7 est la sortie.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3000"/>
        <w:gridCol w:w="600"/>
        <w:gridCol w:w="2186"/>
      </w:tblGrid>
      <w:tr>
        <w:tc>
          <w:tcPr>
            <w:tcW w:type="dxa" w:w="30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Blocs d'entrée (saisie utilisateur)</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
            </w:r>
          </w:p>
        </w:tc>
        <w:tc>
          <w:tcPr>
            <w:tcW w:type="dxa" w:w="3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Calcul automatique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
            </w:r>
          </w:p>
        </w:tc>
        <w:tc>
          <w:tcPr>
            <w:tcW w:type="dxa" w:w="2186"/>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Sortie (résultats)</w:t>
            </w:r>
          </w:p>
        </w:tc>
      </w:tr>
      <w:tr>
        <w:tc>
          <w:tcPr>
            <w:tcW w:type="dxa" w:w="3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spacing w:after="40" w:before="60"/>
            </w:pPr>
            <w:r>
              <w:rPr>
                <w:rFonts w:ascii="Arial" w:cs="Arial" w:eastAsia="Arial" w:hAnsi="Arial"/>
                <w:sz w:val="22"/>
                <w:szCs w:val="22"/>
              </w:rPr>
              <w:t xml:space="preserve">• Bloc 1 : Informations projet</w:t>
            </w:r>
          </w:p>
          <w:p>
            <w:pPr>
              <w:spacing w:after="40" w:before="40"/>
            </w:pPr>
            <w:r>
              <w:rPr>
                <w:rFonts w:ascii="Arial" w:cs="Arial" w:eastAsia="Arial" w:hAnsi="Arial"/>
                <w:sz w:val="22"/>
                <w:szCs w:val="22"/>
              </w:rPr>
              <w:t xml:space="preserve">• Bloc 2 : Produits &amp; Services</w:t>
            </w:r>
          </w:p>
          <w:p>
            <w:pPr>
              <w:spacing w:after="40" w:before="40"/>
            </w:pPr>
            <w:r>
              <w:rPr>
                <w:rFonts w:ascii="Arial" w:cs="Arial" w:eastAsia="Arial" w:hAnsi="Arial"/>
                <w:sz w:val="22"/>
                <w:szCs w:val="22"/>
              </w:rPr>
              <w:t xml:space="preserve">• Bloc 3 : Hypothèses</w:t>
            </w:r>
          </w:p>
          <w:p>
            <w:pPr>
              <w:spacing w:after="40" w:before="40"/>
            </w:pPr>
            <w:r>
              <w:rPr>
                <w:rFonts w:ascii="Arial" w:cs="Arial" w:eastAsia="Arial" w:hAnsi="Arial"/>
                <w:sz w:val="22"/>
                <w:szCs w:val="22"/>
              </w:rPr>
              <w:t xml:space="preserve">• Bloc 4 : Coûts &amp; Composants</w:t>
            </w:r>
          </w:p>
          <w:p>
            <w:pPr>
              <w:spacing w:after="60" w:before="40"/>
            </w:pPr>
            <w:r>
              <w:rPr>
                <w:rFonts w:ascii="Arial" w:cs="Arial" w:eastAsia="Arial" w:hAnsi="Arial"/>
                <w:sz w:val="22"/>
                <w:szCs w:val="22"/>
              </w:rPr>
              <w:t xml:space="preserve">• Bloc 5 : Revenus</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center"/>
            </w:pPr>
            <w:r>
              <w:rPr>
                <w:rFonts w:ascii="Arial" w:cs="Arial" w:eastAsia="Arial" w:hAnsi="Arial"/>
                <w:b/>
                <w:bCs/>
                <w:color w:val="F0A02B"/>
                <w:sz w:val="20"/>
                <w:szCs w:val="20"/>
              </w:rPr>
              <w:t xml:space="preserve">→</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40" w:before="60"/>
            </w:pPr>
            <w:r>
              <w:rPr>
                <w:rFonts w:ascii="Arial" w:cs="Arial" w:eastAsia="Arial" w:hAnsi="Arial"/>
                <w:sz w:val="22"/>
                <w:szCs w:val="22"/>
              </w:rPr>
              <w:t xml:space="preserve">• Coût de revient unitaire</w:t>
            </w:r>
          </w:p>
          <w:p>
            <w:pPr>
              <w:spacing w:after="40" w:before="40"/>
            </w:pPr>
            <w:r>
              <w:rPr>
                <w:rFonts w:ascii="Arial" w:cs="Arial" w:eastAsia="Arial" w:hAnsi="Arial"/>
                <w:sz w:val="22"/>
                <w:szCs w:val="22"/>
              </w:rPr>
              <w:t xml:space="preserve">• Chiffre d'affaires par année</w:t>
            </w:r>
          </w:p>
          <w:p>
            <w:pPr>
              <w:spacing w:after="40" w:before="40"/>
            </w:pPr>
            <w:r>
              <w:rPr>
                <w:rFonts w:ascii="Arial" w:cs="Arial" w:eastAsia="Arial" w:hAnsi="Arial"/>
                <w:sz w:val="22"/>
                <w:szCs w:val="22"/>
              </w:rPr>
              <w:t xml:space="preserve">• Compte de résultat (EBITDA, résultat net)</w:t>
            </w:r>
          </w:p>
          <w:p>
            <w:pPr>
              <w:spacing w:after="40" w:before="40"/>
            </w:pPr>
            <w:r>
              <w:rPr>
                <w:rFonts w:ascii="Arial" w:cs="Arial" w:eastAsia="Arial" w:hAnsi="Arial"/>
                <w:sz w:val="22"/>
                <w:szCs w:val="22"/>
              </w:rPr>
              <w:t xml:space="preserve">• Flux de trésorerie</w:t>
            </w:r>
          </w:p>
          <w:p>
            <w:pPr>
              <w:spacing w:after="60" w:before="40"/>
            </w:pPr>
            <w:r>
              <w:rPr>
                <w:rFonts w:ascii="Arial" w:cs="Arial" w:eastAsia="Arial" w:hAnsi="Arial"/>
                <w:sz w:val="22"/>
                <w:szCs w:val="22"/>
              </w:rPr>
              <w:t xml:space="preserve">• Bilan prévisionnel</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center"/>
            </w:pPr>
            <w:r>
              <w:rPr>
                <w:rFonts w:ascii="Arial" w:cs="Arial" w:eastAsia="Arial" w:hAnsi="Arial"/>
                <w:b/>
                <w:bCs/>
                <w:color w:val="F0A02B"/>
                <w:sz w:val="20"/>
                <w:szCs w:val="20"/>
              </w:rPr>
              <w:t xml:space="preserve">→</w:t>
            </w:r>
          </w:p>
        </w:tc>
        <w:tc>
          <w:tcPr>
            <w:tcW w:type="dxa" w:w="2186"/>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40" w:before="60"/>
            </w:pPr>
            <w:r>
              <w:rPr>
                <w:rFonts w:ascii="Arial" w:cs="Arial" w:eastAsia="Arial" w:hAnsi="Arial"/>
                <w:sz w:val="22"/>
                <w:szCs w:val="22"/>
              </w:rPr>
              <w:t xml:space="preserve">• TRI, VAN</w:t>
            </w:r>
          </w:p>
          <w:p>
            <w:pPr>
              <w:spacing w:after="40" w:before="40"/>
            </w:pPr>
            <w:r>
              <w:rPr>
                <w:rFonts w:ascii="Arial" w:cs="Arial" w:eastAsia="Arial" w:hAnsi="Arial"/>
                <w:sz w:val="22"/>
                <w:szCs w:val="22"/>
              </w:rPr>
              <w:t xml:space="preserve">• Marges brute et nette</w:t>
            </w:r>
          </w:p>
          <w:p>
            <w:pPr>
              <w:spacing w:after="40" w:before="40"/>
            </w:pPr>
            <w:r>
              <w:rPr>
                <w:rFonts w:ascii="Arial" w:cs="Arial" w:eastAsia="Arial" w:hAnsi="Arial"/>
                <w:sz w:val="22"/>
                <w:szCs w:val="22"/>
              </w:rPr>
              <w:t xml:space="preserve">• Seuil de rentabilité</w:t>
            </w:r>
          </w:p>
          <w:p>
            <w:pPr>
              <w:spacing w:after="40" w:before="40"/>
            </w:pPr>
            <w:r>
              <w:rPr>
                <w:rFonts w:ascii="Arial" w:cs="Arial" w:eastAsia="Arial" w:hAnsi="Arial"/>
                <w:sz w:val="22"/>
                <w:szCs w:val="22"/>
              </w:rPr>
              <w:t xml:space="preserve">• Graphes interactifs</w:t>
            </w:r>
          </w:p>
          <w:p>
            <w:pPr>
              <w:spacing w:after="60" w:before="40"/>
            </w:pPr>
            <w:r>
              <w:rPr>
                <w:rFonts w:ascii="Arial" w:cs="Arial" w:eastAsia="Arial" w:hAnsi="Arial"/>
                <w:sz w:val="22"/>
                <w:szCs w:val="22"/>
              </w:rPr>
              <w:t xml:space="preserve">• Export PDF/Excel</w:t>
            </w:r>
          </w:p>
        </w:tc>
      </w:tr>
    </w:tbl>
    <w:p>
      <w:r>
        <w:br w:type="page"/>
      </w:r>
    </w:p>
    <w:p>
      <w:pPr>
        <w:pStyle w:val="Heading1"/>
        <w:spacing w:after="200" w:before="400"/>
      </w:pPr>
      <w:r>
        <w:rPr>
          <w:rFonts w:ascii="Arial" w:cs="Arial" w:eastAsia="Arial" w:hAnsi="Arial"/>
          <w:b/>
          <w:bCs/>
          <w:color w:val="0D2B55"/>
          <w:sz w:val="32"/>
          <w:szCs w:val="32"/>
        </w:rPr>
        <w:t xml:space="preserve">3. Description Détaillée des Blocs Fonctionnels</w:t>
      </w:r>
    </w:p>
    <w:p>
      <w:pPr>
        <w:pBdr>
          <w:bottom w:val="single" w:color="F0A02B" w:sz="8" w:space="1"/>
        </w:pBdr>
        <w:spacing w:after="140" w:before="10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1 — Informations du Projet</w:t>
      </w:r>
    </w:p>
    <w:p>
      <w:pPr>
        <w:spacing w:after="100" w:before="80"/>
      </w:pPr>
      <w:r>
        <w:rPr>
          <w:rFonts w:ascii="Arial" w:cs="Arial" w:eastAsia="Arial" w:hAnsi="Arial"/>
          <w:sz w:val="22"/>
          <w:szCs w:val="22"/>
        </w:rPr>
        <w:t xml:space="preserve">Ce bloc est le point d'entrée de tout nouveau Business Model. Il permet à l'utilisateur de définir le contexte général du projet.</w:t>
      </w:r>
    </w:p>
    <w:p>
      <w:pPr>
        <w:pStyle w:val="Heading3"/>
        <w:spacing w:after="120" w:before="200"/>
      </w:pPr>
      <w:r>
        <w:rPr>
          <w:rFonts w:ascii="Arial" w:cs="Arial" w:eastAsia="Arial" w:hAnsi="Arial"/>
          <w:b/>
          <w:bCs/>
          <w:color w:val="F0A02B"/>
          <w:sz w:val="24"/>
          <w:szCs w:val="24"/>
        </w:rPr>
        <w:t xml:space="preserve">Champs à saisir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86"/>
      </w:tblGrid>
      <w:tr>
        <w:tc>
          <w:tcPr>
            <w:tcW w:type="dxa" w:w="2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Champ</w:t>
            </w:r>
          </w:p>
        </w:tc>
        <w:tc>
          <w:tcPr>
            <w:tcW w:type="dxa" w:w="3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Description</w:t>
            </w:r>
          </w:p>
        </w:tc>
        <w:tc>
          <w:tcPr>
            <w:tcW w:type="dxa" w:w="33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Nom du projet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Intitulé court et identifiant du Business Model</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 Obligatoire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Description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Résumé du projet, contexte stratégique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long — Optionnel</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Secteur d'activité</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Domaine concerné (ex. : Énergie, Agriculture, BTP…)</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Liste déroulante + champ libre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Produit ou service principal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Ce que le projet vend ou produit</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 Obligatoire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Année de démarrage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Première année d'activité du projet</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Entier (ex. : 2026)</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Durée du projet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Nombre d'années de projection financière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Entier (ex. : 5 ans)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Devise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Monnaie utilisée pour tous les montants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Liste (FCFA, EUR, USD…)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Statut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État d'avancement du Business Model</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Draft / En cours / Finalisé</w:t>
            </w:r>
          </w:p>
        </w:tc>
      </w:tr>
    </w:tbl>
    <w:p>
      <w:pPr>
        <w:pStyle w:val="Heading3"/>
        <w:spacing w:after="120" w:before="200"/>
      </w:pPr>
      <w:r>
        <w:rPr>
          <w:rFonts w:ascii="Arial" w:cs="Arial" w:eastAsia="Arial" w:hAnsi="Arial"/>
          <w:b/>
          <w:bCs/>
          <w:color w:val="F0A02B"/>
          <w:sz w:val="24"/>
          <w:szCs w:val="24"/>
        </w:rPr>
        <w:t xml:space="preserve">Fonctionnalités</w:t>
      </w:r>
    </w:p>
    <w:p>
      <w:pPr>
        <w:pStyle w:val="ListParagraph"/>
        <w:numPr>
          <w:ilvl w:val="0"/>
          <w:numId w:val="2"/>
        </w:numPr>
        <w:spacing w:after="60" w:before="60"/>
      </w:pPr>
      <w:r>
        <w:rPr>
          <w:rFonts w:ascii="Arial" w:cs="Arial" w:eastAsia="Arial" w:hAnsi="Arial"/>
          <w:sz w:val="22"/>
          <w:szCs w:val="22"/>
        </w:rPr>
        <w:t xml:space="preserve">Création d'un nouveau projet en moins de 2 minutes</w:t>
      </w:r>
    </w:p>
    <w:p>
      <w:pPr>
        <w:pStyle w:val="ListParagraph"/>
        <w:numPr>
          <w:ilvl w:val="0"/>
          <w:numId w:val="2"/>
        </w:numPr>
        <w:spacing w:after="60" w:before="60"/>
      </w:pPr>
      <w:r>
        <w:rPr>
          <w:rFonts w:ascii="Arial" w:cs="Arial" w:eastAsia="Arial" w:hAnsi="Arial"/>
          <w:sz w:val="22"/>
          <w:szCs w:val="22"/>
        </w:rPr>
        <w:t xml:space="preserve">Duplication d'un projet existant comme base de départ pour un nouveau Business Model</w:t>
      </w:r>
    </w:p>
    <w:p>
      <w:pPr>
        <w:pStyle w:val="ListParagraph"/>
        <w:numPr>
          <w:ilvl w:val="0"/>
          <w:numId w:val="2"/>
        </w:numPr>
        <w:spacing w:after="60" w:before="60"/>
      </w:pPr>
      <w:r>
        <w:rPr>
          <w:rFonts w:ascii="Arial" w:cs="Arial" w:eastAsia="Arial" w:hAnsi="Arial"/>
          <w:sz w:val="22"/>
          <w:szCs w:val="22"/>
        </w:rPr>
        <w:t xml:space="preserve">Archivage des projets terminés</w:t>
      </w:r>
    </w:p>
    <w:p>
      <w:pPr>
        <w:pStyle w:val="ListParagraph"/>
        <w:numPr>
          <w:ilvl w:val="0"/>
          <w:numId w:val="2"/>
        </w:numPr>
        <w:spacing w:after="60" w:before="60"/>
      </w:pPr>
      <w:r>
        <w:rPr>
          <w:rFonts w:ascii="Arial" w:cs="Arial" w:eastAsia="Arial" w:hAnsi="Arial"/>
          <w:sz w:val="22"/>
          <w:szCs w:val="22"/>
        </w:rPr>
        <w:t xml:space="preserve">Recherche et filtrage des projets par nom, secteur ou statut</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2 — Produits &amp; Services</w:t>
      </w:r>
    </w:p>
    <w:p>
      <w:pPr>
        <w:spacing w:after="100" w:before="80"/>
      </w:pPr>
      <w:r>
        <w:rPr>
          <w:rFonts w:ascii="Arial" w:cs="Arial" w:eastAsia="Arial" w:hAnsi="Arial"/>
          <w:sz w:val="22"/>
          <w:szCs w:val="22"/>
        </w:rPr>
        <w:t xml:space="preserve">Ce bloc permet de définir ce que le projet vend. Un projet peut comporter un ou plusieurs produits/services. Chaque produit a ses propres caractéristiques et son propre coût de revient.</w:t>
      </w:r>
    </w:p>
    <w:p>
      <w:pPr>
        <w:pStyle w:val="Heading3"/>
        <w:spacing w:after="120" w:before="200"/>
      </w:pPr>
      <w:r>
        <w:rPr>
          <w:rFonts w:ascii="Arial" w:cs="Arial" w:eastAsia="Arial" w:hAnsi="Arial"/>
          <w:b/>
          <w:bCs/>
          <w:color w:val="F0A02B"/>
          <w:sz w:val="24"/>
          <w:szCs w:val="24"/>
        </w:rPr>
        <w:t xml:space="preserve">Champs à saisir par produit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86"/>
      </w:tblGrid>
      <w:tr>
        <w:tc>
          <w:tcPr>
            <w:tcW w:type="dxa" w:w="2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Champ</w:t>
            </w:r>
          </w:p>
        </w:tc>
        <w:tc>
          <w:tcPr>
            <w:tcW w:type="dxa" w:w="3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Description</w:t>
            </w:r>
          </w:p>
        </w:tc>
        <w:tc>
          <w:tcPr>
            <w:tcW w:type="dxa" w:w="33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Nom du produit/service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Intitulé du produit (ex. : KYA-SoP B20, Pompe solaire…)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 Obligatoire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Description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Caractéristiques générales du produit</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long</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Caractéristiques techniques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Paires clé-valeur libres (ex. : Puissance = 10 kW)</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Champs dynamiques ajoutables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Unité de vente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Comment le produit est vendu (pièce, lot, service…)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Texte libre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Composants / Accessoires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Liste des éléments qui composent le produit avec prix unitaires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Tableau dynamique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Marge de sécurité</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Pourcentage ajouté sur le coût des composants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Pourcentage</w:t>
            </w:r>
          </w:p>
        </w:tc>
      </w:tr>
    </w:tbl>
    <w:p>
      <w:pPr>
        <w:pStyle w:val="Heading3"/>
        <w:spacing w:after="120" w:before="200"/>
      </w:pPr>
      <w:r>
        <w:rPr>
          <w:rFonts w:ascii="Arial" w:cs="Arial" w:eastAsia="Arial" w:hAnsi="Arial"/>
          <w:b/>
          <w:bCs/>
          <w:color w:val="F0A02B"/>
          <w:sz w:val="24"/>
          <w:szCs w:val="24"/>
        </w:rPr>
        <w:t xml:space="preserve">Calculs automatiques</w:t>
      </w:r>
    </w:p>
    <w:p>
      <w:pPr>
        <w:pStyle w:val="ListParagraph"/>
        <w:numPr>
          <w:ilvl w:val="0"/>
          <w:numId w:val="2"/>
        </w:numPr>
        <w:spacing w:after="60" w:before="60"/>
      </w:pPr>
      <w:r>
        <w:rPr>
          <w:rFonts w:ascii="Arial" w:cs="Arial" w:eastAsia="Arial" w:hAnsi="Arial"/>
          <w:sz w:val="22"/>
          <w:szCs w:val="22"/>
        </w:rPr>
        <w:t xml:space="preserve">Coût de revient HT = somme des composants × (1 + marge de sécurité)</w:t>
      </w:r>
    </w:p>
    <w:p>
      <w:pPr>
        <w:pStyle w:val="ListParagraph"/>
        <w:numPr>
          <w:ilvl w:val="0"/>
          <w:numId w:val="2"/>
        </w:numPr>
        <w:spacing w:after="60" w:before="60"/>
      </w:pPr>
      <w:r>
        <w:rPr>
          <w:rFonts w:ascii="Arial" w:cs="Arial" w:eastAsia="Arial" w:hAnsi="Arial"/>
          <w:sz w:val="22"/>
          <w:szCs w:val="22"/>
        </w:rPr>
        <w:t xml:space="preserve">Prix de vente HT = coût de revient × (1 + marge bénéficiaire définie dans les Hypothèses)</w:t>
      </w:r>
    </w:p>
    <w:p>
      <w:pPr>
        <w:pStyle w:val="ListParagraph"/>
        <w:numPr>
          <w:ilvl w:val="0"/>
          <w:numId w:val="2"/>
        </w:numPr>
        <w:spacing w:after="60" w:before="60"/>
      </w:pPr>
      <w:r>
        <w:rPr>
          <w:rFonts w:ascii="Arial" w:cs="Arial" w:eastAsia="Arial" w:hAnsi="Arial"/>
          <w:sz w:val="22"/>
          <w:szCs w:val="22"/>
        </w:rPr>
        <w:t xml:space="preserve">Prix TTC = prix HT × (1 + TVA)</w:t>
      </w:r>
    </w:p>
    <w:p>
      <w:pPr>
        <w:pStyle w:val="ListParagraph"/>
        <w:numPr>
          <w:ilvl w:val="0"/>
          <w:numId w:val="2"/>
        </w:numPr>
        <w:spacing w:after="60" w:before="60"/>
      </w:pPr>
      <w:r>
        <w:rPr>
          <w:rFonts w:ascii="Arial" w:cs="Arial" w:eastAsia="Arial" w:hAnsi="Arial"/>
          <w:sz w:val="22"/>
          <w:szCs w:val="22"/>
        </w:rPr>
        <w:t xml:space="preserve">Bénéfice net unitaire = prix de vente HT − coût de revient HT</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3 — Hypothèses</w:t>
      </w:r>
    </w:p>
    <w:p>
      <w:pPr>
        <w:spacing w:after="100" w:before="80"/>
      </w:pPr>
      <w:r>
        <w:rPr>
          <w:rFonts w:ascii="Arial" w:cs="Arial" w:eastAsia="Arial" w:hAnsi="Arial"/>
          <w:sz w:val="22"/>
          <w:szCs w:val="22"/>
        </w:rPr>
        <w:t xml:space="preserve">Les hypothèses sont les paramètres d'entrée qui pilotent l'ensemble des calculs financiers. Ce bloc est le plus structurant du modèle : une modification d'une hypothèse se répercute immédiatement sur tous les résultats.</w:t>
      </w:r>
    </w:p>
    <w:p>
      <w:pPr>
        <w:pStyle w:val="Heading3"/>
        <w:spacing w:after="120" w:before="200"/>
      </w:pPr>
      <w:r>
        <w:rPr>
          <w:rFonts w:ascii="Arial" w:cs="Arial" w:eastAsia="Arial" w:hAnsi="Arial"/>
          <w:b/>
          <w:bCs/>
          <w:color w:val="F0A02B"/>
          <w:sz w:val="24"/>
          <w:szCs w:val="24"/>
        </w:rPr>
        <w:t xml:space="preserve">Sections des hypothèses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86"/>
      </w:tblGrid>
      <w:tr>
        <w:tc>
          <w:tcPr>
            <w:tcW w:type="dxa" w:w="2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Section</w:t>
            </w:r>
          </w:p>
        </w:tc>
        <w:tc>
          <w:tcPr>
            <w:tcW w:type="dxa" w:w="38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Paramètres</w:t>
            </w:r>
          </w:p>
        </w:tc>
        <w:tc>
          <w:tcPr>
            <w:tcW w:type="dxa" w:w="30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Exemples de valeurs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Fiscalité &amp; Taux</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Taux d'impôt sur les sociétés, impôt minimum forfaitaire, TVA, TAF</w:t>
            </w:r>
          </w:p>
        </w:tc>
        <w:tc>
          <w:tcPr>
            <w:tcW w:type="dxa" w:w="30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IS : 27%, TVA : 18%</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Marges &amp; Revenus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Marge bénéficiaire, frais de coordination, marketing, R&amp;D (en % du CA)</w:t>
            </w:r>
          </w:p>
        </w:tc>
        <w:tc>
          <w:tcPr>
            <w:tcW w:type="dxa" w:w="30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Marge : 20,4%, Marketing : 2%</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Volumes &amp; Croissance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Volume initial, taux de croissance annuel par produit, durée de projection</w:t>
            </w:r>
          </w:p>
        </w:tc>
        <w:tc>
          <w:tcPr>
            <w:tcW w:type="dxa" w:w="30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100 unités, +25%/an sur 5 ans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Financement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Part fonds propres, part emprunt, durée de remboursement, taux d'intérêt, WACC</w:t>
            </w:r>
          </w:p>
        </w:tc>
        <w:tc>
          <w:tcPr>
            <w:tcW w:type="dxa" w:w="30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20%/80%, 5 ans, 10%</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Hypothèses client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Frais de dossier, assurance sur prêt, droits d'enregistrement, taux intérêt client</w:t>
            </w:r>
          </w:p>
        </w:tc>
        <w:tc>
          <w:tcPr>
            <w:tcW w:type="dxa" w:w="30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Frais dossier : 1%</w:t>
            </w:r>
          </w:p>
        </w:tc>
      </w:tr>
    </w:tbl>
    <w:p>
      <w:pPr>
        <w:pStyle w:val="Heading3"/>
        <w:spacing w:after="120" w:before="200"/>
      </w:pPr>
      <w:r>
        <w:rPr>
          <w:rFonts w:ascii="Arial" w:cs="Arial" w:eastAsia="Arial" w:hAnsi="Arial"/>
          <w:b/>
          <w:bCs/>
          <w:color w:val="F0A02B"/>
          <w:sz w:val="24"/>
          <w:szCs w:val="24"/>
        </w:rPr>
        <w:t xml:space="preserve">Fonctionnalités</w:t>
      </w:r>
    </w:p>
    <w:p>
      <w:pPr>
        <w:pStyle w:val="ListParagraph"/>
        <w:numPr>
          <w:ilvl w:val="0"/>
          <w:numId w:val="2"/>
        </w:numPr>
        <w:spacing w:after="60" w:before="60"/>
      </w:pPr>
      <w:r>
        <w:rPr>
          <w:rFonts w:ascii="Arial" w:cs="Arial" w:eastAsia="Arial" w:hAnsi="Arial"/>
          <w:sz w:val="22"/>
          <w:szCs w:val="22"/>
        </w:rPr>
        <w:t xml:space="preserve">Aide contextuelle pour chaque paramètre (description, impact sur le modèle)</w:t>
      </w:r>
    </w:p>
    <w:p>
      <w:pPr>
        <w:pStyle w:val="ListParagraph"/>
        <w:numPr>
          <w:ilvl w:val="0"/>
          <w:numId w:val="2"/>
        </w:numPr>
        <w:spacing w:after="60" w:before="60"/>
      </w:pPr>
      <w:r>
        <w:rPr>
          <w:rFonts w:ascii="Arial" w:cs="Arial" w:eastAsia="Arial" w:hAnsi="Arial"/>
          <w:sz w:val="22"/>
          <w:szCs w:val="22"/>
        </w:rPr>
        <w:t xml:space="preserve">Validation en temps réel : alerte si fonds propres + emprunt ≠ 100%</w:t>
      </w:r>
    </w:p>
    <w:p>
      <w:pPr>
        <w:pStyle w:val="ListParagraph"/>
        <w:numPr>
          <w:ilvl w:val="0"/>
          <w:numId w:val="2"/>
        </w:numPr>
        <w:spacing w:after="60" w:before="60"/>
      </w:pPr>
      <w:r>
        <w:rPr>
          <w:rFonts w:ascii="Arial" w:cs="Arial" w:eastAsia="Arial" w:hAnsi="Arial"/>
          <w:sz w:val="22"/>
          <w:szCs w:val="22"/>
        </w:rPr>
        <w:t xml:space="preserve">Recalcul instantané de tous les résultats à chaque modification</w:t>
      </w:r>
    </w:p>
    <w:p>
      <w:pPr>
        <w:pStyle w:val="ListParagraph"/>
        <w:numPr>
          <w:ilvl w:val="0"/>
          <w:numId w:val="2"/>
        </w:numPr>
        <w:spacing w:after="60" w:before="60"/>
      </w:pPr>
      <w:r>
        <w:rPr>
          <w:rFonts w:ascii="Arial" w:cs="Arial" w:eastAsia="Arial" w:hAnsi="Arial"/>
          <w:sz w:val="22"/>
          <w:szCs w:val="22"/>
        </w:rPr>
        <w:t xml:space="preserve">Valeurs par défaut pré-remplies basées sur les standards du secteur (modifiables)</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4 — Coûts &amp; Composants</w:t>
      </w:r>
    </w:p>
    <w:p>
      <w:pPr>
        <w:spacing w:after="100" w:before="80"/>
      </w:pPr>
      <w:r>
        <w:rPr>
          <w:rFonts w:ascii="Arial" w:cs="Arial" w:eastAsia="Arial" w:hAnsi="Arial"/>
          <w:sz w:val="22"/>
          <w:szCs w:val="22"/>
        </w:rPr>
        <w:t xml:space="preserve">Ce bloc couvre l'ensemble des coûts du projet, structurés en deux catégories : les investissements initiaux (CAPEX) et les coûts d'exploitation annuels (OPEX). L'utilisateur définit librement ses postes de coûts — la plateforme ne les impose pas.</w:t>
      </w:r>
    </w:p>
    <w:p>
      <w:pPr>
        <w:pStyle w:val="Heading3"/>
        <w:spacing w:after="120" w:before="200"/>
      </w:pPr>
      <w:r>
        <w:rPr>
          <w:rFonts w:ascii="Arial" w:cs="Arial" w:eastAsia="Arial" w:hAnsi="Arial"/>
          <w:b/>
          <w:bCs/>
          <w:color w:val="F0A02B"/>
          <w:sz w:val="24"/>
          <w:szCs w:val="24"/>
        </w:rPr>
        <w:t xml:space="preserve">CAPEX — Investissements initiaux</w:t>
      </w:r>
    </w:p>
    <w:p>
      <w:pPr>
        <w:pStyle w:val="ListParagraph"/>
        <w:numPr>
          <w:ilvl w:val="0"/>
          <w:numId w:val="2"/>
        </w:numPr>
        <w:spacing w:after="60" w:before="60"/>
      </w:pPr>
      <w:r>
        <w:rPr>
          <w:rFonts w:ascii="Arial" w:cs="Arial" w:eastAsia="Arial" w:hAnsi="Arial"/>
          <w:sz w:val="22"/>
          <w:szCs w:val="22"/>
        </w:rPr>
        <w:t xml:space="preserve">L'utilisateur crée ses propres postes d'investissement avec libellé, montant et taux d'amortissement</w:t>
      </w:r>
    </w:p>
    <w:p>
      <w:pPr>
        <w:pStyle w:val="ListParagraph"/>
        <w:numPr>
          <w:ilvl w:val="0"/>
          <w:numId w:val="2"/>
        </w:numPr>
        <w:spacing w:after="60" w:before="60"/>
      </w:pPr>
      <w:r>
        <w:rPr>
          <w:rFonts w:ascii="Arial" w:cs="Arial" w:eastAsia="Arial" w:hAnsi="Arial"/>
          <w:sz w:val="22"/>
          <w:szCs w:val="22"/>
        </w:rPr>
        <w:t xml:space="preserve">La plateforme génère automatiquement les tableaux d'amortissement sur la durée du projet</w:t>
      </w:r>
    </w:p>
    <w:p>
      <w:pPr>
        <w:pStyle w:val="ListParagraph"/>
        <w:numPr>
          <w:ilvl w:val="0"/>
          <w:numId w:val="2"/>
        </w:numPr>
        <w:spacing w:after="60" w:before="60"/>
      </w:pPr>
      <w:r>
        <w:rPr>
          <w:rFonts w:ascii="Arial" w:cs="Arial" w:eastAsia="Arial" w:hAnsi="Arial"/>
          <w:sz w:val="22"/>
          <w:szCs w:val="22"/>
        </w:rPr>
        <w:t xml:space="preserve">Calcul automatique de la Valeur Comptable Nette (VCN) par année</w:t>
      </w:r>
    </w:p>
    <w:p>
      <w:pPr>
        <w:pStyle w:val="ListParagraph"/>
        <w:numPr>
          <w:ilvl w:val="0"/>
          <w:numId w:val="2"/>
        </w:numPr>
        <w:spacing w:after="60" w:before="60"/>
      </w:pPr>
      <w:r>
        <w:rPr>
          <w:rFonts w:ascii="Arial" w:cs="Arial" w:eastAsia="Arial" w:hAnsi="Arial"/>
          <w:sz w:val="22"/>
          <w:szCs w:val="22"/>
        </w:rPr>
        <w:t xml:space="preserve">Regroupement possible par catégorie (équipements, bâtiments, formation…)</w:t>
      </w:r>
    </w:p>
    <w:p>
      <w:pPr>
        <w:pStyle w:val="Heading3"/>
        <w:spacing w:after="120" w:before="200"/>
      </w:pPr>
      <w:r>
        <w:rPr>
          <w:rFonts w:ascii="Arial" w:cs="Arial" w:eastAsia="Arial" w:hAnsi="Arial"/>
          <w:b/>
          <w:bCs/>
          <w:color w:val="F0A02B"/>
          <w:sz w:val="24"/>
          <w:szCs w:val="24"/>
        </w:rPr>
        <w:t xml:space="preserve">OPEX — Coûts d'exploitation</w:t>
      </w:r>
    </w:p>
    <w:p>
      <w:pPr>
        <w:pStyle w:val="ListParagraph"/>
        <w:numPr>
          <w:ilvl w:val="0"/>
          <w:numId w:val="2"/>
        </w:numPr>
        <w:spacing w:after="60" w:before="60"/>
      </w:pPr>
      <w:r>
        <w:rPr>
          <w:rFonts w:ascii="Arial" w:cs="Arial" w:eastAsia="Arial" w:hAnsi="Arial"/>
          <w:sz w:val="22"/>
          <w:szCs w:val="22"/>
        </w:rPr>
        <w:t xml:space="preserve">Postes de charges récurrentes : personnel, marketing, R&amp;D, coordination, maintenance</w:t>
      </w:r>
    </w:p>
    <w:p>
      <w:pPr>
        <w:pStyle w:val="ListParagraph"/>
        <w:numPr>
          <w:ilvl w:val="0"/>
          <w:numId w:val="2"/>
        </w:numPr>
        <w:spacing w:after="60" w:before="60"/>
      </w:pPr>
      <w:r>
        <w:rPr>
          <w:rFonts w:ascii="Arial" w:cs="Arial" w:eastAsia="Arial" w:hAnsi="Arial"/>
          <w:sz w:val="22"/>
          <w:szCs w:val="22"/>
        </w:rPr>
        <w:t xml:space="preserve">Deux modes de saisie : montant fixe annuel OU pourcentage du chiffre d'affaires</w:t>
      </w:r>
    </w:p>
    <w:p>
      <w:pPr>
        <w:pStyle w:val="ListParagraph"/>
        <w:numPr>
          <w:ilvl w:val="0"/>
          <w:numId w:val="2"/>
        </w:numPr>
        <w:spacing w:after="60" w:before="60"/>
      </w:pPr>
      <w:r>
        <w:rPr>
          <w:rFonts w:ascii="Arial" w:cs="Arial" w:eastAsia="Arial" w:hAnsi="Arial"/>
          <w:sz w:val="22"/>
          <w:szCs w:val="22"/>
        </w:rPr>
        <w:t xml:space="preserve">Ajout libre de lignes de coûts supplémentaires selon les besoins du projet</w:t>
      </w:r>
    </w:p>
    <w:p>
      <w:pPr>
        <w:pStyle w:val="ListParagraph"/>
        <w:numPr>
          <w:ilvl w:val="0"/>
          <w:numId w:val="2"/>
        </w:numPr>
        <w:spacing w:after="60" w:before="60"/>
      </w:pPr>
      <w:r>
        <w:rPr>
          <w:rFonts w:ascii="Arial" w:cs="Arial" w:eastAsia="Arial" w:hAnsi="Arial"/>
          <w:sz w:val="22"/>
          <w:szCs w:val="22"/>
        </w:rPr>
        <w:t xml:space="preserve">Calcul automatique du coût total par année sur la durée du projet</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5 — Revenus</w:t>
      </w:r>
    </w:p>
    <w:p>
      <w:pPr>
        <w:spacing w:after="100" w:before="80"/>
      </w:pPr>
      <w:r>
        <w:rPr>
          <w:rFonts w:ascii="Arial" w:cs="Arial" w:eastAsia="Arial" w:hAnsi="Arial"/>
          <w:sz w:val="22"/>
          <w:szCs w:val="22"/>
        </w:rPr>
        <w:t xml:space="preserve">Ce bloc permet de définir les prévisions de vente et de générer le chiffre d'affaires prévisionnel par année. Il s'appuie sur les produits définis dans le Bloc 2 et les volumes définis dans les Hypothèses (Bloc 3).</w:t>
      </w:r>
    </w:p>
    <w:p>
      <w:pPr>
        <w:pStyle w:val="Heading3"/>
        <w:spacing w:after="120" w:before="200"/>
      </w:pPr>
      <w:r>
        <w:rPr>
          <w:rFonts w:ascii="Arial" w:cs="Arial" w:eastAsia="Arial" w:hAnsi="Arial"/>
          <w:b/>
          <w:bCs/>
          <w:color w:val="F0A02B"/>
          <w:sz w:val="24"/>
          <w:szCs w:val="24"/>
        </w:rPr>
        <w:t xml:space="preserve">Données gérées</w:t>
      </w:r>
    </w:p>
    <w:p>
      <w:pPr>
        <w:pStyle w:val="ListParagraph"/>
        <w:numPr>
          <w:ilvl w:val="0"/>
          <w:numId w:val="2"/>
        </w:numPr>
        <w:spacing w:after="60" w:before="60"/>
      </w:pPr>
      <w:r>
        <w:rPr>
          <w:rFonts w:ascii="Arial" w:cs="Arial" w:eastAsia="Arial" w:hAnsi="Arial"/>
          <w:sz w:val="22"/>
          <w:szCs w:val="22"/>
        </w:rPr>
        <w:t xml:space="preserve">Volume de ventes par produit et par année (calculé depuis les hypothèses de croissance)</w:t>
      </w:r>
    </w:p>
    <w:p>
      <w:pPr>
        <w:pStyle w:val="ListParagraph"/>
        <w:numPr>
          <w:ilvl w:val="0"/>
          <w:numId w:val="2"/>
        </w:numPr>
        <w:spacing w:after="60" w:before="60"/>
      </w:pPr>
      <w:r>
        <w:rPr>
          <w:rFonts w:ascii="Arial" w:cs="Arial" w:eastAsia="Arial" w:hAnsi="Arial"/>
          <w:sz w:val="22"/>
          <w:szCs w:val="22"/>
        </w:rPr>
        <w:t xml:space="preserve">Prix de vente unitaire HT (calculé automatiquement depuis le Bloc 2)</w:t>
      </w:r>
    </w:p>
    <w:p>
      <w:pPr>
        <w:pStyle w:val="ListParagraph"/>
        <w:numPr>
          <w:ilvl w:val="0"/>
          <w:numId w:val="2"/>
        </w:numPr>
        <w:spacing w:after="60" w:before="60"/>
      </w:pPr>
      <w:r>
        <w:rPr>
          <w:rFonts w:ascii="Arial" w:cs="Arial" w:eastAsia="Arial" w:hAnsi="Arial"/>
          <w:sz w:val="22"/>
          <w:szCs w:val="22"/>
        </w:rPr>
        <w:t xml:space="preserve">Chiffre d'affaires HT par produit et par année</w:t>
      </w:r>
    </w:p>
    <w:p>
      <w:pPr>
        <w:pStyle w:val="ListParagraph"/>
        <w:numPr>
          <w:ilvl w:val="0"/>
          <w:numId w:val="2"/>
        </w:numPr>
        <w:spacing w:after="60" w:before="60"/>
      </w:pPr>
      <w:r>
        <w:rPr>
          <w:rFonts w:ascii="Arial" w:cs="Arial" w:eastAsia="Arial" w:hAnsi="Arial"/>
          <w:sz w:val="22"/>
          <w:szCs w:val="22"/>
        </w:rPr>
        <w:t xml:space="preserve">Chiffre d'affaires total consolidé par année</w:t>
      </w:r>
    </w:p>
    <w:p>
      <w:pPr>
        <w:pStyle w:val="ListParagraph"/>
        <w:numPr>
          <w:ilvl w:val="0"/>
          <w:numId w:val="2"/>
        </w:numPr>
        <w:spacing w:after="60" w:before="60"/>
      </w:pPr>
      <w:r>
        <w:rPr>
          <w:rFonts w:ascii="Arial" w:cs="Arial" w:eastAsia="Arial" w:hAnsi="Arial"/>
          <w:sz w:val="22"/>
          <w:szCs w:val="22"/>
        </w:rPr>
        <w:t xml:space="preserve">Encaissement des ventes (taux d'encaissement configurable dans les Hypothèses)</w:t>
      </w:r>
    </w:p>
    <w:p>
      <w:pPr>
        <w:pStyle w:val="Heading3"/>
        <w:spacing w:after="120" w:before="200"/>
      </w:pPr>
      <w:r>
        <w:rPr>
          <w:rFonts w:ascii="Arial" w:cs="Arial" w:eastAsia="Arial" w:hAnsi="Arial"/>
          <w:b/>
          <w:bCs/>
          <w:color w:val="F0A02B"/>
          <w:sz w:val="24"/>
          <w:szCs w:val="24"/>
        </w:rPr>
        <w:t xml:space="preserve">Affichage</w:t>
      </w:r>
    </w:p>
    <w:p>
      <w:pPr>
        <w:pStyle w:val="ListParagraph"/>
        <w:numPr>
          <w:ilvl w:val="0"/>
          <w:numId w:val="2"/>
        </w:numPr>
        <w:spacing w:after="60" w:before="60"/>
      </w:pPr>
      <w:r>
        <w:rPr>
          <w:rFonts w:ascii="Arial" w:cs="Arial" w:eastAsia="Arial" w:hAnsi="Arial"/>
          <w:sz w:val="22"/>
          <w:szCs w:val="22"/>
        </w:rPr>
        <w:t xml:space="preserve">Tableau récapitulatif sur toute la durée du projet (ex. : 2026 à 2030)</w:t>
      </w:r>
    </w:p>
    <w:p>
      <w:pPr>
        <w:pStyle w:val="ListParagraph"/>
        <w:numPr>
          <w:ilvl w:val="0"/>
          <w:numId w:val="2"/>
        </w:numPr>
        <w:spacing w:after="60" w:before="60"/>
      </w:pPr>
      <w:r>
        <w:rPr>
          <w:rFonts w:ascii="Arial" w:cs="Arial" w:eastAsia="Arial" w:hAnsi="Arial"/>
          <w:sz w:val="22"/>
          <w:szCs w:val="22"/>
        </w:rPr>
        <w:t xml:space="preserve">Visualisation graphique de l'évolution du CA par année</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6 — Prévisions Financières</w:t>
      </w:r>
    </w:p>
    <w:p>
      <w:pPr>
        <w:spacing w:after="100" w:before="80"/>
      </w:pPr>
      <w:r>
        <w:rPr>
          <w:rFonts w:ascii="Arial" w:cs="Arial" w:eastAsia="Arial" w:hAnsi="Arial"/>
          <w:sz w:val="22"/>
          <w:szCs w:val="22"/>
        </w:rPr>
        <w:t xml:space="preserve">Ce bloc est le moteur de calcul de la plateforme. Il agrège toutes les données des blocs précédents et génère automatiquement les états financiers prévisionnels complets. L'utilisateur ne saisit rien ici — tout est calculé.</w:t>
      </w:r>
    </w:p>
    <w:p>
      <w:pPr>
        <w:pStyle w:val="Heading3"/>
        <w:spacing w:after="120" w:before="200"/>
      </w:pPr>
      <w:r>
        <w:rPr>
          <w:rFonts w:ascii="Arial" w:cs="Arial" w:eastAsia="Arial" w:hAnsi="Arial"/>
          <w:b/>
          <w:bCs/>
          <w:color w:val="F0A02B"/>
          <w:sz w:val="24"/>
          <w:szCs w:val="24"/>
        </w:rPr>
        <w:t xml:space="preserve">États financiers générés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6886"/>
      </w:tblGrid>
      <w:tr>
        <w:tc>
          <w:tcPr>
            <w:tcW w:type="dxa" w:w="2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État financier</w:t>
            </w:r>
          </w:p>
        </w:tc>
        <w:tc>
          <w:tcPr>
            <w:tcW w:type="dxa" w:w="68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Contenu</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Compte de résultat</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Ventes → Coût de revient → Marge brute → Charges d'exploitation → EBITDA → EBIT → Frais financiers → EBT → Impôts → Résultat net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Flux de trésorerie</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Flux opérations (CAF, BFR) + Flux investissements (CAPEX) + Flux financement (emprunts, remboursements) = Flux net annuel</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Bilan prévisionnel</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Actif (trésorerie, immobilisations, créances) / Passif (dettes, capitaux propres) — équilibre vérifié automatiquement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Plan de financement</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Emplois (CAPEX + charges) vs Ressources (fonds propres + emprunts) par année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Tableau d'amortissement du prêt</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Capital restant dû, intérêts annuels, remboursement annuel — sur la durée définie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Ratios de performance</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Marge brute, marge nette, RoA, RoE, Leverage — calculés par année</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Bloc 7 — KPIs &amp; Dashboard</w:t>
      </w:r>
    </w:p>
    <w:p>
      <w:pPr>
        <w:spacing w:after="100" w:before="80"/>
      </w:pPr>
      <w:r>
        <w:rPr>
          <w:rFonts w:ascii="Arial" w:cs="Arial" w:eastAsia="Arial" w:hAnsi="Arial"/>
          <w:sz w:val="22"/>
          <w:szCs w:val="22"/>
        </w:rPr>
        <w:t xml:space="preserve">Ce bloc est la vitrine du Business Model. Il présente de façon visuelle et synthétique tous les résultats calculés dans le Bloc 6. C'est l'écran principal que l'utilisateur consulte pour évaluer la viabilité du projet.</w:t>
      </w:r>
    </w:p>
    <w:p>
      <w:pPr>
        <w:pStyle w:val="Heading3"/>
        <w:spacing w:after="120" w:before="200"/>
      </w:pPr>
      <w:r>
        <w:rPr>
          <w:rFonts w:ascii="Arial" w:cs="Arial" w:eastAsia="Arial" w:hAnsi="Arial"/>
          <w:b/>
          <w:bCs/>
          <w:color w:val="F0A02B"/>
          <w:sz w:val="24"/>
          <w:szCs w:val="24"/>
        </w:rPr>
        <w:t xml:space="preserve">KPIs affichés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86"/>
      </w:tblGrid>
      <w:tr>
        <w:tc>
          <w:tcPr>
            <w:tcW w:type="dxa" w:w="2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Indicateur</w:t>
            </w:r>
          </w:p>
        </w:tc>
        <w:tc>
          <w:tcPr>
            <w:tcW w:type="dxa" w:w="35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Formule / Source</w:t>
            </w:r>
          </w:p>
        </w:tc>
        <w:tc>
          <w:tcPr>
            <w:tcW w:type="dxa" w:w="33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Interprétation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TRI (Taux de Rentabilité Interne)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Calculé depuis les flux de trésorerie actualisés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Plus le TRI est élevé, plus le projet est rentable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VAN (Valeur Actuelle Nette)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Somme des flux actualisés au WACC</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VAN &gt; 0 = projet viable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Marge brute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 - Coût de revient) / CA</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Capacité à couvrir les charges d'exploitation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Marge nette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Résultat net / CA</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Rentabilité finale après tous les coûts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Seuil de rentabilité</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Charges fixes / Taux de marge sur coûts variables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Chiffre d'affaires minimum pour ne pas perdre d'argent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CAC (Coût d'Acquisition Client)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Budget marketing / Nombre de clients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Efficacité des dépenses commerciales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Taux de croissance annuel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(CA année N - CA année N-1) / CA année N-1</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Rythme de développement du projet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Délai de récupération (Payback)</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Nombre d'années pour récupérer l'investissement initial</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Plus court = moins risqué</w:t>
            </w:r>
          </w:p>
        </w:tc>
      </w:tr>
    </w:tbl>
    <w:p>
      <w:pPr>
        <w:pStyle w:val="Heading3"/>
        <w:spacing w:after="120" w:before="200"/>
      </w:pPr>
      <w:r>
        <w:rPr>
          <w:rFonts w:ascii="Arial" w:cs="Arial" w:eastAsia="Arial" w:hAnsi="Arial"/>
          <w:b/>
          <w:bCs/>
          <w:color w:val="F0A02B"/>
          <w:sz w:val="24"/>
          <w:szCs w:val="24"/>
        </w:rPr>
        <w:t xml:space="preserve">Fonctionnalités du Dashboard</w:t>
      </w:r>
    </w:p>
    <w:p>
      <w:pPr>
        <w:pStyle w:val="ListParagraph"/>
        <w:numPr>
          <w:ilvl w:val="0"/>
          <w:numId w:val="2"/>
        </w:numPr>
        <w:spacing w:after="60" w:before="60"/>
      </w:pPr>
      <w:r>
        <w:rPr>
          <w:rFonts w:ascii="Arial" w:cs="Arial" w:eastAsia="Arial" w:hAnsi="Arial"/>
          <w:sz w:val="22"/>
          <w:szCs w:val="22"/>
        </w:rPr>
        <w:t xml:space="preserve">Cartes KPIs : affichage visuel de chaque indicateur avec code couleur (vert / orange / rouge)</w:t>
      </w:r>
    </w:p>
    <w:p>
      <w:pPr>
        <w:pStyle w:val="ListParagraph"/>
        <w:numPr>
          <w:ilvl w:val="0"/>
          <w:numId w:val="2"/>
        </w:numPr>
        <w:spacing w:after="60" w:before="60"/>
      </w:pPr>
      <w:r>
        <w:rPr>
          <w:rFonts w:ascii="Arial" w:cs="Arial" w:eastAsia="Arial" w:hAnsi="Arial"/>
          <w:sz w:val="22"/>
          <w:szCs w:val="22"/>
        </w:rPr>
        <w:t xml:space="preserve">Graphes interactifs : évolution du CA, des marges, de la trésorerie et du résultat net sur la durée du projet</w:t>
      </w:r>
    </w:p>
    <w:p>
      <w:pPr>
        <w:pStyle w:val="ListParagraph"/>
        <w:numPr>
          <w:ilvl w:val="0"/>
          <w:numId w:val="2"/>
        </w:numPr>
        <w:spacing w:after="60" w:before="60"/>
      </w:pPr>
      <w:r>
        <w:rPr>
          <w:rFonts w:ascii="Arial" w:cs="Arial" w:eastAsia="Arial" w:hAnsi="Arial"/>
          <w:sz w:val="22"/>
          <w:szCs w:val="22"/>
        </w:rPr>
        <w:t xml:space="preserve">Résumé exécutif automatique : synthèse en une page prête à être présentée</w:t>
      </w:r>
    </w:p>
    <w:p>
      <w:pPr>
        <w:pStyle w:val="ListParagraph"/>
        <w:numPr>
          <w:ilvl w:val="0"/>
          <w:numId w:val="2"/>
        </w:numPr>
        <w:spacing w:after="60" w:before="60"/>
      </w:pPr>
      <w:r>
        <w:rPr>
          <w:rFonts w:ascii="Arial" w:cs="Arial" w:eastAsia="Arial" w:hAnsi="Arial"/>
          <w:sz w:val="22"/>
          <w:szCs w:val="22"/>
        </w:rPr>
        <w:t xml:space="preserve">Export PDF : rapport complet du Business Model en un clic</w:t>
      </w:r>
    </w:p>
    <w:p>
      <w:pPr>
        <w:pStyle w:val="ListParagraph"/>
        <w:numPr>
          <w:ilvl w:val="0"/>
          <w:numId w:val="2"/>
        </w:numPr>
        <w:spacing w:after="60" w:before="60"/>
      </w:pPr>
      <w:r>
        <w:rPr>
          <w:rFonts w:ascii="Arial" w:cs="Arial" w:eastAsia="Arial" w:hAnsi="Arial"/>
          <w:sz w:val="22"/>
          <w:szCs w:val="22"/>
        </w:rPr>
        <w:t xml:space="preserve">Export Excel : données brutes pour analyse complémentaire</w:t>
      </w:r>
    </w:p>
    <w:p>
      <w:r>
        <w:br w:type="page"/>
      </w:r>
    </w:p>
    <w:p>
      <w:pPr>
        <w:pStyle w:val="Heading1"/>
        <w:spacing w:after="200" w:before="400"/>
      </w:pPr>
      <w:r>
        <w:rPr>
          <w:rFonts w:ascii="Arial" w:cs="Arial" w:eastAsia="Arial" w:hAnsi="Arial"/>
          <w:b/>
          <w:bCs/>
          <w:color w:val="0D2B55"/>
          <w:sz w:val="32"/>
          <w:szCs w:val="32"/>
        </w:rPr>
        <w:t xml:space="preserve">4. Gestion des Projets</w:t>
      </w:r>
    </w:p>
    <w:p>
      <w:pPr>
        <w:pBdr>
          <w:bottom w:val="single" w:color="F0A02B" w:sz="8" w:space="1"/>
        </w:pBdr>
        <w:spacing w:after="140" w:before="10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4.1 Cycle de vie d'un projet</w:t>
      </w:r>
    </w:p>
    <w:p>
      <w:pPr>
        <w:spacing w:after="100" w:before="80"/>
      </w:pPr>
      <w:r>
        <w:rPr>
          <w:rFonts w:ascii="Arial" w:cs="Arial" w:eastAsia="Arial" w:hAnsi="Arial"/>
          <w:sz w:val="22"/>
          <w:szCs w:val="22"/>
        </w:rPr>
        <w:t xml:space="preserve">Un projet Business Model passe par les étapes suivantes dans la plateforme :</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86"/>
      </w:tblGrid>
      <w:tr>
        <w:tc>
          <w:tcPr>
            <w:tcW w:type="dxa" w:w="5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Étape</w:t>
            </w:r>
          </w:p>
        </w:tc>
        <w:tc>
          <w:tcPr>
            <w:tcW w:type="dxa" w:w="68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Création</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L'utilisateur crée un nouveau projet en renseignant le Bloc 1 (Informations)</w:t>
            </w:r>
          </w:p>
        </w:tc>
      </w:tr>
      <w:tr>
        <w:tc>
          <w:tcPr>
            <w:tcW w:type="dxa" w:w="5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Saisie</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L'utilisateur remplit les blocs 2 à 5 dans l'ordre ou dans celui qu'il souhaite</w:t>
            </w:r>
          </w:p>
        </w:tc>
      </w:tr>
      <w:tr>
        <w:tc>
          <w:tcPr>
            <w:tcW w:type="dxa" w:w="5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Calcul</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La plateforme génère automatiquement les Blocs 6 et 7 à chaque modification</w:t>
            </w:r>
          </w:p>
        </w:tc>
      </w:tr>
      <w:tr>
        <w:tc>
          <w:tcPr>
            <w:tcW w:type="dxa" w:w="5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Analyse</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L'utilisateur consulte le dashboard, ajuste les hypothèses, observe l'impact sur les KPIs</w:t>
            </w:r>
          </w:p>
        </w:tc>
      </w:tr>
      <w:tr>
        <w:tc>
          <w:tcPr>
            <w:tcW w:type="dxa" w:w="5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Finalisation</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Le projet est marqué comme finalisé — ses données sont figées mais consultables</w:t>
            </w:r>
          </w:p>
        </w:tc>
      </w:tr>
      <w:tr>
        <w:tc>
          <w:tcPr>
            <w:tcW w:type="dxa" w:w="500"/>
            <w:tcBorders>
              <w:top w:val="single" w:color="CCCCCC" w:sz="1"/>
              <w:left w:val="single" w:color="CCCCCC" w:sz="1"/>
              <w:bottom w:val="single" w:color="CCCCCC" w:sz="1"/>
              <w:right w:val="single" w:color="CCCCCC" w:sz="1"/>
            </w:tcBorders>
            <w:shd w:fill="F0A02B"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Archivage</w:t>
            </w:r>
          </w:p>
        </w:tc>
        <w:tc>
          <w:tcPr>
            <w:tcW w:type="dxa" w:w="68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Le projet est archivé — visible en lecture seule, non modifiable</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4.2 Fonctionnalités de gestion</w:t>
      </w:r>
    </w:p>
    <w:p>
      <w:pPr>
        <w:pStyle w:val="ListParagraph"/>
        <w:numPr>
          <w:ilvl w:val="0"/>
          <w:numId w:val="2"/>
        </w:numPr>
        <w:spacing w:after="60" w:before="60"/>
      </w:pPr>
      <w:r>
        <w:rPr>
          <w:rFonts w:ascii="Arial" w:cs="Arial" w:eastAsia="Arial" w:hAnsi="Arial"/>
          <w:sz w:val="22"/>
          <w:szCs w:val="22"/>
        </w:rPr>
        <w:t xml:space="preserve">Liste de tous les projets avec statut, date de création et dernière modification</w:t>
      </w:r>
    </w:p>
    <w:p>
      <w:pPr>
        <w:pStyle w:val="ListParagraph"/>
        <w:numPr>
          <w:ilvl w:val="0"/>
          <w:numId w:val="2"/>
        </w:numPr>
        <w:spacing w:after="60" w:before="60"/>
      </w:pPr>
      <w:r>
        <w:rPr>
          <w:rFonts w:ascii="Arial" w:cs="Arial" w:eastAsia="Arial" w:hAnsi="Arial"/>
          <w:sz w:val="22"/>
          <w:szCs w:val="22"/>
        </w:rPr>
        <w:t xml:space="preserve">Duplication d'un projet existant pour créer rapidement un nouveau Business Model similaire</w:t>
      </w:r>
    </w:p>
    <w:p>
      <w:pPr>
        <w:pStyle w:val="ListParagraph"/>
        <w:numPr>
          <w:ilvl w:val="0"/>
          <w:numId w:val="2"/>
        </w:numPr>
        <w:spacing w:after="60" w:before="60"/>
      </w:pPr>
      <w:r>
        <w:rPr>
          <w:rFonts w:ascii="Arial" w:cs="Arial" w:eastAsia="Arial" w:hAnsi="Arial"/>
          <w:sz w:val="22"/>
          <w:szCs w:val="22"/>
        </w:rPr>
        <w:t xml:space="preserve">Recherche et filtrage par nom, secteur, statut ou année</w:t>
      </w:r>
    </w:p>
    <w:p>
      <w:pPr>
        <w:pStyle w:val="ListParagraph"/>
        <w:numPr>
          <w:ilvl w:val="0"/>
          <w:numId w:val="2"/>
        </w:numPr>
        <w:spacing w:after="60" w:before="60"/>
      </w:pPr>
      <w:r>
        <w:rPr>
          <w:rFonts w:ascii="Arial" w:cs="Arial" w:eastAsia="Arial" w:hAnsi="Arial"/>
          <w:sz w:val="22"/>
          <w:szCs w:val="22"/>
        </w:rPr>
        <w:t xml:space="preserve">Sauvegarde automatique à chaque modification — aucune perte de données</w:t>
      </w:r>
    </w:p>
    <w:p>
      <w:pPr>
        <w:pStyle w:val="ListParagraph"/>
        <w:numPr>
          <w:ilvl w:val="0"/>
          <w:numId w:val="2"/>
        </w:numPr>
        <w:spacing w:after="60" w:before="60"/>
      </w:pPr>
      <w:r>
        <w:rPr>
          <w:rFonts w:ascii="Arial" w:cs="Arial" w:eastAsia="Arial" w:hAnsi="Arial"/>
          <w:sz w:val="22"/>
          <w:szCs w:val="22"/>
        </w:rPr>
        <w:t xml:space="preserve">Historique des modifications : chaque changement est enregistré avec la date et la valeur précédente</w:t>
      </w:r>
    </w:p>
    <w:p>
      <w:r>
        <w:br w:type="page"/>
      </w:r>
    </w:p>
    <w:p>
      <w:pPr>
        <w:pStyle w:val="Heading1"/>
        <w:spacing w:after="200" w:before="400"/>
      </w:pPr>
      <w:r>
        <w:rPr>
          <w:rFonts w:ascii="Arial" w:cs="Arial" w:eastAsia="Arial" w:hAnsi="Arial"/>
          <w:b/>
          <w:bCs/>
          <w:color w:val="0D2B55"/>
          <w:sz w:val="32"/>
          <w:szCs w:val="32"/>
        </w:rPr>
        <w:t xml:space="preserve">5. Exigences Techniques</w:t>
      </w:r>
    </w:p>
    <w:p>
      <w:pPr>
        <w:pBdr>
          <w:bottom w:val="single" w:color="F0A02B" w:sz="8" w:space="1"/>
        </w:pBdr>
        <w:spacing w:after="140" w:before="10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5.1 Exigences non fonctionnelles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86"/>
      </w:tblGrid>
      <w:tr>
        <w:tc>
          <w:tcPr>
            <w:tcW w:type="dxa" w:w="2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Catégorie</w:t>
            </w:r>
          </w:p>
        </w:tc>
        <w:tc>
          <w:tcPr>
            <w:tcW w:type="dxa" w:w="4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Exigence</w:t>
            </w:r>
          </w:p>
        </w:tc>
        <w:tc>
          <w:tcPr>
            <w:tcW w:type="dxa" w:w="33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Critère de validation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Performance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Recalcul de tous les états financiers en moins de 3 secondes après une modification</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Test mesuré avec un projet de 5 produits et 5 années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Disponibilité</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Accessible 24h/24, 7j/7 depuis un navigateur web</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Hébergement avec taux de disponibilité ≥ 99%</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Compatibilité</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Fonctionne sur Chrome, Firefox et Edge (versions récentes)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Tests cross-browser validés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Sécurité</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Authentification par identifiant et mot de passe, sessions sécurisées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Accès impossible sans connexion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Sauvegarde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Sauvegarde automatique à chaque modification, sauvegarde complète quotidienne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Procédure de restauration testée et documentée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Export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Génération de PDF et Excel en moins de 10 secondes</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Test sur un projet complet à 5 années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Responsive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Interface utilisable sur ordinateur et tablette</w:t>
            </w:r>
          </w:p>
        </w:tc>
        <w:tc>
          <w:tcPr>
            <w:tcW w:type="dxa" w:w="33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Tests sur résolutions 1920px, 1366px et 768px</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5.2 Architecture technique recommandée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86"/>
      </w:tblGrid>
      <w:tr>
        <w:tc>
          <w:tcPr>
            <w:tcW w:type="dxa" w:w="2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Couche</w:t>
            </w:r>
          </w:p>
        </w:tc>
        <w:tc>
          <w:tcPr>
            <w:tcW w:type="dxa" w:w="35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Technologie recommandée</w:t>
            </w:r>
          </w:p>
        </w:tc>
        <w:tc>
          <w:tcPr>
            <w:tcW w:type="dxa" w:w="38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Interface (Frontend)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React.js + Recharts (graphes)</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Interface dynamique, mise à jour en temps réel sans rechargement de page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Serveur (Backend)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Node.js + Express.js</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Rapide, JavaScript côté serveur, cohérent avec le frontend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Base de données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PostgreSQL</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Données structurées et relationnelles, fiable pour les données financières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Authentification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JWT (JSON Web Tokens)</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Sécurisé, adapté à une application mono-utilisateur extensible multi-utilisateurs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Export PDF</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Puppeteer ou jsPDF</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Génération de PDF haute qualité depuis les vues web</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Export Excel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ExcelJS</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Création de fichiers .xlsx avec mise en forme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Hébergement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VPS Linux (Ubuntu Server)</w:t>
            </w:r>
          </w:p>
        </w:tc>
        <w:tc>
          <w:tcPr>
            <w:tcW w:type="dxa" w:w="38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Contrôle total, coût maîtrisé, adapté à un usage interne</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5.3 Modèle de données — Entités principales</w:t>
      </w:r>
    </w:p>
    <w:p>
      <w:pPr>
        <w:spacing w:after="100" w:before="80"/>
      </w:pPr>
      <w:r>
        <w:rPr>
          <w:rFonts w:ascii="Arial" w:cs="Arial" w:eastAsia="Arial" w:hAnsi="Arial"/>
          <w:sz w:val="22"/>
          <w:szCs w:val="22"/>
        </w:rPr>
        <w:t xml:space="preserve">La base de données est organisée autour des entités suivantes, conçues pour être génériques et indépendantes de tout produit spécifique :</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Entité</w:t>
            </w:r>
          </w:p>
        </w:tc>
        <w:tc>
          <w:tcPr>
            <w:tcW w:type="dxa" w:w="7186"/>
            <w:tcBorders>
              <w:top w:val="single" w:color="CCCCCC" w:sz="1"/>
              <w:left w:val="single" w:color="CCCCCC" w:sz="1"/>
              <w:bottom w:val="single" w:color="CCCCCC" w:sz="1"/>
              <w:right w:val="single" w:color="CCCCCC" w:sz="1"/>
            </w:tcBorders>
            <w:shd w:fill="169B86"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Attributs principaux</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Projet</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id, nom, description, secteur, année_démarrage, durée, devise, statut, date_création, date_modification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Produit</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id, projet_id, nom, description, unité_vente, marge_securite, caractéristiques (JSON)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Composant</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id, produit_id, libellé, quantité, prix_unitaire, catégorie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Hypothèse</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id, projet_id, clé, valeur, unité, section, description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PosteCapex</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id, projet_id, libellé, montant, taux_amortissement, catégorie, année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PosteOpex</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id, projet_id, libellé, type (fixe/pourcentage), valeur, catégorie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RésultatFinancier</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id, projet_id, année, ca_total, cout_revient, marge_brute, ebitda, resultat_net, tresorerie (stockage cache des calculs)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LogModification</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id, projet_id, utilisateur_id, date, entité_modifiée, champ, ancienne_valeur, nouvelle_valeur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Utilisateur</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id, email, mot_de_passe_hash, rôle, date_création (prévu pour la V2)</w:t>
            </w:r>
          </w:p>
        </w:tc>
      </w:tr>
    </w:tbl>
    <w:p>
      <w:r>
        <w:br w:type="page"/>
      </w:r>
    </w:p>
    <w:p>
      <w:pPr>
        <w:pStyle w:val="Heading1"/>
        <w:spacing w:after="200" w:before="400"/>
      </w:pPr>
      <w:r>
        <w:rPr>
          <w:rFonts w:ascii="Arial" w:cs="Arial" w:eastAsia="Arial" w:hAnsi="Arial"/>
          <w:b/>
          <w:bCs/>
          <w:color w:val="0D2B55"/>
          <w:sz w:val="32"/>
          <w:szCs w:val="32"/>
        </w:rPr>
        <w:t xml:space="preserve">6. Plan de Développement — Roadmap</w:t>
      </w:r>
    </w:p>
    <w:p>
      <w:pPr>
        <w:pBdr>
          <w:bottom w:val="single" w:color="F0A02B" w:sz="8" w:space="1"/>
        </w:pBdr>
        <w:spacing w:after="140" w:before="100"/>
      </w:pPr>
      <w:r>
        <w:rPr>
          <w:rFonts w:ascii="Arial" w:cs="Arial" w:eastAsia="Arial" w:hAnsi="Arial"/>
          <w:sz w:val="22"/>
          <w:szCs w:val="22"/>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700"/>
        <w:gridCol w:w="2286"/>
      </w:tblGrid>
      <w:tr>
        <w:tc>
          <w:tcPr>
            <w:tcW w:type="dxa" w:w="16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Période</w:t>
            </w:r>
          </w:p>
        </w:tc>
        <w:tc>
          <w:tcPr>
            <w:tcW w:type="dxa" w:w="37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Livrables</w:t>
            </w:r>
          </w:p>
        </w:tc>
        <w:tc>
          <w:tcPr>
            <w:tcW w:type="dxa" w:w="2286"/>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0"/>
                <w:szCs w:val="20"/>
              </w:rPr>
              <w:t xml:space="preserve">Blocs concernés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Phase 1
Analyse &amp; Cadrage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Semaines 1–2</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Analyse du fichier Excel de référence
✅ Cartographie des flux de données
✅ Cahier des charges fonctionnel (ce document)
– Validation avec le maître de stage</w:t>
            </w:r>
          </w:p>
        </w:tc>
        <w:tc>
          <w:tcPr>
            <w:tcW w:type="dxa" w:w="2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Tous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Phase 2
Conception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Semaines 3–4</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Wireframes de chaque écran et bloc
– Schéma de la base de données
– Charte graphique et navigation
– Validation maître de stage</w:t>
            </w:r>
          </w:p>
        </w:tc>
        <w:tc>
          <w:tcPr>
            <w:tcW w:type="dxa" w:w="2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Tous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Phase 3
Développement MVP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Semaines 5–7</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Bloc 1 : Création et gestion de projets
– Bloc 3 : Saisie des hypothèses
– Bloc 6 : Moteur de calcul financier
– Bloc 7 : Dashboard et KPIs
– Authentification (connexion simple)</w:t>
            </w:r>
          </w:p>
        </w:tc>
        <w:tc>
          <w:tcPr>
            <w:tcW w:type="dxa" w:w="2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1, 3, 6, 7</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color w:val="000000"/>
                <w:sz w:val="20"/>
                <w:szCs w:val="20"/>
              </w:rPr>
              <w:t xml:space="preserve">Phase 4
Livraison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Semaine 8</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 Tests complets
– Export PDF et Excel
– Documentation utilisateur
– Présentation finale et transfert</w:t>
            </w:r>
          </w:p>
        </w:tc>
        <w:tc>
          <w:tcPr>
            <w:tcW w:type="dxa" w:w="2286"/>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color w:val="000000"/>
                <w:sz w:val="20"/>
                <w:szCs w:val="20"/>
              </w:rPr>
              <w:t xml:space="preserve">Tous</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69B86"/>
          <w:sz w:val="26"/>
          <w:szCs w:val="26"/>
        </w:rPr>
        <w:t xml:space="preserve">6.1 Évolutions prévues en Version 2</w:t>
      </w:r>
    </w:p>
    <w:p>
      <w:pPr>
        <w:pStyle w:val="ListParagraph"/>
        <w:numPr>
          <w:ilvl w:val="0"/>
          <w:numId w:val="2"/>
        </w:numPr>
        <w:spacing w:after="60" w:before="60"/>
      </w:pPr>
      <w:r>
        <w:rPr>
          <w:rFonts w:ascii="Arial" w:cs="Arial" w:eastAsia="Arial" w:hAnsi="Arial"/>
          <w:sz w:val="22"/>
          <w:szCs w:val="22"/>
        </w:rPr>
        <w:t xml:space="preserve">Gestion multi-utilisateurs avec rôles (Consultant, Validateur, Administrateur)</w:t>
      </w:r>
    </w:p>
    <w:p>
      <w:pPr>
        <w:pStyle w:val="ListParagraph"/>
        <w:numPr>
          <w:ilvl w:val="0"/>
          <w:numId w:val="2"/>
        </w:numPr>
        <w:spacing w:after="60" w:before="60"/>
      </w:pPr>
      <w:r>
        <w:rPr>
          <w:rFonts w:ascii="Arial" w:cs="Arial" w:eastAsia="Arial" w:hAnsi="Arial"/>
          <w:sz w:val="22"/>
          <w:szCs w:val="22"/>
        </w:rPr>
        <w:t xml:space="preserve">Workflow de validation : soumission → revue → approbation</w:t>
      </w:r>
    </w:p>
    <w:p>
      <w:pPr>
        <w:pStyle w:val="ListParagraph"/>
        <w:numPr>
          <w:ilvl w:val="0"/>
          <w:numId w:val="2"/>
        </w:numPr>
        <w:spacing w:after="60" w:before="60"/>
      </w:pPr>
      <w:r>
        <w:rPr>
          <w:rFonts w:ascii="Arial" w:cs="Arial" w:eastAsia="Arial" w:hAnsi="Arial"/>
          <w:sz w:val="22"/>
          <w:szCs w:val="22"/>
        </w:rPr>
        <w:t xml:space="preserve">Blocs personnalisables : l'utilisateur peut ajouter ses propres sections</w:t>
      </w:r>
    </w:p>
    <w:p>
      <w:pPr>
        <w:pStyle w:val="ListParagraph"/>
        <w:numPr>
          <w:ilvl w:val="0"/>
          <w:numId w:val="2"/>
        </w:numPr>
        <w:spacing w:after="60" w:before="60"/>
      </w:pPr>
      <w:r>
        <w:rPr>
          <w:rFonts w:ascii="Arial" w:cs="Arial" w:eastAsia="Arial" w:hAnsi="Arial"/>
          <w:sz w:val="22"/>
          <w:szCs w:val="22"/>
        </w:rPr>
        <w:t xml:space="preserve">Multi-scénarios : comparaison côte à côte de plusieurs jeux d'hypothèses</w:t>
      </w:r>
    </w:p>
    <w:p>
      <w:pPr>
        <w:pStyle w:val="ListParagraph"/>
        <w:numPr>
          <w:ilvl w:val="0"/>
          <w:numId w:val="2"/>
        </w:numPr>
        <w:spacing w:after="60" w:before="60"/>
      </w:pPr>
      <w:r>
        <w:rPr>
          <w:rFonts w:ascii="Arial" w:cs="Arial" w:eastAsia="Arial" w:hAnsi="Arial"/>
          <w:sz w:val="22"/>
          <w:szCs w:val="22"/>
        </w:rPr>
        <w:t xml:space="preserve">Notifications par email</w:t>
      </w:r>
    </w:p>
    <w:p>
      <w:pPr>
        <w:pStyle w:val="ListParagraph"/>
        <w:numPr>
          <w:ilvl w:val="0"/>
          <w:numId w:val="2"/>
        </w:numPr>
        <w:spacing w:after="60" w:before="60"/>
      </w:pPr>
      <w:r>
        <w:rPr>
          <w:rFonts w:ascii="Arial" w:cs="Arial" w:eastAsia="Arial" w:hAnsi="Arial"/>
          <w:sz w:val="22"/>
          <w:szCs w:val="22"/>
        </w:rPr>
        <w:t xml:space="preserve">Tableau de bord global : vue consolidée de tous les projets de l'entreprise</w:t>
      </w:r>
    </w:p>
    <w:p>
      <w:pPr>
        <w:pStyle w:val="ListParagraph"/>
        <w:numPr>
          <w:ilvl w:val="0"/>
          <w:numId w:val="2"/>
        </w:numPr>
        <w:spacing w:after="60" w:before="60"/>
      </w:pPr>
      <w:r>
        <w:rPr>
          <w:rFonts w:ascii="Arial" w:cs="Arial" w:eastAsia="Arial" w:hAnsi="Arial"/>
          <w:sz w:val="22"/>
          <w:szCs w:val="22"/>
        </w:rPr>
        <w:t xml:space="preserve">Indicateurs d'impact (ODD) configurables</w:t>
      </w:r>
    </w:p>
    <w:p>
      <w:r>
        <w:br w:type="page"/>
      </w:r>
    </w:p>
    <w:p>
      <w:pPr>
        <w:pStyle w:val="Heading1"/>
        <w:spacing w:after="200" w:before="400"/>
      </w:pPr>
      <w:r>
        <w:rPr>
          <w:rFonts w:ascii="Arial" w:cs="Arial" w:eastAsia="Arial" w:hAnsi="Arial"/>
          <w:b/>
          <w:bCs/>
          <w:color w:val="0D2B55"/>
          <w:sz w:val="32"/>
          <w:szCs w:val="32"/>
        </w:rPr>
        <w:t xml:space="preserve">7. Critères d'Acceptation</w:t>
      </w:r>
    </w:p>
    <w:p>
      <w:pPr>
        <w:pBdr>
          <w:bottom w:val="single" w:color="F0A02B" w:sz="8" w:space="1"/>
        </w:pBdr>
        <w:spacing w:after="140" w:before="10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La Version 1 de la plateforme sera considérée comme livrée et acceptée si les critères suivants sont satisfaits :</w:t>
      </w:r>
    </w:p>
    <w:p>
      <w:pPr>
        <w:pStyle w:val="Heading2"/>
        <w:spacing w:after="160" w:before="280"/>
      </w:pPr>
      <w:r>
        <w:rPr>
          <w:rFonts w:ascii="Arial" w:cs="Arial" w:eastAsia="Arial" w:hAnsi="Arial"/>
          <w:b/>
          <w:bCs/>
          <w:color w:val="169B86"/>
          <w:sz w:val="26"/>
          <w:szCs w:val="26"/>
        </w:rPr>
        <w:t xml:space="preserve">7.1 Fonctionnels</w:t>
      </w:r>
    </w:p>
    <w:p>
      <w:pPr>
        <w:pStyle w:val="ListParagraph"/>
        <w:numPr>
          <w:ilvl w:val="0"/>
          <w:numId w:val="2"/>
        </w:numPr>
        <w:spacing w:after="60" w:before="60"/>
      </w:pPr>
      <w:r>
        <w:rPr>
          <w:rFonts w:ascii="Arial" w:cs="Arial" w:eastAsia="Arial" w:hAnsi="Arial"/>
          <w:sz w:val="22"/>
          <w:szCs w:val="22"/>
        </w:rPr>
        <w:t xml:space="preserve">L'utilisateur peut créer un nouveau projet en moins de 2 minutes</w:t>
      </w:r>
    </w:p>
    <w:p>
      <w:pPr>
        <w:pStyle w:val="ListParagraph"/>
        <w:numPr>
          <w:ilvl w:val="0"/>
          <w:numId w:val="2"/>
        </w:numPr>
        <w:spacing w:after="60" w:before="60"/>
      </w:pPr>
      <w:r>
        <w:rPr>
          <w:rFonts w:ascii="Arial" w:cs="Arial" w:eastAsia="Arial" w:hAnsi="Arial"/>
          <w:sz w:val="22"/>
          <w:szCs w:val="22"/>
        </w:rPr>
        <w:t xml:space="preserve">Tous les paramètres d'un Business Model sont saisissables dans les 7 blocs</w:t>
      </w:r>
    </w:p>
    <w:p>
      <w:pPr>
        <w:pStyle w:val="ListParagraph"/>
        <w:numPr>
          <w:ilvl w:val="0"/>
          <w:numId w:val="2"/>
        </w:numPr>
        <w:spacing w:after="60" w:before="60"/>
      </w:pPr>
      <w:r>
        <w:rPr>
          <w:rFonts w:ascii="Arial" w:cs="Arial" w:eastAsia="Arial" w:hAnsi="Arial"/>
          <w:sz w:val="22"/>
          <w:szCs w:val="22"/>
        </w:rPr>
        <w:t xml:space="preserve">La modification d'une hypothèse recalcule automatiquement tous les états financiers</w:t>
      </w:r>
    </w:p>
    <w:p>
      <w:pPr>
        <w:pStyle w:val="ListParagraph"/>
        <w:numPr>
          <w:ilvl w:val="0"/>
          <w:numId w:val="2"/>
        </w:numPr>
        <w:spacing w:after="60" w:before="60"/>
      </w:pPr>
      <w:r>
        <w:rPr>
          <w:rFonts w:ascii="Arial" w:cs="Arial" w:eastAsia="Arial" w:hAnsi="Arial"/>
          <w:sz w:val="22"/>
          <w:szCs w:val="22"/>
        </w:rPr>
        <w:t xml:space="preserve">Les résultats produits par la plateforme sont cohérents avec ceux du fichier Excel de référence pour un même jeu de données</w:t>
      </w:r>
    </w:p>
    <w:p>
      <w:pPr>
        <w:pStyle w:val="ListParagraph"/>
        <w:numPr>
          <w:ilvl w:val="0"/>
          <w:numId w:val="2"/>
        </w:numPr>
        <w:spacing w:after="60" w:before="60"/>
      </w:pPr>
      <w:r>
        <w:rPr>
          <w:rFonts w:ascii="Arial" w:cs="Arial" w:eastAsia="Arial" w:hAnsi="Arial"/>
          <w:sz w:val="22"/>
          <w:szCs w:val="22"/>
        </w:rPr>
        <w:t xml:space="preserve">Le dashboard affiche correctement les 8 KPIs clés</w:t>
      </w:r>
    </w:p>
    <w:p>
      <w:pPr>
        <w:pStyle w:val="ListParagraph"/>
        <w:numPr>
          <w:ilvl w:val="0"/>
          <w:numId w:val="2"/>
        </w:numPr>
        <w:spacing w:after="60" w:before="60"/>
      </w:pPr>
      <w:r>
        <w:rPr>
          <w:rFonts w:ascii="Arial" w:cs="Arial" w:eastAsia="Arial" w:hAnsi="Arial"/>
          <w:sz w:val="22"/>
          <w:szCs w:val="22"/>
        </w:rPr>
        <w:t xml:space="preserve">L'export PDF génère un rapport complet et lisible</w:t>
      </w:r>
    </w:p>
    <w:p>
      <w:pPr>
        <w:pStyle w:val="ListParagraph"/>
        <w:numPr>
          <w:ilvl w:val="0"/>
          <w:numId w:val="2"/>
        </w:numPr>
        <w:spacing w:after="60" w:before="60"/>
      </w:pPr>
      <w:r>
        <w:rPr>
          <w:rFonts w:ascii="Arial" w:cs="Arial" w:eastAsia="Arial" w:hAnsi="Arial"/>
          <w:sz w:val="22"/>
          <w:szCs w:val="22"/>
        </w:rPr>
        <w:t xml:space="preserve">L'export Excel génère les tableaux de prévisions financières avec les données correctes</w:t>
      </w:r>
    </w:p>
    <w:p>
      <w:pPr>
        <w:pStyle w:val="Heading2"/>
        <w:spacing w:after="160" w:before="280"/>
      </w:pPr>
      <w:r>
        <w:rPr>
          <w:rFonts w:ascii="Arial" w:cs="Arial" w:eastAsia="Arial" w:hAnsi="Arial"/>
          <w:b/>
          <w:bCs/>
          <w:color w:val="169B86"/>
          <w:sz w:val="26"/>
          <w:szCs w:val="26"/>
        </w:rPr>
        <w:t xml:space="preserve">7.2 Techniques</w:t>
      </w:r>
    </w:p>
    <w:p>
      <w:pPr>
        <w:pStyle w:val="ListParagraph"/>
        <w:numPr>
          <w:ilvl w:val="0"/>
          <w:numId w:val="2"/>
        </w:numPr>
        <w:spacing w:after="60" w:before="60"/>
      </w:pPr>
      <w:r>
        <w:rPr>
          <w:rFonts w:ascii="Arial" w:cs="Arial" w:eastAsia="Arial" w:hAnsi="Arial"/>
          <w:sz w:val="22"/>
          <w:szCs w:val="22"/>
        </w:rPr>
        <w:t xml:space="preserve">L'application fonctionne sans erreur sur Chrome, Firefox et Edge</w:t>
      </w:r>
    </w:p>
    <w:p>
      <w:pPr>
        <w:pStyle w:val="ListParagraph"/>
        <w:numPr>
          <w:ilvl w:val="0"/>
          <w:numId w:val="2"/>
        </w:numPr>
        <w:spacing w:after="60" w:before="60"/>
      </w:pPr>
      <w:r>
        <w:rPr>
          <w:rFonts w:ascii="Arial" w:cs="Arial" w:eastAsia="Arial" w:hAnsi="Arial"/>
          <w:sz w:val="22"/>
          <w:szCs w:val="22"/>
        </w:rPr>
        <w:t xml:space="preserve">Aucune donnée n'est perdue en cas de fermeture accidentelle du navigateur</w:t>
      </w:r>
    </w:p>
    <w:p>
      <w:pPr>
        <w:pStyle w:val="ListParagraph"/>
        <w:numPr>
          <w:ilvl w:val="0"/>
          <w:numId w:val="2"/>
        </w:numPr>
        <w:spacing w:after="60" w:before="60"/>
      </w:pPr>
      <w:r>
        <w:rPr>
          <w:rFonts w:ascii="Arial" w:cs="Arial" w:eastAsia="Arial" w:hAnsi="Arial"/>
          <w:sz w:val="22"/>
          <w:szCs w:val="22"/>
        </w:rPr>
        <w:t xml:space="preserve">L'historique des modifications est accessible et consultable</w:t>
      </w:r>
    </w:p>
    <w:p>
      <w:pPr>
        <w:pStyle w:val="ListParagraph"/>
        <w:numPr>
          <w:ilvl w:val="0"/>
          <w:numId w:val="2"/>
        </w:numPr>
        <w:spacing w:after="60" w:before="60"/>
      </w:pPr>
      <w:r>
        <w:rPr>
          <w:rFonts w:ascii="Arial" w:cs="Arial" w:eastAsia="Arial" w:hAnsi="Arial"/>
          <w:sz w:val="22"/>
          <w:szCs w:val="22"/>
        </w:rPr>
        <w:t xml:space="preserve">La sauvegarde automatique fonctionne et la restauration est testée</w:t>
      </w:r>
    </w:p>
    <w:p>
      <w:pPr>
        <w:pStyle w:val="Heading2"/>
        <w:spacing w:after="160" w:before="280"/>
      </w:pPr>
      <w:r>
        <w:rPr>
          <w:rFonts w:ascii="Arial" w:cs="Arial" w:eastAsia="Arial" w:hAnsi="Arial"/>
          <w:b/>
          <w:bCs/>
          <w:color w:val="169B86"/>
          <w:sz w:val="26"/>
          <w:szCs w:val="26"/>
        </w:rPr>
        <w:t xml:space="preserve">7.3 Qualité &amp; Livraison</w:t>
      </w:r>
    </w:p>
    <w:p>
      <w:pPr>
        <w:pStyle w:val="ListParagraph"/>
        <w:numPr>
          <w:ilvl w:val="0"/>
          <w:numId w:val="2"/>
        </w:numPr>
        <w:spacing w:after="60" w:before="60"/>
      </w:pPr>
      <w:r>
        <w:rPr>
          <w:rFonts w:ascii="Arial" w:cs="Arial" w:eastAsia="Arial" w:hAnsi="Arial"/>
          <w:sz w:val="22"/>
          <w:szCs w:val="22"/>
        </w:rPr>
        <w:t xml:space="preserve">Le code source est versionné sur un dépôt Git et accompagné d'un README</w:t>
      </w:r>
    </w:p>
    <w:p>
      <w:pPr>
        <w:pStyle w:val="ListParagraph"/>
        <w:numPr>
          <w:ilvl w:val="0"/>
          <w:numId w:val="2"/>
        </w:numPr>
        <w:spacing w:after="60" w:before="60"/>
      </w:pPr>
      <w:r>
        <w:rPr>
          <w:rFonts w:ascii="Arial" w:cs="Arial" w:eastAsia="Arial" w:hAnsi="Arial"/>
          <w:sz w:val="22"/>
          <w:szCs w:val="22"/>
        </w:rPr>
        <w:t xml:space="preserve">Un manuel utilisateur est fourni</w:t>
      </w:r>
    </w:p>
    <w:p>
      <w:pPr>
        <w:pStyle w:val="ListParagraph"/>
        <w:numPr>
          <w:ilvl w:val="0"/>
          <w:numId w:val="2"/>
        </w:numPr>
        <w:spacing w:after="60" w:before="60"/>
      </w:pPr>
      <w:r>
        <w:rPr>
          <w:rFonts w:ascii="Arial" w:cs="Arial" w:eastAsia="Arial" w:hAnsi="Arial"/>
          <w:sz w:val="22"/>
          <w:szCs w:val="22"/>
        </w:rPr>
        <w:t xml:space="preserve">Une session de démonstration et de prise en main est réalisée avec le maître de stage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169B86" w:sz="8" w:space="1"/>
        </w:pBdr>
        <w:spacing w:after="140" w:before="100"/>
      </w:pPr>
      <w:r>
        <w:rPr>
          <w:rFonts w:ascii="Arial" w:cs="Arial" w:eastAsia="Arial" w:hAnsi="Arial"/>
          <w:sz w:val="22"/>
          <w:szCs w:val="22"/>
        </w:rPr>
        <w:t xml:space="preserve"/>
      </w:r>
    </w:p>
    <w:p>
      <w:pPr>
        <w:spacing w:after="80" w:before="200"/>
        <w:jc w:val="center"/>
      </w:pPr>
      <w:r>
        <w:rPr>
          <w:rFonts w:ascii="Arial" w:cs="Arial" w:eastAsia="Arial" w:hAnsi="Arial"/>
          <w:i/>
          <w:iCs/>
          <w:color w:val="888888"/>
          <w:sz w:val="18"/>
          <w:szCs w:val="18"/>
        </w:rPr>
        <w:t xml:space="preserve">Document rédigé dans le cadre d'un stage à KYA-Energy Group — Avril 2026</w:t>
      </w:r>
    </w:p>
    <w:p>
      <w:pPr>
        <w:spacing w:after="200" w:before="0"/>
        <w:jc w:val="center"/>
      </w:pPr>
      <w:r>
        <w:rPr>
          <w:rFonts w:ascii="Arial" w:cs="Arial" w:eastAsia="Arial" w:hAnsi="Arial"/>
          <w:color w:val="888888"/>
          <w:sz w:val="18"/>
          <w:szCs w:val="18"/>
        </w:rPr>
        <w:t xml:space="preserve">GBANDI WAKE  |  Maîtres de stage : MARC LOMOU &amp; MESSAN Jean-Claude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69B86" w:sz="4" w:space="1"/>
      </w:pBdr>
    </w:pPr>
    <w:r>
      <w:rPr>
        <w:rFonts w:ascii="Arial" w:cs="Arial" w:eastAsia="Arial" w:hAnsi="Arial"/>
        <w:sz w:val="22"/>
        <w:szCs w:val="22"/>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500"/>
      <w:gridCol w:w="3886"/>
    </w:tblGrid>
    <w:tr>
      <w:tc>
        <w:tcPr>
          <w:tcBorders>
            <w:top w:val="none" w:color="FFFFFF" w:sz="0"/>
            <w:left w:val="none" w:color="FFFFFF" w:sz="0"/>
            <w:bottom w:val="none" w:color="FFFFFF" w:sz="0"/>
            <w:right w:val="none" w:color="FFFFFF" w:sz="0"/>
          </w:tcBorders>
        </w:tcPr>
        <w:p>
          <w:r>
            <w:rPr>
              <w:rFonts w:ascii="Arial" w:cs="Arial" w:eastAsia="Arial" w:hAnsi="Arial"/>
              <w:color w:val="888888"/>
              <w:sz w:val="17"/>
              <w:szCs w:val="17"/>
            </w:rPr>
            <w:t xml:space="preserve">© KYA-Energy Group 2026  |  Usage interne — Confidentiel</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7"/>
              <w:szCs w:val="17"/>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0"/>
      <w:gridCol w:w="3186"/>
    </w:tblGrid>
    <w:tr>
      <w:tc>
        <w:tcPr>
          <w:tcBorders>
            <w:top w:val="none" w:color="FFFFFF" w:sz="0"/>
            <w:left w:val="none" w:color="FFFFFF" w:sz="0"/>
            <w:bottom w:val="none" w:color="FFFFFF" w:sz="0"/>
            <w:right w:val="none" w:color="FFFFFF" w:sz="0"/>
          </w:tcBorders>
        </w:tcPr>
        <w:p>
          <w:r>
            <w:rPr>
              <w:rFonts w:ascii="Arial" w:cs="Arial" w:eastAsia="Arial" w:hAnsi="Arial"/>
              <w:color w:val="169B86"/>
              <w:sz w:val="17"/>
              <w:szCs w:val="17"/>
            </w:rPr>
            <w:t xml:space="preserve">Cahier des Charges Fonctionnel — Plateforme de Gestion des Business Models</w:t>
          </w:r>
        </w:p>
      </w:tc>
      <w:tc>
        <w:tcPr>
          <w:tcBorders>
            <w:top w:val="none" w:color="FFFFFF" w:sz="0"/>
            <w:left w:val="none" w:color="FFFFFF" w:sz="0"/>
            <w:bottom w:val="none" w:color="FFFFFF" w:sz="0"/>
            <w:right w:val="none" w:color="FFFFFF" w:sz="0"/>
          </w:tcBorders>
        </w:tcPr>
        <w:p>
          <w:pPr>
            <w:jc w:val="right"/>
          </w:pPr>
          <w:r>
            <w:rPr>
              <w:rFonts w:ascii="Arial" w:cs="Arial" w:eastAsia="Arial" w:hAnsi="Arial"/>
              <w:b/>
              <w:bCs/>
              <w:color w:val="F0A02B"/>
              <w:sz w:val="17"/>
              <w:szCs w:val="17"/>
            </w:rPr>
            <w:t xml:space="preserve">KYA-Energy Group</w:t>
          </w:r>
        </w:p>
      </w:tc>
    </w:tr>
  </w:tbl>
  <w:p>
    <w:pPr>
      <w:pBdr>
        <w:bottom w:val="single" w:color="F0A02B" w:sz="4" w:space="1"/>
      </w:pBdr>
    </w:pPr>
    <w:r>
      <w:rPr>
        <w:rFonts w:ascii="Arial" w:cs="Arial" w:eastAsia="Arial" w:hAnsi="Arial"/>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5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69B8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F0A0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2026-04-06T19:53:09.843Z</dcterms:created>
  <dcterms:modified xsi:type="dcterms:W3CDTF">2026-04-06T19:53:09.844Z</dcterms:modified>
</cp:coreProperties>
</file>

<file path=docProps/custom.xml><?xml version="1.0" encoding="utf-8"?>
<Properties xmlns="http://schemas.openxmlformats.org/officeDocument/2006/custom-properties" xmlns:vt="http://schemas.openxmlformats.org/officeDocument/2006/docPropsVTypes"/>
</file>