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D5E09">
      <w:pPr>
        <w:tabs>
          <w:tab w:val="left" w:pos="1635"/>
        </w:tabs>
        <w:spacing w:line="360" w:lineRule="auto"/>
        <w:jc w:val="center"/>
        <w:rPr>
          <w:rFonts w:ascii="Times New Roman" w:hAnsi="Times New Roman" w:cs="Times New Roman"/>
          <w:b/>
          <w:sz w:val="48"/>
          <w:szCs w:val="48"/>
        </w:rPr>
      </w:pPr>
    </w:p>
    <w:p w14:paraId="7531F0BC">
      <w:pPr>
        <w:jc w:val="center"/>
        <w:rPr>
          <w:rFonts w:ascii="Times New Roman" w:hAnsi="Times New Roman" w:cs="Times New Roman"/>
          <w:b/>
          <w:bCs/>
          <w:sz w:val="56"/>
          <w:szCs w:val="56"/>
        </w:rPr>
      </w:pPr>
      <w:r>
        <w:rPr>
          <w:rFonts w:ascii="Times New Roman" w:hAnsi="Times New Roman" w:cs="Times New Roman"/>
          <w:b/>
          <w:bCs/>
          <w:sz w:val="56"/>
          <w:szCs w:val="56"/>
        </w:rPr>
        <w:t>Projet n°004-26-KYA</w:t>
      </w:r>
    </w:p>
    <w:p w14:paraId="17ED59BB">
      <w:pPr>
        <w:rPr>
          <w:rFonts w:ascii="Times New Roman" w:hAnsi="Times New Roman" w:cs="Times New Roman"/>
          <w:sz w:val="56"/>
          <w:szCs w:val="56"/>
        </w:rPr>
      </w:pPr>
    </w:p>
    <w:p w14:paraId="0798111C">
      <w:pPr>
        <w:jc w:val="center"/>
        <w:rPr>
          <w:rFonts w:ascii="Times New Roman" w:hAnsi="Times New Roman" w:cs="Times New Roman"/>
          <w:b/>
          <w:bCs/>
          <w:color w:val="ED7D31" w:themeColor="accent2"/>
          <w:sz w:val="56"/>
          <w:szCs w:val="56"/>
          <w14:textFill>
            <w14:solidFill>
              <w14:schemeClr w14:val="accent2"/>
            </w14:solidFill>
          </w14:textFill>
        </w:rPr>
      </w:pPr>
      <w:r>
        <w:rPr>
          <w:rFonts w:ascii="Times New Roman" w:hAnsi="Times New Roman" w:cs="Times New Roman"/>
          <w:b/>
          <w:bCs/>
          <w:color w:val="ED7D31" w:themeColor="accent2"/>
          <w:sz w:val="56"/>
          <w:szCs w:val="56"/>
          <w14:textFill>
            <w14:solidFill>
              <w14:schemeClr w14:val="accent2"/>
            </w14:solidFill>
          </w14:textFill>
        </w:rPr>
        <w:t>Titre du projet : Commercialisation du logiciel KYA-SolDesign</w:t>
      </w:r>
    </w:p>
    <w:p w14:paraId="6E97FBD3">
      <w:pPr>
        <w:tabs>
          <w:tab w:val="left" w:pos="1635"/>
        </w:tabs>
        <w:spacing w:line="360" w:lineRule="auto"/>
        <w:rPr>
          <w:rFonts w:ascii="Times New Roman" w:hAnsi="Times New Roman" w:cs="Times New Roman"/>
        </w:rPr>
      </w:pPr>
    </w:p>
    <w:p w14:paraId="57A4B653">
      <w:pPr>
        <w:tabs>
          <w:tab w:val="left" w:pos="1635"/>
        </w:tabs>
        <w:spacing w:line="360" w:lineRule="auto"/>
        <w:rPr>
          <w:rFonts w:ascii="Times New Roman" w:hAnsi="Times New Roman" w:cs="Times New Roman"/>
        </w:rPr>
      </w:pPr>
    </w:p>
    <w:p w14:paraId="64F384E9">
      <w:pPr>
        <w:tabs>
          <w:tab w:val="left" w:pos="1635"/>
        </w:tabs>
        <w:spacing w:line="360" w:lineRule="auto"/>
        <w:jc w:val="center"/>
        <w:rPr>
          <w:rFonts w:ascii="Times New Roman" w:hAnsi="Times New Roman" w:cs="Times New Roman"/>
        </w:rPr>
      </w:pPr>
      <w:r>
        <w:rPr>
          <w:rFonts w:ascii="Times New Roman" w:hAnsi="Times New Roman" w:cs="Times New Roman"/>
        </w:rPr>
        <w:drawing>
          <wp:inline distT="0" distB="0" distL="0" distR="0">
            <wp:extent cx="4533900" cy="3276600"/>
            <wp:effectExtent l="0" t="0" r="0" b="0"/>
            <wp:docPr id="1101758884" name="Image 1" descr="KYA-Sol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58884" name="Image 1" descr="KYA-SolDesig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533900" cy="3276600"/>
                    </a:xfrm>
                    <a:prstGeom prst="rect">
                      <a:avLst/>
                    </a:prstGeom>
                    <a:noFill/>
                    <a:ln>
                      <a:noFill/>
                    </a:ln>
                  </pic:spPr>
                </pic:pic>
              </a:graphicData>
            </a:graphic>
          </wp:inline>
        </w:drawing>
      </w:r>
    </w:p>
    <w:p w14:paraId="1F65631A">
      <w:pPr>
        <w:tabs>
          <w:tab w:val="left" w:pos="1635"/>
        </w:tabs>
        <w:spacing w:line="360" w:lineRule="auto"/>
        <w:jc w:val="center"/>
        <w:rPr>
          <w:rFonts w:ascii="Times New Roman" w:hAnsi="Times New Roman" w:cs="Times New Roman"/>
          <w:b/>
          <w:sz w:val="24"/>
          <w:szCs w:val="24"/>
        </w:rPr>
      </w:pPr>
    </w:p>
    <w:p w14:paraId="0F97A1E8">
      <w:pPr>
        <w:tabs>
          <w:tab w:val="left" w:pos="1635"/>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KYA-Energy Group 2026</w:t>
      </w:r>
    </w:p>
    <w:p w14:paraId="472B035E">
      <w:pPr>
        <w:tabs>
          <w:tab w:val="left" w:pos="1635"/>
        </w:tabs>
        <w:spacing w:line="360" w:lineRule="auto"/>
        <w:rPr>
          <w:rFonts w:ascii="Times New Roman" w:hAnsi="Times New Roman" w:cs="Times New Roman"/>
          <w:b/>
          <w:sz w:val="24"/>
          <w:szCs w:val="24"/>
        </w:rPr>
        <w:sectPr>
          <w:headerReference r:id="rId6" w:type="first"/>
          <w:footerReference r:id="rId8" w:type="first"/>
          <w:headerReference r:id="rId5" w:type="default"/>
          <w:footerReference r:id="rId7" w:type="default"/>
          <w:pgSz w:w="11906" w:h="16838"/>
          <w:pgMar w:top="1417" w:right="1417" w:bottom="1417" w:left="1417" w:header="708" w:footer="708" w:gutter="0"/>
          <w:pgBorders w:offsetFrom="page">
            <w:top w:val="single" w:color="auto" w:sz="4" w:space="24"/>
            <w:left w:val="single" w:color="auto" w:sz="4" w:space="24"/>
            <w:bottom w:val="single" w:color="auto" w:sz="4" w:space="24"/>
            <w:right w:val="single" w:color="auto" w:sz="4" w:space="24"/>
          </w:pgBorders>
          <w:pgNumType w:start="0"/>
          <w:cols w:space="708" w:num="1"/>
          <w:titlePg/>
          <w:docGrid w:linePitch="360" w:charSpace="0"/>
        </w:sectPr>
      </w:pPr>
    </w:p>
    <w:p w14:paraId="471FE5F6">
      <w:pPr>
        <w:spacing w:after="0" w:line="360" w:lineRule="auto"/>
        <w:jc w:val="center"/>
        <w:rPr>
          <w:rFonts w:ascii="Times New Roman" w:hAnsi="Times New Roman" w:eastAsia="Arial Narrow" w:cs="Times New Roman"/>
          <w:b/>
          <w:sz w:val="24"/>
          <w:szCs w:val="24"/>
        </w:rPr>
      </w:pPr>
    </w:p>
    <w:p w14:paraId="567CD8C8">
      <w:pPr>
        <w:spacing w:after="0" w:line="360" w:lineRule="auto"/>
        <w:jc w:val="center"/>
        <w:rPr>
          <w:rFonts w:ascii="Times New Roman" w:hAnsi="Times New Roman" w:eastAsia="Arial Narrow" w:cs="Times New Roman"/>
          <w:b/>
          <w:sz w:val="28"/>
          <w:szCs w:val="28"/>
        </w:rPr>
      </w:pPr>
      <w:r>
        <w:rPr>
          <w:rFonts w:ascii="Times New Roman" w:hAnsi="Times New Roman" w:eastAsia="Arial Narrow" w:cs="Times New Roman"/>
          <w:b/>
          <w:sz w:val="28"/>
          <w:szCs w:val="28"/>
        </w:rPr>
        <w:t>FICHE SYNOPTIQUE DU PROJET</w:t>
      </w:r>
    </w:p>
    <w:p w14:paraId="72879A0E">
      <w:pPr>
        <w:spacing w:after="0" w:line="360" w:lineRule="auto"/>
        <w:jc w:val="center"/>
        <w:rPr>
          <w:rFonts w:ascii="Times New Roman" w:hAnsi="Times New Roman" w:eastAsia="Arial Narrow" w:cs="Times New Roman"/>
          <w:b/>
          <w:sz w:val="28"/>
          <w:szCs w:val="28"/>
        </w:rPr>
      </w:pPr>
    </w:p>
    <w:p w14:paraId="4FB4F724">
      <w:pPr>
        <w:spacing w:after="0" w:line="360" w:lineRule="auto"/>
        <w:jc w:val="both"/>
        <w:rPr>
          <w:rFonts w:ascii="Times New Roman" w:hAnsi="Times New Roman" w:eastAsia="Arial Narrow" w:cs="Times New Roman"/>
          <w:b/>
          <w:sz w:val="28"/>
          <w:szCs w:val="28"/>
        </w:rPr>
      </w:pPr>
    </w:p>
    <w:tbl>
      <w:tblPr>
        <w:tblStyle w:val="22"/>
        <w:tblW w:w="9346" w:type="dxa"/>
        <w:tblInd w:w="0" w:type="dxa"/>
        <w:shd w:val="clear" w:color="auto" w:fill="E2EFD9" w:themeFill="accent6" w:themeFillTint="33"/>
        <w:tblLayout w:type="autofit"/>
        <w:tblCellMar>
          <w:top w:w="0" w:type="dxa"/>
          <w:left w:w="70" w:type="dxa"/>
          <w:bottom w:w="0" w:type="dxa"/>
          <w:right w:w="70" w:type="dxa"/>
        </w:tblCellMar>
      </w:tblPr>
      <w:tblGrid>
        <w:gridCol w:w="4135"/>
        <w:gridCol w:w="5211"/>
      </w:tblGrid>
      <w:tr w14:paraId="64C20D9B">
        <w:tblPrEx>
          <w:tblCellMar>
            <w:top w:w="0" w:type="dxa"/>
            <w:left w:w="70" w:type="dxa"/>
            <w:bottom w:w="0" w:type="dxa"/>
            <w:right w:w="70" w:type="dxa"/>
          </w:tblCellMar>
        </w:tblPrEx>
        <w:trPr>
          <w:trHeight w:val="741" w:hRule="atLeast"/>
        </w:trPr>
        <w:tc>
          <w:tcPr>
            <w:tcW w:w="4135" w:type="dxa"/>
            <w:tcBorders>
              <w:top w:val="single" w:color="auto" w:sz="8" w:space="0"/>
              <w:left w:val="single" w:color="auto" w:sz="8" w:space="0"/>
              <w:bottom w:val="single" w:color="auto" w:sz="8" w:space="0"/>
              <w:right w:val="single" w:color="auto" w:sz="8" w:space="0"/>
            </w:tcBorders>
            <w:shd w:val="clear" w:color="auto" w:fill="E2EFD9" w:themeFill="accent6" w:themeFillTint="33"/>
            <w:noWrap/>
            <w:vAlign w:val="bottom"/>
          </w:tcPr>
          <w:p w14:paraId="6C7A0FCB">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Projet</w:t>
            </w:r>
          </w:p>
        </w:tc>
        <w:tc>
          <w:tcPr>
            <w:tcW w:w="5211" w:type="dxa"/>
            <w:tcBorders>
              <w:top w:val="single" w:color="auto" w:sz="8" w:space="0"/>
              <w:left w:val="nil"/>
              <w:bottom w:val="single" w:color="auto" w:sz="8" w:space="0"/>
              <w:right w:val="single" w:color="auto" w:sz="8" w:space="0"/>
            </w:tcBorders>
            <w:shd w:val="clear" w:color="auto" w:fill="E2EFD9" w:themeFill="accent6" w:themeFillTint="33"/>
            <w:noWrap/>
            <w:vAlign w:val="bottom"/>
          </w:tcPr>
          <w:p w14:paraId="21BCD848">
            <w:pPr>
              <w:spacing w:after="0" w:line="360" w:lineRule="auto"/>
              <w:jc w:val="both"/>
              <w:rPr>
                <w:rFonts w:ascii="Times New Roman" w:hAnsi="Times New Roman" w:eastAsia="Arial Narrow" w:cs="Times New Roman"/>
                <w:b/>
                <w:bCs/>
                <w:sz w:val="28"/>
                <w:szCs w:val="28"/>
              </w:rPr>
            </w:pPr>
            <w:r>
              <w:rPr>
                <w:rFonts w:ascii="Times New Roman" w:hAnsi="Times New Roman" w:eastAsia="Arial Narrow" w:cs="Times New Roman"/>
                <w:b/>
                <w:bCs/>
                <w:sz w:val="28"/>
                <w:szCs w:val="28"/>
              </w:rPr>
              <w:t xml:space="preserve">Commercialisation du logiciel KYA-SolDesign </w:t>
            </w:r>
          </w:p>
        </w:tc>
      </w:tr>
      <w:tr w14:paraId="01C7D8A7">
        <w:tblPrEx>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0390F025">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Dénomination Sociale</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6A596014">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KYA-Energy Group</w:t>
            </w:r>
          </w:p>
        </w:tc>
      </w:tr>
      <w:tr w14:paraId="2971ED92">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6ACF3C08">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NIF</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2B3EF60C">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1000430317</w:t>
            </w:r>
          </w:p>
        </w:tc>
      </w:tr>
      <w:tr w14:paraId="2EB18B5D">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12B3D142">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Nom et prénoms du promoteur</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176F94F0">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AZOUMAH Yao Ketowoglo</w:t>
            </w:r>
          </w:p>
        </w:tc>
      </w:tr>
      <w:tr w14:paraId="7B633294">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6C3C2FE5">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Adresse du promoteur</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5C065E79">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Agoè-Anokui, Tel : +228 91 50 21 49</w:t>
            </w:r>
          </w:p>
        </w:tc>
      </w:tr>
      <w:tr w14:paraId="7F7431BE">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279843D0">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Pays (villes) d’exécution du projet</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176E59B5">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Zones Afrique et Europe</w:t>
            </w:r>
          </w:p>
        </w:tc>
      </w:tr>
      <w:tr w14:paraId="225FC660">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27A540AF">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Durée du projet</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09AF3A64">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5 ans (2026-2030)</w:t>
            </w:r>
          </w:p>
        </w:tc>
      </w:tr>
      <w:tr w14:paraId="7F6E10FD">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4F4A259E">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Début prévisionnel du projet</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6A9208F2">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01/02/2026</w:t>
            </w:r>
          </w:p>
        </w:tc>
      </w:tr>
      <w:tr w14:paraId="009C1ECA">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3C8EBB63">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Coût total du projet</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4AB79A02">
            <w:pPr>
              <w:spacing w:after="0" w:line="360" w:lineRule="auto"/>
              <w:jc w:val="both"/>
              <w:rPr>
                <w:rFonts w:ascii="Times New Roman" w:hAnsi="Times New Roman" w:eastAsia="Arial Narrow" w:cs="Times New Roman"/>
                <w:sz w:val="28"/>
                <w:szCs w:val="28"/>
                <w:lang w:val="en-GB"/>
              </w:rPr>
            </w:pPr>
            <w:bookmarkStart w:id="2" w:name="_GoBack"/>
            <w:r>
              <w:rPr>
                <w:rFonts w:ascii="Times New Roman" w:hAnsi="Times New Roman" w:eastAsia="Arial Narrow" w:cs="Times New Roman"/>
                <w:sz w:val="28"/>
                <w:szCs w:val="28"/>
                <w:lang w:val="en-GB"/>
              </w:rPr>
              <w:t>54 800 000</w:t>
            </w:r>
            <w:bookmarkEnd w:id="2"/>
            <w:r>
              <w:rPr>
                <w:rFonts w:ascii="Times New Roman" w:hAnsi="Times New Roman" w:eastAsia="Arial Narrow" w:cs="Times New Roman"/>
                <w:sz w:val="28"/>
                <w:szCs w:val="28"/>
                <w:lang w:val="en-GB"/>
              </w:rPr>
              <w:t xml:space="preserve"> F CFA</w:t>
            </w:r>
          </w:p>
        </w:tc>
      </w:tr>
      <w:tr w14:paraId="69AC0AC2">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0055D99E">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Fonds propre</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788A38A5">
            <w:pPr>
              <w:spacing w:after="0" w:line="360" w:lineRule="auto"/>
              <w:jc w:val="both"/>
              <w:rPr>
                <w:rFonts w:ascii="Times New Roman" w:hAnsi="Times New Roman" w:eastAsia="Arial Narrow" w:cs="Times New Roman"/>
                <w:bCs/>
                <w:sz w:val="28"/>
                <w:szCs w:val="28"/>
                <w:lang w:val="en-GB"/>
              </w:rPr>
            </w:pPr>
            <w:r>
              <w:rPr>
                <w:rFonts w:ascii="Times New Roman" w:hAnsi="Times New Roman" w:eastAsia="Arial Narrow" w:cs="Times New Roman"/>
                <w:bCs/>
                <w:sz w:val="28"/>
                <w:szCs w:val="28"/>
                <w:lang w:val="en-GB"/>
              </w:rPr>
              <w:t xml:space="preserve">16 440 000 F CFA </w:t>
            </w:r>
          </w:p>
        </w:tc>
      </w:tr>
      <w:tr w14:paraId="577E92B5">
        <w:tblPrEx>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0825AFBD">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Financement recherché (dette)</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28D3916C">
            <w:pPr>
              <w:spacing w:after="0" w:line="360" w:lineRule="auto"/>
              <w:jc w:val="both"/>
              <w:rPr>
                <w:rFonts w:ascii="Times New Roman" w:hAnsi="Times New Roman" w:eastAsia="Arial Narrow" w:cs="Times New Roman"/>
                <w:bCs/>
                <w:sz w:val="28"/>
                <w:szCs w:val="28"/>
                <w:lang w:val="en-GB"/>
              </w:rPr>
            </w:pPr>
            <w:r>
              <w:rPr>
                <w:rFonts w:ascii="Times New Roman" w:hAnsi="Times New Roman" w:eastAsia="Arial Narrow" w:cs="Times New Roman"/>
                <w:bCs/>
                <w:sz w:val="28"/>
                <w:szCs w:val="28"/>
                <w:lang w:val="en-GB"/>
              </w:rPr>
              <w:t>38 360 000 F CFA</w:t>
            </w:r>
          </w:p>
        </w:tc>
      </w:tr>
      <w:tr w14:paraId="6ADAC243">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2DCF059E">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Financement recherché (subvention)</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7A174C65">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0 F CFA</w:t>
            </w:r>
          </w:p>
        </w:tc>
      </w:tr>
      <w:tr w14:paraId="78C1D711">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655B830B">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TRI</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02BF1CD5">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35 %</w:t>
            </w:r>
          </w:p>
        </w:tc>
      </w:tr>
      <w:tr w14:paraId="2BFBD33A">
        <w:tblPrEx>
          <w:shd w:val="clear" w:color="auto" w:fill="E2EFD9" w:themeFill="accent6" w:themeFillTint="33"/>
          <w:tblCellMar>
            <w:top w:w="0" w:type="dxa"/>
            <w:left w:w="70" w:type="dxa"/>
            <w:bottom w:w="0" w:type="dxa"/>
            <w:right w:w="70" w:type="dxa"/>
          </w:tblCellMar>
        </w:tblPrEx>
        <w:trPr>
          <w:trHeight w:val="741" w:hRule="atLeast"/>
        </w:trPr>
        <w:tc>
          <w:tcPr>
            <w:tcW w:w="4135" w:type="dxa"/>
            <w:tcBorders>
              <w:top w:val="nil"/>
              <w:left w:val="single" w:color="auto" w:sz="8" w:space="0"/>
              <w:bottom w:val="single" w:color="auto" w:sz="8" w:space="0"/>
              <w:right w:val="single" w:color="auto" w:sz="8" w:space="0"/>
            </w:tcBorders>
            <w:shd w:val="clear" w:color="auto" w:fill="E2EFD9" w:themeFill="accent6" w:themeFillTint="33"/>
            <w:noWrap/>
            <w:vAlign w:val="bottom"/>
          </w:tcPr>
          <w:p w14:paraId="3F649027">
            <w:pPr>
              <w:spacing w:after="0" w:line="360" w:lineRule="auto"/>
              <w:jc w:val="both"/>
              <w:rPr>
                <w:rFonts w:ascii="Times New Roman" w:hAnsi="Times New Roman" w:eastAsia="Arial Narrow" w:cs="Times New Roman"/>
                <w:b/>
                <w:sz w:val="28"/>
                <w:szCs w:val="28"/>
              </w:rPr>
            </w:pPr>
            <w:r>
              <w:rPr>
                <w:rFonts w:ascii="Times New Roman" w:hAnsi="Times New Roman" w:eastAsia="Arial Narrow" w:cs="Times New Roman"/>
                <w:b/>
                <w:sz w:val="28"/>
                <w:szCs w:val="28"/>
              </w:rPr>
              <w:t>VAN</w:t>
            </w:r>
          </w:p>
        </w:tc>
        <w:tc>
          <w:tcPr>
            <w:tcW w:w="5211" w:type="dxa"/>
            <w:tcBorders>
              <w:top w:val="nil"/>
              <w:left w:val="nil"/>
              <w:bottom w:val="single" w:color="auto" w:sz="8" w:space="0"/>
              <w:right w:val="single" w:color="auto" w:sz="8" w:space="0"/>
            </w:tcBorders>
            <w:shd w:val="clear" w:color="auto" w:fill="E2EFD9" w:themeFill="accent6" w:themeFillTint="33"/>
            <w:noWrap/>
            <w:vAlign w:val="bottom"/>
          </w:tcPr>
          <w:p w14:paraId="0FFB0502">
            <w:pPr>
              <w:spacing w:after="0" w:line="360" w:lineRule="auto"/>
              <w:jc w:val="both"/>
              <w:rPr>
                <w:rFonts w:ascii="Times New Roman" w:hAnsi="Times New Roman" w:eastAsia="Arial Narrow" w:cs="Times New Roman"/>
                <w:bCs/>
                <w:sz w:val="28"/>
                <w:szCs w:val="28"/>
              </w:rPr>
            </w:pPr>
            <w:r>
              <w:rPr>
                <w:rFonts w:ascii="Times New Roman" w:hAnsi="Times New Roman" w:eastAsia="Arial Narrow" w:cs="Times New Roman"/>
                <w:bCs/>
                <w:sz w:val="28"/>
                <w:szCs w:val="28"/>
              </w:rPr>
              <w:t>66 300 000 F CFA</w:t>
            </w:r>
          </w:p>
        </w:tc>
      </w:tr>
    </w:tbl>
    <w:p w14:paraId="76E32611">
      <w:pPr>
        <w:spacing w:after="0" w:line="360" w:lineRule="auto"/>
        <w:jc w:val="both"/>
        <w:rPr>
          <w:rFonts w:ascii="Times New Roman" w:hAnsi="Times New Roman" w:eastAsia="Arial Narrow" w:cs="Times New Roman"/>
          <w:sz w:val="28"/>
          <w:szCs w:val="28"/>
        </w:rPr>
      </w:pPr>
      <w:r>
        <w:rPr>
          <w:rFonts w:ascii="Times New Roman" w:hAnsi="Times New Roman" w:eastAsia="Arial Narrow" w:cs="Times New Roman"/>
          <w:sz w:val="28"/>
          <w:szCs w:val="28"/>
        </w:rPr>
        <w:br w:type="page"/>
      </w:r>
    </w:p>
    <w:p w14:paraId="3B3B5B0F">
      <w:pPr>
        <w:spacing w:after="0" w:line="360" w:lineRule="auto"/>
        <w:jc w:val="both"/>
        <w:rPr>
          <w:rFonts w:ascii="Times New Roman" w:hAnsi="Times New Roman" w:eastAsia="Arial Narrow" w:cs="Times New Roman"/>
          <w:sz w:val="28"/>
          <w:szCs w:val="28"/>
        </w:rPr>
      </w:pPr>
    </w:p>
    <w:p w14:paraId="75883D26">
      <w:pPr>
        <w:rPr>
          <w:rFonts w:ascii="Times New Roman" w:hAnsi="Times New Roman" w:cs="Times New Roman"/>
          <w:b/>
          <w:bCs/>
          <w:sz w:val="28"/>
          <w:szCs w:val="28"/>
        </w:rPr>
      </w:pPr>
    </w:p>
    <w:p w14:paraId="42C8BC5B">
      <w:pPr>
        <w:pStyle w:val="36"/>
        <w:numPr>
          <w:ilvl w:val="0"/>
          <w:numId w:val="1"/>
        </w:numPr>
        <w:jc w:val="center"/>
        <w:rPr>
          <w:rFonts w:ascii="Times New Roman" w:hAnsi="Times New Roman" w:cs="Times New Roman"/>
          <w:b/>
          <w:bCs/>
          <w:sz w:val="56"/>
          <w:szCs w:val="56"/>
        </w:rPr>
      </w:pPr>
      <w:r>
        <w:rPr>
          <w:rFonts w:ascii="Times New Roman" w:hAnsi="Times New Roman" w:cs="Times New Roman"/>
          <w:b/>
          <w:bCs/>
          <w:sz w:val="56"/>
          <w:szCs w:val="56"/>
        </w:rPr>
        <w:t>Résumé exécutif</w:t>
      </w:r>
    </w:p>
    <w:p w14:paraId="6FAAEC13">
      <w:pPr>
        <w:jc w:val="both"/>
        <w:rPr>
          <w:rFonts w:ascii="Times New Roman" w:hAnsi="Times New Roman" w:cs="Times New Roman"/>
        </w:rPr>
      </w:pPr>
    </w:p>
    <w:p w14:paraId="5CD2EF6B">
      <w:pPr>
        <w:jc w:val="both"/>
        <w:rPr>
          <w:rFonts w:ascii="Times New Roman" w:hAnsi="Times New Roman" w:cs="Times New Roman"/>
          <w:sz w:val="24"/>
          <w:szCs w:val="24"/>
        </w:rPr>
      </w:pPr>
      <w:r>
        <w:rPr>
          <w:rFonts w:ascii="Times New Roman" w:hAnsi="Times New Roman" w:cs="Times New Roman"/>
          <w:sz w:val="24"/>
          <w:szCs w:val="24"/>
        </w:rPr>
        <w:t xml:space="preserve">Un technicien solaire au Burkina Faso vient de perdre un client. Son installation, dimensionnée selon les méthodes classiques, a coûté 30% de trop à cause d'un parc de batteries surdimensionné. Le client a renoncé. </w:t>
      </w:r>
    </w:p>
    <w:p w14:paraId="3DDF1855">
      <w:pPr>
        <w:jc w:val="both"/>
        <w:rPr>
          <w:rFonts w:ascii="Times New Roman" w:hAnsi="Times New Roman" w:cs="Times New Roman"/>
          <w:sz w:val="24"/>
          <w:szCs w:val="24"/>
        </w:rPr>
      </w:pPr>
      <w:r>
        <w:rPr>
          <w:rFonts w:ascii="Times New Roman" w:hAnsi="Times New Roman" w:cs="Times New Roman"/>
          <w:sz w:val="24"/>
          <w:szCs w:val="24"/>
        </w:rPr>
        <w:t>Ce problème est systémique et récurrent : les méthodes de dimensionnement actuelles (classiques) génèrent des surcoûts évitables pour des utilisateurs déjà confrontés à des contraintes financières.</w:t>
      </w:r>
    </w:p>
    <w:p w14:paraId="32B53C70">
      <w:pPr>
        <w:jc w:val="both"/>
        <w:rPr>
          <w:rFonts w:ascii="Times New Roman" w:hAnsi="Times New Roman" w:cs="Times New Roman"/>
          <w:sz w:val="24"/>
          <w:szCs w:val="24"/>
        </w:rPr>
      </w:pPr>
      <w:r>
        <w:rPr>
          <w:rFonts w:ascii="Times New Roman" w:hAnsi="Times New Roman" w:cs="Times New Roman"/>
          <w:sz w:val="24"/>
          <w:szCs w:val="24"/>
        </w:rPr>
        <w:t>KYA-Energy Group, entreprise togolaise spécialisée dans le solaire depuis 2015, a développé </w:t>
      </w:r>
      <w:r>
        <w:rPr>
          <w:rFonts w:ascii="Times New Roman" w:hAnsi="Times New Roman" w:cs="Times New Roman"/>
          <w:b/>
          <w:bCs/>
          <w:sz w:val="24"/>
          <w:szCs w:val="24"/>
        </w:rPr>
        <w:t>KYA-SolDesign</w:t>
      </w:r>
      <w:r>
        <w:rPr>
          <w:rFonts w:ascii="Times New Roman" w:hAnsi="Times New Roman" w:cs="Times New Roman"/>
          <w:sz w:val="24"/>
          <w:szCs w:val="24"/>
        </w:rPr>
        <w:t>, un logiciel de dimensionnement des systèmes solaires photovoltaïques. Depuis 2020, près de 300 professionnels ont utilisé les versions précédentes. Leurs retours ont permis de concevoir une nouvelle version plus robuste et qui sera commercialisée à partir de février 2026.</w:t>
      </w:r>
    </w:p>
    <w:p w14:paraId="6DDC5A12">
      <w:pPr>
        <w:jc w:val="both"/>
        <w:rPr>
          <w:rFonts w:ascii="Times New Roman" w:hAnsi="Times New Roman" w:cs="Times New Roman"/>
          <w:sz w:val="24"/>
          <w:szCs w:val="24"/>
        </w:rPr>
      </w:pPr>
      <w:r>
        <w:rPr>
          <w:rFonts w:ascii="Times New Roman" w:hAnsi="Times New Roman" w:cs="Times New Roman"/>
          <w:sz w:val="24"/>
          <w:szCs w:val="24"/>
        </w:rPr>
        <w:t>Le logiciel repose sur une nouvelle méthode qui optimise le dimensionnement du stockage d’énergie dans les batteries. Selon nos validations numériques et tests terrain, les installations dimensionnées avec KYA-SolDesign coûtent </w:t>
      </w:r>
      <w:r>
        <w:rPr>
          <w:rFonts w:ascii="Times New Roman" w:hAnsi="Times New Roman" w:cs="Times New Roman"/>
          <w:b/>
          <w:bCs/>
          <w:sz w:val="24"/>
          <w:szCs w:val="24"/>
        </w:rPr>
        <w:t>30 à 50% moins chères comparées aux autres logiciels existants</w:t>
      </w:r>
      <w:r>
        <w:rPr>
          <w:rFonts w:ascii="Times New Roman" w:hAnsi="Times New Roman" w:cs="Times New Roman"/>
          <w:sz w:val="24"/>
          <w:szCs w:val="24"/>
        </w:rPr>
        <w:t>, et ceci sans compromis sur leur fiabilité technique.</w:t>
      </w:r>
    </w:p>
    <w:p w14:paraId="39784606">
      <w:pPr>
        <w:jc w:val="both"/>
        <w:rPr>
          <w:rFonts w:ascii="Times New Roman" w:hAnsi="Times New Roman" w:cs="Times New Roman"/>
          <w:sz w:val="24"/>
          <w:szCs w:val="24"/>
        </w:rPr>
      </w:pPr>
      <w:r>
        <w:rPr>
          <w:rFonts w:ascii="Times New Roman" w:hAnsi="Times New Roman" w:cs="Times New Roman"/>
          <w:sz w:val="24"/>
          <w:szCs w:val="24"/>
        </w:rPr>
        <w:t>Le déploiement de ce logiciel sera essentiel fait en Afrique, marché naturel de l'entreprise. Le logiciel est conçu pour fonctionner partout où les projets solaires se développent. Le solaire décentralisé progresse de 20% par an en Afrique. Le modèle économique repose sur la vente de licences, payables via mobile money, à des prix allant de 1 000 à 150 000 F CFA selon le segment (étudiants, commerciaux, académiques).</w:t>
      </w:r>
    </w:p>
    <w:p w14:paraId="1ABB34C1">
      <w:pPr>
        <w:jc w:val="both"/>
        <w:rPr>
          <w:rFonts w:ascii="Times New Roman" w:hAnsi="Times New Roman" w:cs="Times New Roman"/>
          <w:sz w:val="24"/>
          <w:szCs w:val="24"/>
        </w:rPr>
      </w:pPr>
      <w:r>
        <w:rPr>
          <w:rFonts w:ascii="Times New Roman" w:hAnsi="Times New Roman" w:cs="Times New Roman"/>
          <w:b/>
          <w:bCs/>
          <w:sz w:val="24"/>
          <w:szCs w:val="24"/>
        </w:rPr>
        <w:t>Objectifs</w:t>
      </w:r>
      <w:r>
        <w:rPr>
          <w:rFonts w:ascii="Times New Roman" w:hAnsi="Times New Roman" w:cs="Times New Roman"/>
          <w:sz w:val="24"/>
          <w:szCs w:val="24"/>
        </w:rPr>
        <w:t> : 130 clients payants en 2026, 2 362 en 2030. Chiffre d'affaires projeté : 7,9 millions F CFA en 2026, 143 millions en 2030.</w:t>
      </w:r>
    </w:p>
    <w:p w14:paraId="1AE39A12">
      <w:pPr>
        <w:jc w:val="both"/>
        <w:rPr>
          <w:rFonts w:ascii="Times New Roman" w:hAnsi="Times New Roman" w:cs="Times New Roman"/>
          <w:sz w:val="24"/>
          <w:szCs w:val="24"/>
        </w:rPr>
      </w:pPr>
      <w:r>
        <w:rPr>
          <w:rFonts w:ascii="Times New Roman" w:hAnsi="Times New Roman" w:cs="Times New Roman"/>
          <w:b/>
          <w:bCs/>
          <w:sz w:val="24"/>
          <w:szCs w:val="24"/>
        </w:rPr>
        <w:t>Financement sollicité</w:t>
      </w:r>
      <w:r>
        <w:rPr>
          <w:rFonts w:ascii="Times New Roman" w:hAnsi="Times New Roman" w:cs="Times New Roman"/>
          <w:sz w:val="24"/>
          <w:szCs w:val="24"/>
        </w:rPr>
        <w:t> : 38 360 000 F CFA (70% dette, 30% fonds propres). Le coût total du projet s'élève à 54,8 millions F CFA, incluant une réserve de sécurité de 12 mois d'exploitation.</w:t>
      </w:r>
    </w:p>
    <w:p w14:paraId="289A62BB">
      <w:pPr>
        <w:jc w:val="both"/>
        <w:rPr>
          <w:rFonts w:ascii="Times New Roman" w:hAnsi="Times New Roman" w:cs="Times New Roman"/>
          <w:sz w:val="24"/>
          <w:szCs w:val="24"/>
        </w:rPr>
      </w:pPr>
      <w:r>
        <w:rPr>
          <w:rFonts w:ascii="Times New Roman" w:hAnsi="Times New Roman" w:cs="Times New Roman"/>
          <w:b/>
          <w:bCs/>
          <w:sz w:val="24"/>
          <w:szCs w:val="24"/>
        </w:rPr>
        <w:t>Indicateurs de rentabilité</w:t>
      </w:r>
      <w:r>
        <w:rPr>
          <w:rFonts w:ascii="Times New Roman" w:hAnsi="Times New Roman" w:cs="Times New Roman"/>
          <w:sz w:val="24"/>
          <w:szCs w:val="24"/>
        </w:rPr>
        <w:t> : TRI = 35%, VAN = 66,3 millions F CFA, point mort atteint au premier trimestre 2028.</w:t>
      </w:r>
    </w:p>
    <w:p w14:paraId="0CC66FB1">
      <w:pPr>
        <w:rPr>
          <w:rFonts w:ascii="Times New Roman" w:hAnsi="Times New Roman" w:cs="Times New Roman"/>
        </w:rPr>
      </w:pPr>
    </w:p>
    <w:p w14:paraId="19BC87E1">
      <w:pPr>
        <w:rPr>
          <w:rFonts w:ascii="Times New Roman" w:hAnsi="Times New Roman" w:cs="Times New Roman"/>
        </w:rPr>
      </w:pPr>
      <w:r>
        <w:rPr>
          <w:rFonts w:ascii="Times New Roman" w:hAnsi="Times New Roman" w:cs="Times New Roman"/>
        </w:rPr>
        <w:br w:type="page"/>
      </w:r>
    </w:p>
    <w:p w14:paraId="4159352F">
      <w:pPr>
        <w:rPr>
          <w:rFonts w:ascii="Times New Roman" w:hAnsi="Times New Roman" w:cs="Times New Roman"/>
          <w:b/>
          <w:bCs/>
        </w:rPr>
      </w:pPr>
    </w:p>
    <w:p w14:paraId="2D6CD6ED">
      <w:pPr>
        <w:pStyle w:val="36"/>
        <w:rPr>
          <w:rFonts w:ascii="Times New Roman" w:hAnsi="Times New Roman" w:cs="Times New Roman"/>
          <w:b/>
          <w:bCs/>
          <w:sz w:val="32"/>
          <w:szCs w:val="32"/>
        </w:rPr>
      </w:pPr>
    </w:p>
    <w:p w14:paraId="53795A7E">
      <w:pPr>
        <w:pStyle w:val="36"/>
        <w:rPr>
          <w:rFonts w:ascii="Times New Roman" w:hAnsi="Times New Roman" w:cs="Times New Roman"/>
          <w:b/>
          <w:bCs/>
          <w:sz w:val="32"/>
          <w:szCs w:val="32"/>
        </w:rPr>
      </w:pPr>
    </w:p>
    <w:p w14:paraId="74A82060">
      <w:pPr>
        <w:pStyle w:val="36"/>
        <w:rPr>
          <w:rFonts w:ascii="Times New Roman" w:hAnsi="Times New Roman" w:cs="Times New Roman"/>
          <w:b/>
          <w:bCs/>
          <w:sz w:val="32"/>
          <w:szCs w:val="32"/>
        </w:rPr>
      </w:pPr>
    </w:p>
    <w:p w14:paraId="1A0002EA">
      <w:pPr>
        <w:pStyle w:val="36"/>
        <w:rPr>
          <w:rFonts w:ascii="Times New Roman" w:hAnsi="Times New Roman" w:cs="Times New Roman"/>
          <w:b/>
          <w:bCs/>
          <w:sz w:val="32"/>
          <w:szCs w:val="32"/>
        </w:rPr>
      </w:pPr>
    </w:p>
    <w:p w14:paraId="7F040A93">
      <w:pPr>
        <w:pStyle w:val="36"/>
        <w:rPr>
          <w:rFonts w:ascii="Times New Roman" w:hAnsi="Times New Roman" w:cs="Times New Roman"/>
          <w:b/>
          <w:bCs/>
          <w:sz w:val="32"/>
          <w:szCs w:val="32"/>
        </w:rPr>
      </w:pPr>
    </w:p>
    <w:p w14:paraId="535349A0">
      <w:pPr>
        <w:pStyle w:val="36"/>
        <w:rPr>
          <w:rFonts w:ascii="Times New Roman" w:hAnsi="Times New Roman" w:cs="Times New Roman"/>
          <w:b/>
          <w:bCs/>
          <w:sz w:val="32"/>
          <w:szCs w:val="32"/>
        </w:rPr>
      </w:pPr>
    </w:p>
    <w:p w14:paraId="528386FE">
      <w:pPr>
        <w:pStyle w:val="36"/>
        <w:rPr>
          <w:rFonts w:ascii="Times New Roman" w:hAnsi="Times New Roman" w:cs="Times New Roman"/>
          <w:b/>
          <w:bCs/>
          <w:sz w:val="32"/>
          <w:szCs w:val="32"/>
        </w:rPr>
      </w:pPr>
    </w:p>
    <w:p w14:paraId="68F9FCA5">
      <w:pPr>
        <w:pStyle w:val="36"/>
        <w:rPr>
          <w:rFonts w:ascii="Times New Roman" w:hAnsi="Times New Roman" w:cs="Times New Roman"/>
          <w:b/>
          <w:bCs/>
          <w:sz w:val="32"/>
          <w:szCs w:val="32"/>
        </w:rPr>
      </w:pPr>
    </w:p>
    <w:p w14:paraId="0D1554E4">
      <w:pPr>
        <w:pStyle w:val="36"/>
        <w:rPr>
          <w:rFonts w:ascii="Times New Roman" w:hAnsi="Times New Roman" w:cs="Times New Roman"/>
          <w:b/>
          <w:bCs/>
          <w:sz w:val="32"/>
          <w:szCs w:val="32"/>
        </w:rPr>
      </w:pPr>
    </w:p>
    <w:p w14:paraId="1F0750D5">
      <w:pPr>
        <w:pStyle w:val="36"/>
        <w:rPr>
          <w:rFonts w:ascii="Times New Roman" w:hAnsi="Times New Roman" w:cs="Times New Roman"/>
          <w:b/>
          <w:bCs/>
          <w:sz w:val="32"/>
          <w:szCs w:val="32"/>
        </w:rPr>
      </w:pPr>
    </w:p>
    <w:p w14:paraId="0E45A67B">
      <w:pPr>
        <w:pStyle w:val="36"/>
        <w:rPr>
          <w:rFonts w:ascii="Times New Roman" w:hAnsi="Times New Roman" w:cs="Times New Roman"/>
          <w:b/>
          <w:bCs/>
          <w:sz w:val="32"/>
          <w:szCs w:val="32"/>
        </w:rPr>
      </w:pPr>
    </w:p>
    <w:p w14:paraId="110D0B27">
      <w:pPr>
        <w:pStyle w:val="36"/>
        <w:rPr>
          <w:rFonts w:ascii="Times New Roman" w:hAnsi="Times New Roman" w:cs="Times New Roman"/>
          <w:b/>
          <w:bCs/>
          <w:sz w:val="32"/>
          <w:szCs w:val="32"/>
        </w:rPr>
      </w:pPr>
    </w:p>
    <w:p w14:paraId="2DA66435">
      <w:pPr>
        <w:pStyle w:val="36"/>
        <w:numPr>
          <w:ilvl w:val="0"/>
          <w:numId w:val="1"/>
        </w:numPr>
        <w:jc w:val="center"/>
        <w:rPr>
          <w:rFonts w:ascii="Times New Roman" w:hAnsi="Times New Roman" w:cs="Times New Roman"/>
          <w:b/>
          <w:bCs/>
          <w:sz w:val="56"/>
          <w:szCs w:val="56"/>
        </w:rPr>
      </w:pPr>
      <w:r>
        <w:rPr>
          <w:rFonts w:ascii="Times New Roman" w:hAnsi="Times New Roman" w:cs="Times New Roman"/>
          <w:b/>
          <w:bCs/>
          <w:sz w:val="56"/>
          <w:szCs w:val="56"/>
        </w:rPr>
        <w:t>Partie Technique</w:t>
      </w:r>
    </w:p>
    <w:p w14:paraId="1ADD4BB3">
      <w:pPr>
        <w:rPr>
          <w:rFonts w:ascii="Times New Roman" w:hAnsi="Times New Roman" w:cs="Times New Roman"/>
        </w:rPr>
      </w:pPr>
      <w:r>
        <w:rPr>
          <w:rFonts w:ascii="Times New Roman" w:hAnsi="Times New Roman" w:cs="Times New Roman"/>
        </w:rPr>
        <w:br w:type="page"/>
      </w:r>
    </w:p>
    <w:p w14:paraId="57D65CB5">
      <w:pPr>
        <w:pStyle w:val="36"/>
        <w:rPr>
          <w:rFonts w:ascii="Times New Roman" w:hAnsi="Times New Roman" w:cs="Times New Roman"/>
        </w:rPr>
      </w:pPr>
    </w:p>
    <w:p w14:paraId="39011824">
      <w:pPr>
        <w:pStyle w:val="36"/>
        <w:numPr>
          <w:ilvl w:val="0"/>
          <w:numId w:val="2"/>
        </w:numPr>
        <w:rPr>
          <w:rFonts w:ascii="Times New Roman" w:hAnsi="Times New Roman" w:cs="Times New Roman"/>
          <w:b/>
          <w:bCs/>
          <w:sz w:val="24"/>
          <w:szCs w:val="24"/>
        </w:rPr>
      </w:pPr>
      <w:r>
        <w:rPr>
          <w:rFonts w:ascii="Times New Roman" w:hAnsi="Times New Roman" w:cs="Times New Roman"/>
          <w:b/>
          <w:bCs/>
          <w:sz w:val="24"/>
          <w:szCs w:val="24"/>
        </w:rPr>
        <w:t>Contexte et justification</w:t>
      </w:r>
    </w:p>
    <w:p w14:paraId="475A905F">
      <w:pPr>
        <w:jc w:val="both"/>
        <w:rPr>
          <w:rFonts w:ascii="Times New Roman" w:hAnsi="Times New Roman" w:cs="Times New Roman"/>
          <w:sz w:val="24"/>
          <w:szCs w:val="24"/>
        </w:rPr>
      </w:pPr>
      <w:r>
        <w:rPr>
          <w:rFonts w:ascii="Times New Roman" w:hAnsi="Times New Roman" w:cs="Times New Roman"/>
          <w:sz w:val="24"/>
          <w:szCs w:val="24"/>
        </w:rPr>
        <w:t xml:space="preserve">L'accès à une énergie fiable et abordable constitue l'un des défis majeurs du XXIe siècle, particulièrement pour le continent africain. Alors que 620 millions de personnes n'auront toujours pas accès à l'électricité d'ici 2030 selon la Banque Mondiale, le solaire photovoltaïque s'impose comme une solution incontournable. </w:t>
      </w:r>
    </w:p>
    <w:p w14:paraId="5267EB50">
      <w:pPr>
        <w:jc w:val="both"/>
        <w:rPr>
          <w:rFonts w:ascii="Times New Roman" w:hAnsi="Times New Roman" w:cs="Times New Roman"/>
          <w:sz w:val="24"/>
          <w:szCs w:val="24"/>
        </w:rPr>
      </w:pPr>
      <w:r>
        <w:rPr>
          <w:rFonts w:ascii="Times New Roman" w:hAnsi="Times New Roman" w:cs="Times New Roman"/>
          <w:sz w:val="24"/>
          <w:szCs w:val="24"/>
        </w:rPr>
        <w:t xml:space="preserve">Cependant, force est de constater le manque d’engouement pour le solaire pour les différentes populations pourtant nécessiteuses. </w:t>
      </w:r>
    </w:p>
    <w:p w14:paraId="3722170B">
      <w:pPr>
        <w:jc w:val="both"/>
        <w:rPr>
          <w:rFonts w:ascii="Times New Roman" w:hAnsi="Times New Roman" w:cs="Times New Roman"/>
          <w:sz w:val="24"/>
          <w:szCs w:val="24"/>
        </w:rPr>
      </w:pPr>
      <w:r>
        <w:rPr>
          <w:rFonts w:ascii="Times New Roman" w:hAnsi="Times New Roman" w:cs="Times New Roman"/>
          <w:sz w:val="24"/>
          <w:szCs w:val="24"/>
        </w:rPr>
        <w:t>Plusieurs causes expliquent ce manque d’engouement des potentiels utilisateurs. L’une d’entre elles est le mauvais dimensionnement des installations solaires.</w:t>
      </w:r>
    </w:p>
    <w:p w14:paraId="24EB448F">
      <w:pPr>
        <w:jc w:val="both"/>
        <w:rPr>
          <w:rFonts w:ascii="Times New Roman" w:hAnsi="Times New Roman" w:cs="Times New Roman"/>
          <w:sz w:val="24"/>
          <w:szCs w:val="24"/>
        </w:rPr>
      </w:pPr>
      <w:r>
        <w:rPr>
          <w:rFonts w:ascii="Times New Roman" w:hAnsi="Times New Roman" w:cs="Times New Roman"/>
          <w:sz w:val="24"/>
          <w:szCs w:val="24"/>
        </w:rPr>
        <w:t>En effet, les méthodes actuelles de dimensionnement des installations solaires génèrent des surcoûts évitables, rendant cette technologie inaccessible à une large partie des populations qui en ont le plus besoin.</w:t>
      </w:r>
    </w:p>
    <w:p w14:paraId="70B1E3A9">
      <w:pPr>
        <w:jc w:val="both"/>
        <w:rPr>
          <w:rFonts w:ascii="Times New Roman" w:hAnsi="Times New Roman" w:cs="Times New Roman"/>
          <w:sz w:val="24"/>
          <w:szCs w:val="24"/>
        </w:rPr>
      </w:pPr>
      <w:r>
        <w:rPr>
          <w:rFonts w:ascii="Times New Roman" w:hAnsi="Times New Roman" w:cs="Times New Roman"/>
          <w:sz w:val="24"/>
          <w:szCs w:val="24"/>
        </w:rPr>
        <w:t>Cette section analyse successivement la dynamique du marché solaire mondial et africain, le problème technique du surdimensionnement qui freine l'adoption du solaire, et enfin le cadre réglementaire favorable qui soutient le développement des énergies renouvelables.</w:t>
      </w:r>
    </w:p>
    <w:p w14:paraId="303E9B43">
      <w:pPr>
        <w:jc w:val="both"/>
        <w:rPr>
          <w:rFonts w:ascii="Times New Roman" w:hAnsi="Times New Roman" w:cs="Times New Roman"/>
          <w:sz w:val="24"/>
          <w:szCs w:val="24"/>
        </w:rPr>
      </w:pPr>
    </w:p>
    <w:p w14:paraId="6CD71787">
      <w:pPr>
        <w:pStyle w:val="36"/>
        <w:numPr>
          <w:ilvl w:val="0"/>
          <w:numId w:val="3"/>
        </w:numPr>
        <w:jc w:val="both"/>
        <w:rPr>
          <w:rFonts w:ascii="Times New Roman" w:hAnsi="Times New Roman" w:cs="Times New Roman"/>
          <w:b/>
          <w:sz w:val="24"/>
          <w:szCs w:val="24"/>
        </w:rPr>
      </w:pPr>
      <w:r>
        <w:rPr>
          <w:rFonts w:ascii="Times New Roman" w:hAnsi="Times New Roman" w:cs="Times New Roman"/>
          <w:b/>
          <w:sz w:val="24"/>
          <w:szCs w:val="24"/>
        </w:rPr>
        <w:t>Un marché solaire en forte croissance</w:t>
      </w:r>
    </w:p>
    <w:p w14:paraId="12AE8D1B">
      <w:pPr>
        <w:jc w:val="both"/>
        <w:rPr>
          <w:rFonts w:ascii="Times New Roman" w:hAnsi="Times New Roman" w:cs="Times New Roman"/>
          <w:sz w:val="24"/>
          <w:szCs w:val="24"/>
        </w:rPr>
      </w:pPr>
      <w:r>
        <w:rPr>
          <w:rFonts w:ascii="Times New Roman" w:hAnsi="Times New Roman" w:cs="Times New Roman"/>
          <w:sz w:val="24"/>
          <w:szCs w:val="24"/>
        </w:rPr>
        <w:t>Le solaire photovoltaïque connaît une croissance soutenue à l'échelle mondiale. En 2024, la capacité installée a dépassé 1 500 GW, avec une croissance annuelle de 25%. Cette dynamique concerne également les marchés émergents : Afrique, Asie du Sud-Est, Moyen-Orient et Amérique Latine.</w:t>
      </w:r>
    </w:p>
    <w:p w14:paraId="4D681069">
      <w:pPr>
        <w:jc w:val="both"/>
        <w:rPr>
          <w:rFonts w:ascii="Times New Roman" w:hAnsi="Times New Roman" w:cs="Times New Roman"/>
          <w:sz w:val="24"/>
          <w:szCs w:val="24"/>
        </w:rPr>
      </w:pPr>
      <w:r>
        <w:rPr>
          <w:rFonts w:ascii="Times New Roman" w:hAnsi="Times New Roman" w:cs="Times New Roman"/>
          <w:sz w:val="24"/>
          <w:szCs w:val="24"/>
        </w:rPr>
        <w:t>L'Afrique concentre un déficit énergétique majeur. Selon la Banque Mondiale, 620 millions de personnes n'auront toujours pas accès à l'électricité d'ici 2030. La consommation d'électricité par habitant y atteint seulement 180 kWh, contre 6 500 kWh en Europe.</w:t>
      </w:r>
    </w:p>
    <w:p w14:paraId="2C4A708D">
      <w:pPr>
        <w:jc w:val="both"/>
        <w:rPr>
          <w:rFonts w:ascii="Times New Roman" w:hAnsi="Times New Roman" w:cs="Times New Roman"/>
          <w:sz w:val="24"/>
          <w:szCs w:val="24"/>
        </w:rPr>
      </w:pPr>
      <w:r>
        <w:rPr>
          <w:rFonts w:ascii="Times New Roman" w:hAnsi="Times New Roman" w:cs="Times New Roman"/>
          <w:sz w:val="24"/>
          <w:szCs w:val="24"/>
        </w:rPr>
        <w:t>Cette situation crée une opportunité : le solaire décentralisé (systèmes autonomes hors réseau) y progresse de 20% par an. L'IRENA projette que les énergies renouvelables représenteront 67% de la production d'électricité africaine d'ici 2030.</w:t>
      </w:r>
    </w:p>
    <w:p w14:paraId="3ECC93FC">
      <w:pPr>
        <w:jc w:val="both"/>
        <w:rPr>
          <w:rFonts w:ascii="Times New Roman" w:hAnsi="Times New Roman" w:cs="Times New Roman"/>
          <w:sz w:val="24"/>
          <w:szCs w:val="24"/>
        </w:rPr>
      </w:pPr>
      <w:r>
        <w:rPr>
          <w:rFonts w:ascii="Times New Roman" w:hAnsi="Times New Roman" w:cs="Times New Roman"/>
          <w:b/>
          <w:bCs/>
          <w:sz w:val="24"/>
          <w:szCs w:val="24"/>
        </w:rPr>
        <w:t>L'électrification de l'Afrique subsaharienne : un enjeu stratégique</w:t>
      </w:r>
    </w:p>
    <w:p w14:paraId="4955FE51">
      <w:pPr>
        <w:jc w:val="both"/>
        <w:rPr>
          <w:rFonts w:ascii="Times New Roman" w:hAnsi="Times New Roman" w:cs="Times New Roman"/>
          <w:sz w:val="24"/>
          <w:szCs w:val="24"/>
        </w:rPr>
      </w:pPr>
      <w:r>
        <w:rPr>
          <w:rFonts w:ascii="Times New Roman" w:hAnsi="Times New Roman" w:cs="Times New Roman"/>
          <w:sz w:val="24"/>
          <w:szCs w:val="24"/>
        </w:rPr>
        <w:t>L'électrification de l'Afrique subsaharienne est indispensable pour créer les 20 millions d'emplois nécessaires chaque année pour absorber l'accroissement démographique de la région, qui devrait compter 2,1 milliards d'habitants en 2050, contre environ 1,1 milliard aujourd'hui. Le manque d'accès à des services énergétiques modernes freine le développement économique et social.</w:t>
      </w:r>
    </w:p>
    <w:p w14:paraId="030A461E">
      <w:pPr>
        <w:jc w:val="both"/>
        <w:rPr>
          <w:rFonts w:ascii="Times New Roman" w:hAnsi="Times New Roman" w:cs="Times New Roman"/>
          <w:sz w:val="24"/>
          <w:szCs w:val="24"/>
        </w:rPr>
      </w:pPr>
      <w:r>
        <w:rPr>
          <w:rFonts w:ascii="Times New Roman" w:hAnsi="Times New Roman" w:cs="Times New Roman"/>
          <w:sz w:val="24"/>
          <w:szCs w:val="24"/>
        </w:rPr>
        <w:t>En 2018, les capacités installées dans toute l'Afrique subsaharienne (hors Afrique du Sud) s'élevaient à environ 50 GW, soit près de trois fois moins que la France pour vingt fois plus d'habitants. L'Afrique, malgré son fort potentiel solaire, accuse un retard dans l'exploitation de cette ressource, faute d'investissements adaptés et d'outils de conception performants.</w:t>
      </w:r>
    </w:p>
    <w:p w14:paraId="2CCAADBC">
      <w:pPr>
        <w:jc w:val="both"/>
        <w:rPr>
          <w:rFonts w:ascii="Times New Roman" w:hAnsi="Times New Roman" w:cs="Times New Roman"/>
          <w:sz w:val="24"/>
          <w:szCs w:val="24"/>
        </w:rPr>
      </w:pPr>
      <w:r>
        <w:rPr>
          <w:rFonts w:ascii="Times New Roman" w:hAnsi="Times New Roman" w:cs="Times New Roman"/>
          <w:sz w:val="24"/>
          <w:szCs w:val="24"/>
        </w:rPr>
        <w:t>Des progrès notables sont observés : l'Afrique a connu une croissance de plus de 1,8 GW de nouvelles installations solaires ces dernières années, avec des pays pionniers comme l'Égypte, l'Afrique du Sud, le Kenya, la Namibie et le Ghana. Les annonces de projets se succèdent au Cameroun, au Burundi, au Rwanda, au Zimbabwe, au Mali et au Togo, portés par des plans stratégiques nationaux et des programmes d'aide au financement.</w:t>
      </w:r>
    </w:p>
    <w:p w14:paraId="6FCF1259">
      <w:pPr>
        <w:jc w:val="both"/>
        <w:rPr>
          <w:rFonts w:ascii="Times New Roman" w:hAnsi="Times New Roman" w:cs="Times New Roman"/>
          <w:sz w:val="24"/>
          <w:szCs w:val="24"/>
        </w:rPr>
      </w:pPr>
    </w:p>
    <w:p w14:paraId="084DAAA4">
      <w:pPr>
        <w:pStyle w:val="36"/>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Un problème technique majeur : le surdimensionnement des systèmes solaires</w:t>
      </w:r>
    </w:p>
    <w:p w14:paraId="26980589">
      <w:pPr>
        <w:jc w:val="both"/>
        <w:rPr>
          <w:rFonts w:ascii="Times New Roman" w:hAnsi="Times New Roman" w:cs="Times New Roman"/>
          <w:sz w:val="24"/>
          <w:szCs w:val="24"/>
        </w:rPr>
      </w:pPr>
      <w:r>
        <w:rPr>
          <w:rFonts w:ascii="Times New Roman" w:hAnsi="Times New Roman" w:cs="Times New Roman"/>
          <w:sz w:val="24"/>
          <w:szCs w:val="24"/>
        </w:rPr>
        <w:t>Il est bien reconnu que l'accessibilité économique des systèmes solaires reste un défi. Les méthodes et logiciels de dimensionnement actuellement utilisés présentent des limites structurelles qui conduisent systématiquement au surdimensionnement des installations, en particulier du parc de batteries.</w:t>
      </w:r>
    </w:p>
    <w:p w14:paraId="61BF9F58">
      <w:pPr>
        <w:jc w:val="both"/>
        <w:rPr>
          <w:rFonts w:ascii="Times New Roman" w:hAnsi="Times New Roman" w:cs="Times New Roman"/>
          <w:sz w:val="24"/>
          <w:szCs w:val="24"/>
        </w:rPr>
      </w:pPr>
      <w:r>
        <w:rPr>
          <w:rFonts w:ascii="Times New Roman" w:hAnsi="Times New Roman" w:cs="Times New Roman"/>
          <w:sz w:val="24"/>
          <w:szCs w:val="24"/>
        </w:rPr>
        <w:t xml:space="preserve">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_Ref218542676 \h  \* MERGEFORMAT </w:instrText>
      </w:r>
      <w:r>
        <w:rPr>
          <w:rFonts w:ascii="Times New Roman" w:hAnsi="Times New Roman" w:cs="Times New Roman"/>
          <w:sz w:val="24"/>
          <w:szCs w:val="24"/>
        </w:rPr>
        <w:fldChar w:fldCharType="separate"/>
      </w:r>
      <w:r>
        <w:rPr>
          <w:rFonts w:ascii="Times New Roman" w:hAnsi="Times New Roman" w:cs="Times New Roman"/>
          <w:i/>
          <w:iCs/>
          <w:sz w:val="24"/>
          <w:szCs w:val="24"/>
        </w:rPr>
        <w:t xml:space="preserve">Tableau </w:t>
      </w:r>
      <w:r>
        <w:rPr>
          <w:rFonts w:ascii="Times New Roman" w:hAnsi="Times New Roman" w:cs="Times New Roman"/>
          <w:sz w:val="24"/>
          <w:szCs w:val="24"/>
        </w:rPr>
        <w:fldChar w:fldCharType="end"/>
      </w:r>
      <w:r>
        <w:rPr>
          <w:rFonts w:ascii="Times New Roman" w:hAnsi="Times New Roman" w:cs="Times New Roman"/>
          <w:sz w:val="24"/>
          <w:szCs w:val="24"/>
        </w:rPr>
        <w:t>2 ci-dessous illustre les trois principales limites des méthodes intuitives classiques.</w:t>
      </w:r>
    </w:p>
    <w:tbl>
      <w:tblPr>
        <w:tblStyle w:val="47"/>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398"/>
        <w:gridCol w:w="3116"/>
        <w:gridCol w:w="2548"/>
      </w:tblGrid>
      <w:tr w14:paraId="6C537E2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39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0F50CACA">
            <w:pPr>
              <w:spacing w:after="160" w:line="259" w:lineRule="auto"/>
              <w:jc w:val="both"/>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Limite identifiée</w:t>
            </w:r>
          </w:p>
        </w:tc>
        <w:tc>
          <w:tcPr>
            <w:tcW w:w="311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980565D">
            <w:pPr>
              <w:spacing w:after="160" w:line="259" w:lineRule="auto"/>
              <w:jc w:val="both"/>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Conséquence technique</w:t>
            </w:r>
          </w:p>
        </w:tc>
        <w:tc>
          <w:tcPr>
            <w:tcW w:w="2548"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3B7E035B">
            <w:pPr>
              <w:spacing w:after="160" w:line="259" w:lineRule="auto"/>
              <w:jc w:val="both"/>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Impact économique</w:t>
            </w:r>
          </w:p>
        </w:tc>
      </w:tr>
      <w:tr w14:paraId="2E9D9E7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39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A1C15BB">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Autonomie fixée à 2 jours ou plus</w:t>
            </w:r>
          </w:p>
        </w:tc>
        <w:tc>
          <w:tcPr>
            <w:tcW w:w="311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27A862C">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Surdimensionnement du parc de batteries</w:t>
            </w:r>
          </w:p>
        </w:tc>
        <w:tc>
          <w:tcPr>
            <w:tcW w:w="254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179F44B">
            <w:pPr>
              <w:spacing w:after="160" w:line="259" w:lineRule="auto"/>
              <w:jc w:val="both"/>
              <w:rPr>
                <w:rFonts w:ascii="Times New Roman" w:hAnsi="Times New Roman" w:cs="Times New Roman"/>
                <w:sz w:val="24"/>
                <w:szCs w:val="24"/>
                <w:lang w:val="en-GB"/>
              </w:rPr>
            </w:pPr>
            <w:r>
              <w:rPr>
                <w:rFonts w:ascii="Times New Roman" w:hAnsi="Times New Roman" w:cs="Times New Roman"/>
                <w:sz w:val="24"/>
                <w:szCs w:val="24"/>
                <w:lang w:val="en-GB"/>
              </w:rPr>
              <w:t>Coût d'investissement élevé</w:t>
            </w:r>
          </w:p>
        </w:tc>
      </w:tr>
      <w:tr w14:paraId="33A874B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39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FD51511">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Besoins énergétiques totaux pris en compte pour le stockage</w:t>
            </w:r>
          </w:p>
        </w:tc>
        <w:tc>
          <w:tcPr>
            <w:tcW w:w="311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C962536">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Surdimensionnement du parc de batteries</w:t>
            </w:r>
          </w:p>
        </w:tc>
        <w:tc>
          <w:tcPr>
            <w:tcW w:w="254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71E6229">
            <w:pPr>
              <w:spacing w:after="160" w:line="259" w:lineRule="auto"/>
              <w:jc w:val="both"/>
              <w:rPr>
                <w:rFonts w:ascii="Times New Roman" w:hAnsi="Times New Roman" w:cs="Times New Roman"/>
                <w:sz w:val="24"/>
                <w:szCs w:val="24"/>
                <w:lang w:val="en-GB"/>
              </w:rPr>
            </w:pPr>
            <w:r>
              <w:rPr>
                <w:rFonts w:ascii="Times New Roman" w:hAnsi="Times New Roman" w:cs="Times New Roman"/>
                <w:sz w:val="24"/>
                <w:szCs w:val="24"/>
                <w:lang w:val="en-GB"/>
              </w:rPr>
              <w:t>Coût d'investissement élevé</w:t>
            </w:r>
          </w:p>
        </w:tc>
      </w:tr>
      <w:tr w14:paraId="43B7FBB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39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091942C">
            <w:pPr>
              <w:spacing w:after="160" w:line="259" w:lineRule="auto"/>
              <w:jc w:val="both"/>
              <w:rPr>
                <w:rFonts w:ascii="Times New Roman" w:hAnsi="Times New Roman" w:cs="Times New Roman"/>
                <w:b/>
                <w:bCs/>
                <w:sz w:val="24"/>
                <w:szCs w:val="24"/>
              </w:rPr>
            </w:pPr>
            <w:r>
              <w:rPr>
                <w:rFonts w:ascii="Times New Roman" w:hAnsi="Times New Roman" w:cs="Times New Roman"/>
                <w:b/>
                <w:bCs/>
                <w:sz w:val="24"/>
                <w:szCs w:val="24"/>
              </w:rPr>
              <w:t>Dimensionnement identique pour régulateurs MPPT et PWM</w:t>
            </w:r>
          </w:p>
        </w:tc>
        <w:tc>
          <w:tcPr>
            <w:tcW w:w="311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BEE4F13">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Incapacité du système à satisfaire les besoins</w:t>
            </w:r>
          </w:p>
        </w:tc>
        <w:tc>
          <w:tcPr>
            <w:tcW w:w="254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05C65BF">
            <w:pPr>
              <w:spacing w:after="160" w:line="259" w:lineRule="auto"/>
              <w:jc w:val="both"/>
              <w:rPr>
                <w:rFonts w:ascii="Times New Roman" w:hAnsi="Times New Roman" w:cs="Times New Roman"/>
                <w:sz w:val="24"/>
                <w:szCs w:val="24"/>
                <w:lang w:val="en-GB"/>
              </w:rPr>
            </w:pPr>
            <w:r>
              <w:rPr>
                <w:rFonts w:ascii="Times New Roman" w:hAnsi="Times New Roman" w:cs="Times New Roman"/>
                <w:sz w:val="24"/>
                <w:szCs w:val="24"/>
                <w:lang w:val="en-GB"/>
              </w:rPr>
              <w:t>Insatisfaction du client</w:t>
            </w:r>
          </w:p>
        </w:tc>
      </w:tr>
    </w:tbl>
    <w:p w14:paraId="043FB50F">
      <w:pPr>
        <w:jc w:val="both"/>
        <w:rPr>
          <w:rFonts w:ascii="Times New Roman" w:hAnsi="Times New Roman" w:cs="Times New Roman"/>
          <w:sz w:val="24"/>
          <w:szCs w:val="24"/>
        </w:rPr>
      </w:pPr>
      <w:bookmarkStart w:id="0" w:name="_Ref218542676"/>
      <w:r>
        <w:rPr>
          <w:rFonts w:ascii="Times New Roman" w:hAnsi="Times New Roman" w:cs="Times New Roman"/>
          <w:b/>
          <w:bCs/>
          <w:i/>
          <w:iCs/>
          <w:sz w:val="24"/>
          <w:szCs w:val="24"/>
          <w:u w:val="single"/>
        </w:rPr>
        <w:t xml:space="preserve">Tableau </w:t>
      </w:r>
      <w:bookmarkEnd w:id="0"/>
      <w:r>
        <w:rPr>
          <w:rFonts w:ascii="Times New Roman" w:hAnsi="Times New Roman" w:cs="Times New Roman"/>
          <w:b/>
          <w:bCs/>
          <w:i/>
          <w:iCs/>
          <w:sz w:val="24"/>
          <w:szCs w:val="24"/>
          <w:u w:val="single"/>
        </w:rPr>
        <w:t>2 :</w:t>
      </w:r>
      <w:r>
        <w:rPr>
          <w:rFonts w:ascii="Times New Roman" w:hAnsi="Times New Roman" w:cs="Times New Roman"/>
          <w:i/>
          <w:iCs/>
          <w:sz w:val="24"/>
          <w:szCs w:val="24"/>
        </w:rPr>
        <w:t xml:space="preserve"> Limites des méthodes intuitives de dimensionnement</w:t>
      </w:r>
    </w:p>
    <w:p w14:paraId="1B11A850">
      <w:pPr>
        <w:jc w:val="both"/>
        <w:rPr>
          <w:rFonts w:ascii="Times New Roman" w:hAnsi="Times New Roman" w:cs="Times New Roman"/>
          <w:sz w:val="24"/>
          <w:szCs w:val="24"/>
        </w:rPr>
      </w:pPr>
      <w:r>
        <w:rPr>
          <w:rFonts w:ascii="Times New Roman" w:hAnsi="Times New Roman" w:cs="Times New Roman"/>
          <w:sz w:val="24"/>
          <w:szCs w:val="24"/>
        </w:rPr>
        <w:t>Ces limites génèrent des surcoûts évitables pour des populations déjà confrontées à des contraintes financières importantes. C'est pour résoudre ces problèmes que KYA-Energy Group a développé la méthode KEG et le logiciel KYA-SolDesign.</w:t>
      </w:r>
    </w:p>
    <w:p w14:paraId="0F72D0D1">
      <w:pPr>
        <w:jc w:val="both"/>
        <w:rPr>
          <w:rFonts w:ascii="Times New Roman" w:hAnsi="Times New Roman" w:cs="Times New Roman"/>
          <w:sz w:val="24"/>
          <w:szCs w:val="24"/>
        </w:rPr>
      </w:pPr>
    </w:p>
    <w:p w14:paraId="42C1ADE7">
      <w:pPr>
        <w:pStyle w:val="36"/>
        <w:numPr>
          <w:ilvl w:val="0"/>
          <w:numId w:val="3"/>
        </w:numPr>
        <w:jc w:val="both"/>
        <w:rPr>
          <w:rFonts w:ascii="Times New Roman" w:hAnsi="Times New Roman" w:cs="Times New Roman"/>
          <w:b/>
          <w:sz w:val="24"/>
          <w:szCs w:val="24"/>
        </w:rPr>
      </w:pPr>
      <w:r>
        <w:rPr>
          <w:rFonts w:ascii="Times New Roman" w:hAnsi="Times New Roman" w:cs="Times New Roman"/>
          <w:b/>
          <w:sz w:val="24"/>
          <w:szCs w:val="24"/>
        </w:rPr>
        <w:t>Un cadre réglementaire favorable</w:t>
      </w:r>
    </w:p>
    <w:p w14:paraId="1B3957CE">
      <w:pPr>
        <w:jc w:val="both"/>
        <w:rPr>
          <w:rFonts w:ascii="Times New Roman" w:hAnsi="Times New Roman" w:cs="Times New Roman"/>
          <w:sz w:val="24"/>
          <w:szCs w:val="24"/>
        </w:rPr>
      </w:pPr>
      <w:r>
        <w:rPr>
          <w:rFonts w:ascii="Times New Roman" w:hAnsi="Times New Roman" w:cs="Times New Roman"/>
          <w:sz w:val="24"/>
          <w:szCs w:val="24"/>
        </w:rPr>
        <w:t>Le développement des énergies renouvelables bénéficie d'un cadre juridique solide à plusieurs niveaux, créant un environnement propice au déploiement de solutions innovantes comme KYA-SolDesign.</w:t>
      </w:r>
    </w:p>
    <w:p w14:paraId="01EA27FF">
      <w:pPr>
        <w:jc w:val="both"/>
        <w:rPr>
          <w:rFonts w:ascii="Times New Roman" w:hAnsi="Times New Roman" w:cs="Times New Roman"/>
          <w:sz w:val="24"/>
          <w:szCs w:val="24"/>
        </w:rPr>
      </w:pPr>
      <w:r>
        <w:rPr>
          <w:rFonts w:ascii="Times New Roman" w:hAnsi="Times New Roman" w:cs="Times New Roman"/>
          <w:b/>
          <w:bCs/>
          <w:sz w:val="24"/>
          <w:szCs w:val="24"/>
        </w:rPr>
        <w:t>Au niveau international</w:t>
      </w:r>
    </w:p>
    <w:p w14:paraId="0F0D10EB">
      <w:pPr>
        <w:jc w:val="both"/>
        <w:rPr>
          <w:rFonts w:ascii="Times New Roman" w:hAnsi="Times New Roman" w:cs="Times New Roman"/>
          <w:sz w:val="24"/>
          <w:szCs w:val="24"/>
        </w:rPr>
      </w:pPr>
      <w:r>
        <w:rPr>
          <w:rFonts w:ascii="Times New Roman" w:hAnsi="Times New Roman" w:cs="Times New Roman"/>
          <w:sz w:val="24"/>
          <w:szCs w:val="24"/>
        </w:rPr>
        <w:t>L'Objectif de Développement Durable 7 (ODD 7), adopté par les 193 États membres des Nations Unies en 2015, vise à garantir l'accès de tous à des services énergétiques fiables, durables et modernes, à un coût abordable. Il cible notamment l'accroissement de la part des énergies renouvelables dans le bouquet énergétique mondial d'ici 2030. Les statuts de l'Agence Internationale pour les Énergies Renouvelables (IRENA), adoptés en 2009 et ratifiés par le Togo en juin 2009, encouragent l'adoption généralisée de toutes les formes d'énergies renouvelables.</w:t>
      </w:r>
    </w:p>
    <w:p w14:paraId="7B8747FB">
      <w:pPr>
        <w:jc w:val="both"/>
        <w:rPr>
          <w:rFonts w:ascii="Times New Roman" w:hAnsi="Times New Roman" w:cs="Times New Roman"/>
          <w:sz w:val="24"/>
          <w:szCs w:val="24"/>
        </w:rPr>
      </w:pPr>
    </w:p>
    <w:p w14:paraId="034ED275">
      <w:pPr>
        <w:jc w:val="both"/>
        <w:rPr>
          <w:rFonts w:ascii="Times New Roman" w:hAnsi="Times New Roman" w:cs="Times New Roman"/>
          <w:sz w:val="24"/>
          <w:szCs w:val="24"/>
        </w:rPr>
      </w:pPr>
      <w:r>
        <w:rPr>
          <w:rFonts w:ascii="Times New Roman" w:hAnsi="Times New Roman" w:cs="Times New Roman"/>
          <w:b/>
          <w:bCs/>
          <w:sz w:val="24"/>
          <w:szCs w:val="24"/>
        </w:rPr>
        <w:t>Au niveau régional (CEDEAO et UEMOA)</w:t>
      </w:r>
    </w:p>
    <w:p w14:paraId="01EC76C6">
      <w:pPr>
        <w:jc w:val="both"/>
        <w:rPr>
          <w:rFonts w:ascii="Times New Roman" w:hAnsi="Times New Roman" w:cs="Times New Roman"/>
          <w:sz w:val="24"/>
          <w:szCs w:val="24"/>
        </w:rPr>
      </w:pPr>
      <w:r>
        <w:rPr>
          <w:rFonts w:ascii="Times New Roman" w:hAnsi="Times New Roman" w:cs="Times New Roman"/>
          <w:sz w:val="24"/>
          <w:szCs w:val="24"/>
        </w:rPr>
        <w:t>Le Protocole sur l'Énergie de la CEDEAO, adopté à Dakar en 2003, fournit un cadre juridique pour promouvoir l'investissement dans le secteur énergétique. Il fixe parmi ses objectifs l'amélioration de l'efficacité énergétique et le développement des sources d'énergie renouvelable. Le Centre pour les Énergies Renouvelables et l'Efficacité Énergétique de la CEDEAO (ECREEE) soutient activement la certification des professionnels et l'établissement de normes pour les produits solaires.</w:t>
      </w:r>
    </w:p>
    <w:p w14:paraId="67953A1C">
      <w:pPr>
        <w:jc w:val="both"/>
        <w:rPr>
          <w:rFonts w:ascii="Times New Roman" w:hAnsi="Times New Roman" w:cs="Times New Roman"/>
          <w:sz w:val="24"/>
          <w:szCs w:val="24"/>
        </w:rPr>
      </w:pPr>
      <w:r>
        <w:rPr>
          <w:rFonts w:ascii="Times New Roman" w:hAnsi="Times New Roman" w:cs="Times New Roman"/>
          <w:sz w:val="24"/>
          <w:szCs w:val="24"/>
        </w:rPr>
        <w:t>L'UEMOA s'est dotée en 2001 d'une Politique Énergétique Commune (PEC) avec pour objectifs la promotion des énergies renouvelables, l'efficacité énergétique et la préservation de l'environnement.</w:t>
      </w:r>
    </w:p>
    <w:p w14:paraId="62E32D24">
      <w:pPr>
        <w:jc w:val="both"/>
        <w:rPr>
          <w:rFonts w:ascii="Times New Roman" w:hAnsi="Times New Roman" w:cs="Times New Roman"/>
          <w:sz w:val="24"/>
          <w:szCs w:val="24"/>
        </w:rPr>
      </w:pPr>
      <w:r>
        <w:rPr>
          <w:rFonts w:ascii="Times New Roman" w:hAnsi="Times New Roman" w:cs="Times New Roman"/>
          <w:b/>
          <w:bCs/>
          <w:sz w:val="24"/>
          <w:szCs w:val="24"/>
        </w:rPr>
        <w:t>Au niveau national (Togo)</w:t>
      </w:r>
    </w:p>
    <w:p w14:paraId="4047A2A2">
      <w:pPr>
        <w:jc w:val="both"/>
        <w:rPr>
          <w:rFonts w:ascii="Times New Roman" w:hAnsi="Times New Roman" w:cs="Times New Roman"/>
          <w:sz w:val="24"/>
          <w:szCs w:val="24"/>
        </w:rPr>
      </w:pPr>
      <w:r>
        <w:rPr>
          <w:rFonts w:ascii="Times New Roman" w:hAnsi="Times New Roman" w:cs="Times New Roman"/>
          <w:sz w:val="24"/>
          <w:szCs w:val="24"/>
        </w:rPr>
        <w:t>Le cadre législatif togolais s'est considérablement renforcé ces dernières années :</w:t>
      </w:r>
    </w:p>
    <w:p w14:paraId="1736F18D">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Loi n°2018-010</w:t>
      </w:r>
      <w:r>
        <w:rPr>
          <w:rFonts w:ascii="Times New Roman" w:hAnsi="Times New Roman" w:cs="Times New Roman"/>
          <w:sz w:val="24"/>
          <w:szCs w:val="24"/>
        </w:rPr>
        <w:t> relative à la promotion de la production d'électricité à base des sources d'énergies renouvelables, qui définit le cadre juridique des projets de production d'électricité renouvelable.</w:t>
      </w:r>
    </w:p>
    <w:p w14:paraId="31DD79C0">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Décret présidentiel n°2016-064</w:t>
      </w:r>
      <w:r>
        <w:rPr>
          <w:rFonts w:ascii="Times New Roman" w:hAnsi="Times New Roman" w:cs="Times New Roman"/>
          <w:sz w:val="24"/>
          <w:szCs w:val="24"/>
        </w:rPr>
        <w:t> portant création de l'Agence Togolaise d'Électrification Rurale et des Énergies Renouvelables (AT2ER), chargée de la mise en œuvre de la politique d'électrification rurale.</w:t>
      </w:r>
    </w:p>
    <w:p w14:paraId="18949830">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Arrêté interministériel n°058/MME/MEF/2019</w:t>
      </w:r>
      <w:r>
        <w:rPr>
          <w:rFonts w:ascii="Times New Roman" w:hAnsi="Times New Roman" w:cs="Times New Roman"/>
          <w:sz w:val="24"/>
          <w:szCs w:val="24"/>
        </w:rPr>
        <w:t> fixant les modalités de délivrance de l'agrément pour l'importation de matériels et équipements de production d'électricité renouvelable.</w:t>
      </w:r>
    </w:p>
    <w:p w14:paraId="179F3053">
      <w:pPr>
        <w:jc w:val="both"/>
        <w:rPr>
          <w:rFonts w:ascii="Times New Roman" w:hAnsi="Times New Roman" w:cs="Times New Roman"/>
          <w:sz w:val="24"/>
          <w:szCs w:val="24"/>
        </w:rPr>
      </w:pPr>
      <w:r>
        <w:rPr>
          <w:rFonts w:ascii="Times New Roman" w:hAnsi="Times New Roman" w:cs="Times New Roman"/>
          <w:sz w:val="24"/>
          <w:szCs w:val="24"/>
        </w:rPr>
        <w:t>Ce cadre réglementaire structuré, combiné aux incitations fiscales pour les équipements solaires, crée un environnement favorable à l'adoption d'outils de dimensionnement professionnels comme KYA-SolDesign.</w:t>
      </w:r>
    </w:p>
    <w:p w14:paraId="510D8D2F">
      <w:pPr>
        <w:jc w:val="both"/>
        <w:rPr>
          <w:rFonts w:ascii="Times New Roman" w:hAnsi="Times New Roman" w:cs="Times New Roman"/>
          <w:sz w:val="24"/>
          <w:szCs w:val="24"/>
        </w:rPr>
      </w:pPr>
      <w:r>
        <w:rPr>
          <w:rFonts w:ascii="Times New Roman" w:hAnsi="Times New Roman" w:cs="Times New Roman"/>
          <w:sz w:val="24"/>
          <w:szCs w:val="24"/>
        </w:rPr>
        <w:t>Ces éléments contextuels posés, la section suivante précise les objectifs que le projet entend atteindre.</w:t>
      </w:r>
    </w:p>
    <w:p w14:paraId="6398C214">
      <w:pPr>
        <w:rPr>
          <w:rFonts w:ascii="Times New Roman" w:hAnsi="Times New Roman" w:cs="Times New Roman"/>
          <w:sz w:val="24"/>
          <w:szCs w:val="24"/>
        </w:rPr>
      </w:pPr>
    </w:p>
    <w:p w14:paraId="765A5E6A">
      <w:pPr>
        <w:pStyle w:val="36"/>
        <w:numPr>
          <w:ilvl w:val="0"/>
          <w:numId w:val="2"/>
        </w:numPr>
        <w:rPr>
          <w:rFonts w:ascii="Times New Roman" w:hAnsi="Times New Roman" w:cs="Times New Roman"/>
          <w:b/>
          <w:bCs/>
          <w:sz w:val="24"/>
          <w:szCs w:val="24"/>
        </w:rPr>
      </w:pPr>
      <w:r>
        <w:rPr>
          <w:rFonts w:ascii="Times New Roman" w:hAnsi="Times New Roman" w:cs="Times New Roman"/>
          <w:b/>
          <w:bCs/>
          <w:sz w:val="24"/>
          <w:szCs w:val="24"/>
        </w:rPr>
        <w:t>Objectifs</w:t>
      </w:r>
    </w:p>
    <w:p w14:paraId="0D1A07F0">
      <w:pPr>
        <w:jc w:val="both"/>
        <w:rPr>
          <w:rFonts w:ascii="Times New Roman" w:hAnsi="Times New Roman" w:cs="Times New Roman"/>
          <w:sz w:val="24"/>
          <w:szCs w:val="24"/>
        </w:rPr>
      </w:pPr>
      <w:r>
        <w:rPr>
          <w:rFonts w:ascii="Times New Roman" w:hAnsi="Times New Roman" w:cs="Times New Roman"/>
          <w:sz w:val="24"/>
          <w:szCs w:val="24"/>
        </w:rPr>
        <w:t>L’objectif du projet est de démocratiser l’accès à l’énergie solaire fiable et abordable en Afrique, en dotant les acteurs locaux d’un logiciel de dimensionnement simple, performant et accessible. Notre logiciel KYA-SolDesign permet de réduire significativement le coût des installations (30 à 50%) tout en garantissant la qualité et la sécurité des systèmes.</w:t>
      </w:r>
    </w:p>
    <w:p w14:paraId="3AAF354A">
      <w:pPr>
        <w:jc w:val="both"/>
        <w:rPr>
          <w:rFonts w:ascii="Times New Roman" w:hAnsi="Times New Roman" w:cs="Times New Roman"/>
          <w:sz w:val="24"/>
          <w:szCs w:val="24"/>
        </w:rPr>
      </w:pPr>
      <w:r>
        <w:rPr>
          <w:rFonts w:ascii="Times New Roman" w:hAnsi="Times New Roman" w:cs="Times New Roman"/>
          <w:sz w:val="24"/>
          <w:szCs w:val="24"/>
        </w:rPr>
        <w:t>À l’horizon 2030, le projet ambitionne de former et d’équiper un large réseau de professionnels et d’institutions, avec pour cibles : plus de 2 300 clients payants, 143 millions F CFA de chiffre d’affaires annuel, et un impact durable sur l’autonomie énergétique et la réduction des émissions de CO₂ en Afrique.</w:t>
      </w:r>
    </w:p>
    <w:p w14:paraId="2F2CCFD3">
      <w:pPr>
        <w:rPr>
          <w:rFonts w:ascii="Times New Roman" w:hAnsi="Times New Roman" w:cs="Times New Roman"/>
          <w:b/>
          <w:bCs/>
          <w:sz w:val="24"/>
          <w:szCs w:val="24"/>
        </w:rPr>
      </w:pPr>
    </w:p>
    <w:p w14:paraId="569C420E">
      <w:pPr>
        <w:rPr>
          <w:rFonts w:ascii="Times New Roman" w:hAnsi="Times New Roman" w:cs="Times New Roman"/>
          <w:b/>
          <w:bCs/>
          <w:sz w:val="24"/>
          <w:szCs w:val="24"/>
        </w:rPr>
      </w:pPr>
    </w:p>
    <w:p w14:paraId="6CEF724E">
      <w:pPr>
        <w:pStyle w:val="36"/>
        <w:rPr>
          <w:rFonts w:ascii="Times New Roman" w:hAnsi="Times New Roman" w:cs="Times New Roman"/>
          <w:b/>
          <w:bCs/>
          <w:sz w:val="24"/>
          <w:szCs w:val="24"/>
        </w:rPr>
      </w:pPr>
    </w:p>
    <w:p w14:paraId="319C1872">
      <w:pPr>
        <w:pStyle w:val="36"/>
        <w:numPr>
          <w:ilvl w:val="0"/>
          <w:numId w:val="2"/>
        </w:numPr>
        <w:rPr>
          <w:rFonts w:ascii="Times New Roman" w:hAnsi="Times New Roman" w:cs="Times New Roman"/>
          <w:b/>
          <w:bCs/>
          <w:sz w:val="24"/>
          <w:szCs w:val="24"/>
        </w:rPr>
      </w:pPr>
      <w:r>
        <w:rPr>
          <w:rFonts w:ascii="Times New Roman" w:hAnsi="Times New Roman" w:cs="Times New Roman"/>
          <w:b/>
          <w:bCs/>
          <w:sz w:val="24"/>
          <w:szCs w:val="24"/>
        </w:rPr>
        <w:t>Description du projet</w:t>
      </w:r>
    </w:p>
    <w:p w14:paraId="39516AFE">
      <w:pPr>
        <w:jc w:val="both"/>
        <w:rPr>
          <w:rFonts w:ascii="Times New Roman" w:hAnsi="Times New Roman" w:cs="Times New Roman"/>
          <w:sz w:val="24"/>
          <w:szCs w:val="24"/>
        </w:rPr>
      </w:pPr>
      <w:r>
        <w:rPr>
          <w:rFonts w:ascii="Times New Roman" w:hAnsi="Times New Roman" w:cs="Times New Roman"/>
          <w:sz w:val="24"/>
          <w:szCs w:val="24"/>
        </w:rPr>
        <w:t>KYA-SolDesign est un logiciel de dimensionnement et de simulation des systèmes solaires photovoltaïques, développé par KYA-Energy Laboratory. Près de 300 professionnels du solaire ont déjà utilisé les versions précédentes depuis 2020, fournissant des retours précieux qui ont permis de perfectionner l'outil.</w:t>
      </w:r>
    </w:p>
    <w:p w14:paraId="03825304">
      <w:pPr>
        <w:jc w:val="both"/>
        <w:rPr>
          <w:rFonts w:ascii="Times New Roman" w:hAnsi="Times New Roman" w:cs="Times New Roman"/>
          <w:sz w:val="24"/>
          <w:szCs w:val="24"/>
        </w:rPr>
      </w:pPr>
      <w:r>
        <w:rPr>
          <w:rFonts w:ascii="Times New Roman" w:hAnsi="Times New Roman" w:cs="Times New Roman"/>
          <w:sz w:val="24"/>
          <w:szCs w:val="24"/>
        </w:rPr>
        <w:t>La nouvelle version 2026 représente une refonte complète : interface repensée, algorithmes optimisés, nouvelles fonctionnalités et modèle de licence flexible. Elle repose sur la méthode KEG, une méthode intuitive améliorée développée par l'équipe R&amp;D de KYA-Energy Group, qui élimine les limites des approches classiques.</w:t>
      </w:r>
    </w:p>
    <w:p w14:paraId="39B77188">
      <w:pPr>
        <w:jc w:val="both"/>
        <w:rPr>
          <w:rFonts w:ascii="Times New Roman" w:hAnsi="Times New Roman" w:cs="Times New Roman"/>
          <w:sz w:val="24"/>
          <w:szCs w:val="24"/>
        </w:rPr>
      </w:pPr>
      <w:r>
        <w:rPr>
          <w:rFonts w:ascii="Times New Roman" w:hAnsi="Times New Roman" w:cs="Times New Roman"/>
          <w:sz w:val="24"/>
          <w:szCs w:val="24"/>
        </w:rPr>
        <w:t>Les points forts de la méthode KEG sont les suivants :</w:t>
      </w:r>
    </w:p>
    <w:p w14:paraId="4D8B4745">
      <w:pPr>
        <w:numPr>
          <w:ilvl w:val="0"/>
          <w:numId w:val="5"/>
        </w:numPr>
        <w:jc w:val="both"/>
        <w:rPr>
          <w:rFonts w:ascii="Times New Roman" w:hAnsi="Times New Roman" w:cs="Times New Roman"/>
          <w:sz w:val="24"/>
          <w:szCs w:val="24"/>
        </w:rPr>
      </w:pPr>
      <w:r>
        <w:rPr>
          <w:rFonts w:ascii="Times New Roman" w:hAnsi="Times New Roman" w:cs="Times New Roman"/>
          <w:sz w:val="24"/>
          <w:szCs w:val="24"/>
        </w:rPr>
        <w:t>Utilisation des profils de charge et répartition en deux groupes (charges inductives et classiques), permettant une meilleure évaluation des besoins énergétiques ;</w:t>
      </w:r>
    </w:p>
    <w:p w14:paraId="733A0C3D">
      <w:pPr>
        <w:numPr>
          <w:ilvl w:val="0"/>
          <w:numId w:val="5"/>
        </w:numPr>
        <w:jc w:val="both"/>
        <w:rPr>
          <w:rFonts w:ascii="Times New Roman" w:hAnsi="Times New Roman" w:cs="Times New Roman"/>
          <w:sz w:val="24"/>
          <w:szCs w:val="24"/>
        </w:rPr>
      </w:pPr>
      <w:r>
        <w:rPr>
          <w:rFonts w:ascii="Times New Roman" w:hAnsi="Times New Roman" w:cs="Times New Roman"/>
          <w:sz w:val="24"/>
          <w:szCs w:val="24"/>
        </w:rPr>
        <w:t>Distinction entre stockage de gestion et stockage de production, conduisant à un dimensionnement optimisé du parc de batteries, au regard de la fiabilité technique et de l’accessibilité économique de ces systèmes ;</w:t>
      </w:r>
    </w:p>
    <w:p w14:paraId="14F468C3">
      <w:pPr>
        <w:numPr>
          <w:ilvl w:val="0"/>
          <w:numId w:val="5"/>
        </w:numPr>
        <w:jc w:val="both"/>
        <w:rPr>
          <w:rFonts w:ascii="Times New Roman" w:hAnsi="Times New Roman" w:cs="Times New Roman"/>
          <w:sz w:val="24"/>
          <w:szCs w:val="24"/>
        </w:rPr>
      </w:pPr>
      <w:r>
        <w:rPr>
          <w:rFonts w:ascii="Times New Roman" w:hAnsi="Times New Roman" w:cs="Times New Roman"/>
          <w:sz w:val="24"/>
          <w:szCs w:val="24"/>
        </w:rPr>
        <w:t>Différenciation entre régulateurs MPPT et PWM, améliorant la fiabilité des systèmes ;</w:t>
      </w:r>
    </w:p>
    <w:p w14:paraId="7F63CA31">
      <w:pPr>
        <w:numPr>
          <w:ilvl w:val="0"/>
          <w:numId w:val="6"/>
        </w:numPr>
        <w:jc w:val="both"/>
        <w:rPr>
          <w:rFonts w:ascii="Times New Roman" w:hAnsi="Times New Roman" w:cs="Times New Roman"/>
          <w:sz w:val="24"/>
          <w:szCs w:val="24"/>
        </w:rPr>
      </w:pPr>
      <w:r>
        <w:rPr>
          <w:rFonts w:ascii="Times New Roman" w:hAnsi="Times New Roman" w:cs="Times New Roman"/>
          <w:sz w:val="24"/>
          <w:szCs w:val="24"/>
        </w:rPr>
        <w:t>Optimisation multicritère basée sur le LCOA (qui évalue la rentabilité face au réseau et au groupe électrogène), la LPSP (Probabilité de manque d'énergie) et la LOLP (Probabilité de perte de charge).</w:t>
      </w:r>
    </w:p>
    <w:p w14:paraId="5CFCB5B2">
      <w:pPr>
        <w:jc w:val="both"/>
        <w:rPr>
          <w:rFonts w:ascii="Times New Roman" w:hAnsi="Times New Roman" w:cs="Times New Roman"/>
          <w:b/>
          <w:bCs/>
          <w:sz w:val="24"/>
          <w:szCs w:val="24"/>
        </w:rPr>
      </w:pPr>
      <w:r>
        <w:rPr>
          <w:rFonts w:ascii="Times New Roman" w:hAnsi="Times New Roman" w:cs="Times New Roman"/>
          <w:b/>
          <w:bCs/>
          <w:sz w:val="24"/>
          <w:szCs w:val="24"/>
        </w:rPr>
        <w:t>Analyse concurrentielle</w:t>
      </w:r>
    </w:p>
    <w:p w14:paraId="65D34421">
      <w:pPr>
        <w:jc w:val="both"/>
        <w:rPr>
          <w:rFonts w:ascii="Times New Roman" w:hAnsi="Times New Roman" w:cs="Times New Roman"/>
          <w:sz w:val="24"/>
          <w:szCs w:val="24"/>
        </w:rPr>
      </w:pPr>
      <w:r>
        <w:rPr>
          <w:rFonts w:ascii="Times New Roman" w:hAnsi="Times New Roman" w:cs="Times New Roman"/>
          <w:sz w:val="24"/>
          <w:szCs w:val="24"/>
        </w:rPr>
        <w:t>Dans le domaine du solaire photovoltaïque, plusieurs logiciels de dimensionnement existent sur le marché. Les principaux concurrents sont :</w:t>
      </w:r>
    </w:p>
    <w:p w14:paraId="757D268A">
      <w:pPr>
        <w:pStyle w:val="36"/>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PVSyst 7 :</w:t>
      </w:r>
      <w:r>
        <w:rPr>
          <w:rFonts w:ascii="Times New Roman" w:hAnsi="Times New Roman" w:cs="Times New Roman"/>
          <w:sz w:val="24"/>
          <w:szCs w:val="24"/>
        </w:rPr>
        <w:t xml:space="preserve"> C'est la référence mondiale pour les rapports bancaires, mais son coût (env. 640 €/an) et sa complexité (des centaines de paramètres) le rendent inaccessible pour de nombreux installateurs locaux. Son module "Off-grid" est moins intuitif et fiable que sa partie réseau.</w:t>
      </w:r>
    </w:p>
    <w:p w14:paraId="41FA8D8E">
      <w:pPr>
        <w:pStyle w:val="36"/>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Homer Pro :</w:t>
      </w:r>
      <w:r>
        <w:rPr>
          <w:rFonts w:ascii="Times New Roman" w:hAnsi="Times New Roman" w:cs="Times New Roman"/>
          <w:sz w:val="24"/>
          <w:szCs w:val="24"/>
        </w:rPr>
        <w:t xml:space="preserve"> C'est l'outil roi des micro-réseaux hybrides complexes. Il est très puissant mais très cher (souvent entre 500 et 1000 $ par an) et nécessite une expertise solide en modélisation énergétique.</w:t>
      </w:r>
    </w:p>
    <w:p w14:paraId="61F0BA68">
      <w:pPr>
        <w:pStyle w:val="36"/>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PV*SOL :</w:t>
      </w:r>
      <w:r>
        <w:rPr>
          <w:rFonts w:ascii="Times New Roman" w:hAnsi="Times New Roman" w:cs="Times New Roman"/>
          <w:sz w:val="24"/>
          <w:szCs w:val="24"/>
        </w:rPr>
        <w:t xml:space="preserve"> C'est un excellent logiciel allemand, mais il est très optimisé pour les toitures européennes (modélisation 3D, autoconsommation avec injection réseau). Il ignore souvent les contraintes spécifiques du matériel ou des batteries que l'on trouve couramment sur les marchés africains non raccordés.</w:t>
      </w:r>
    </w:p>
    <w:p w14:paraId="6B2C20A3">
      <w:pPr>
        <w:jc w:val="both"/>
        <w:rPr>
          <w:rFonts w:ascii="Times New Roman" w:hAnsi="Times New Roman" w:cs="Times New Roman"/>
          <w:sz w:val="24"/>
          <w:szCs w:val="24"/>
        </w:rPr>
      </w:pPr>
      <w:r>
        <w:rPr>
          <w:rFonts w:ascii="Times New Roman" w:hAnsi="Times New Roman" w:cs="Times New Roman"/>
          <w:sz w:val="24"/>
          <w:szCs w:val="24"/>
        </w:rPr>
        <w:t>KYA-SolDesign se différencie par son approche pragmatique adaptée au marché africain : interface simplifiée, prix accessibles via mobile money, et fonctionnalités spécifiques (factures proforma, dimensionnement des câbles et protections). La méthode KEG propose un meilleur compromis entre fiabilité technique et accessibilité économique pour les systèmes autonomes.</w:t>
      </w:r>
    </w:p>
    <w:p w14:paraId="6EC42FA6">
      <w:pPr>
        <w:rPr>
          <w:rFonts w:ascii="Times New Roman" w:hAnsi="Times New Roman" w:cs="Times New Roman"/>
          <w:sz w:val="24"/>
          <w:szCs w:val="24"/>
        </w:rPr>
      </w:pPr>
      <w:r>
        <w:rPr>
          <w:rFonts w:ascii="Times New Roman" w:hAnsi="Times New Roman" w:cs="Times New Roman"/>
          <w:sz w:val="24"/>
          <w:szCs w:val="24"/>
        </w:rPr>
        <w:t>Le tableau 3 ci-dessous compare les fonctionnalités de KYA-SolDesign avec celles des principaux concurrents.</w:t>
      </w:r>
    </w:p>
    <w:tbl>
      <w:tblPr>
        <w:tblStyle w:val="47"/>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5217"/>
        <w:gridCol w:w="1241"/>
        <w:gridCol w:w="1418"/>
        <w:gridCol w:w="1412"/>
      </w:tblGrid>
      <w:tr w14:paraId="1F2E2BC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764E544">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Fonctionnalité</w:t>
            </w:r>
          </w:p>
        </w:tc>
        <w:tc>
          <w:tcPr>
            <w:tcW w:w="124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4BC6C8B">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PVSyst 7</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B9D00A9">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Homer Pro</w:t>
            </w:r>
          </w:p>
        </w:tc>
        <w:tc>
          <w:tcPr>
            <w:tcW w:w="141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12F5073">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KYA-SolDesign</w:t>
            </w:r>
          </w:p>
        </w:tc>
      </w:tr>
      <w:tr w14:paraId="7EDA3EA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951A577">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Dimensionnement système PV autonome « All in one »</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C45A6F6">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723184F">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86892F3">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r w14:paraId="12EE780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5A3813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Dimensionnement des éléments de protection</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CA0D2F4">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0C9A86C">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34ED92D">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r w14:paraId="5AF2E76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18074D2">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Dimensionnement des sections de câbles</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80E7DEC">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F019435">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A9FAE69">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r w14:paraId="080C5C6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3A464F6">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Impression des rapports</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4C20596">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25D2BA0">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B5F74B0">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r w14:paraId="12BE35E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D42AF4B">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Impression de facture proforma</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24BA716">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B55E4D7">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938CA84">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r w14:paraId="1445645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6275DE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Prise en compte du rendement des récepteurs</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F4A1F1D">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9987E37">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A2EE64A">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r w14:paraId="38E4233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5277E6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Prise en compte de la puissance de démarrage</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729079E">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C15F5D8">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18510DA">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r w14:paraId="3AAB7D8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32781F2">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Paiement par mobile money (pay-as-you-go)</w:t>
            </w:r>
          </w:p>
        </w:tc>
        <w:tc>
          <w:tcPr>
            <w:tcW w:w="124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DB0E4A6">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8"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64095F0">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Non</w:t>
            </w:r>
          </w:p>
        </w:tc>
        <w:tc>
          <w:tcPr>
            <w:tcW w:w="141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6C4E5AA">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Oui</w:t>
            </w:r>
          </w:p>
        </w:tc>
      </w:tr>
    </w:tbl>
    <w:p w14:paraId="5FFC7F69">
      <w:pPr>
        <w:rPr>
          <w:rFonts w:ascii="Times New Roman" w:hAnsi="Times New Roman" w:cs="Times New Roman"/>
          <w:b/>
          <w:bCs/>
          <w:sz w:val="24"/>
          <w:szCs w:val="24"/>
        </w:rPr>
      </w:pPr>
      <w:r>
        <w:rPr>
          <w:rFonts w:ascii="Times New Roman" w:hAnsi="Times New Roman" w:cs="Times New Roman"/>
          <w:b/>
          <w:bCs/>
          <w:sz w:val="24"/>
          <w:szCs w:val="24"/>
          <w:u w:val="single"/>
        </w:rPr>
        <w:t>Tableau 3 :</w:t>
      </w:r>
      <w:r>
        <w:rPr>
          <w:rFonts w:ascii="Times New Roman" w:hAnsi="Times New Roman" w:cs="Times New Roman"/>
          <w:b/>
          <w:bCs/>
          <w:sz w:val="24"/>
          <w:szCs w:val="24"/>
        </w:rPr>
        <w:t xml:space="preserve"> Comparaison des fonctionnalités des logiciels de dimensionnement</w:t>
      </w:r>
    </w:p>
    <w:p w14:paraId="74B0BC47">
      <w:pPr>
        <w:jc w:val="both"/>
        <w:rPr>
          <w:rFonts w:ascii="Times New Roman" w:hAnsi="Times New Roman" w:cs="Times New Roman"/>
          <w:sz w:val="24"/>
          <w:szCs w:val="24"/>
        </w:rPr>
      </w:pPr>
      <w:r>
        <w:rPr>
          <w:rFonts w:ascii="Times New Roman" w:hAnsi="Times New Roman" w:cs="Times New Roman"/>
          <w:sz w:val="24"/>
          <w:szCs w:val="24"/>
        </w:rPr>
        <w:t>Ce tableau présente quelques différences fonctionnelles sommaires entre KYA-SolDesign et les logiciels de référence du marché. KYA-SolDesign intègre des fonctionnalités spécifiques au marché africain : paiement via mobile money, génération de factures proforma, et dimensionnement complet incluant câbles et protections.</w:t>
      </w:r>
    </w:p>
    <w:p w14:paraId="13FC5651">
      <w:pPr>
        <w:rPr>
          <w:rFonts w:ascii="Times New Roman" w:hAnsi="Times New Roman" w:cs="Times New Roman"/>
          <w:b/>
          <w:bCs/>
          <w:sz w:val="24"/>
          <w:szCs w:val="24"/>
        </w:rPr>
      </w:pPr>
      <w:r>
        <w:rPr>
          <w:rFonts w:ascii="Times New Roman" w:hAnsi="Times New Roman" w:cs="Times New Roman"/>
          <w:b/>
          <w:bCs/>
          <w:sz w:val="24"/>
          <w:szCs w:val="24"/>
        </w:rPr>
        <w:br w:type="page"/>
      </w:r>
    </w:p>
    <w:p w14:paraId="7BA3AACC">
      <w:pPr>
        <w:pStyle w:val="36"/>
        <w:numPr>
          <w:ilvl w:val="0"/>
          <w:numId w:val="8"/>
        </w:numPr>
        <w:rPr>
          <w:rFonts w:ascii="Times New Roman" w:hAnsi="Times New Roman" w:cs="Times New Roman"/>
          <w:b/>
          <w:bCs/>
          <w:sz w:val="24"/>
          <w:szCs w:val="24"/>
        </w:rPr>
      </w:pPr>
      <w:r>
        <w:rPr>
          <w:rFonts w:ascii="Times New Roman" w:hAnsi="Times New Roman" w:cs="Times New Roman"/>
          <w:b/>
          <w:bCs/>
          <w:sz w:val="24"/>
          <w:szCs w:val="24"/>
        </w:rPr>
        <w:t>Plan de mise en œuvre</w:t>
      </w:r>
    </w:p>
    <w:p w14:paraId="341AB0C8">
      <w:pPr>
        <w:rPr>
          <w:rFonts w:ascii="Times New Roman" w:hAnsi="Times New Roman" w:cs="Times New Roman"/>
          <w:sz w:val="24"/>
          <w:szCs w:val="24"/>
        </w:rPr>
      </w:pPr>
      <w:r>
        <w:rPr>
          <w:rFonts w:ascii="Times New Roman" w:hAnsi="Times New Roman" w:cs="Times New Roman"/>
          <w:sz w:val="24"/>
          <w:szCs w:val="24"/>
        </w:rPr>
        <w:t>Le déploiement du projet s'articule autour de trois phases stratégiques visant une montée en puissance progressive de la base d'utilisateurs.</w:t>
      </w:r>
    </w:p>
    <w:p w14:paraId="7EFCAFE9">
      <w:pPr>
        <w:rPr>
          <w:rFonts w:ascii="Times New Roman" w:hAnsi="Times New Roman" w:cs="Times New Roman"/>
          <w:sz w:val="24"/>
          <w:szCs w:val="24"/>
        </w:rPr>
      </w:pPr>
      <w:r>
        <w:rPr>
          <w:rFonts w:ascii="Times New Roman" w:hAnsi="Times New Roman" w:cs="Times New Roman"/>
          <w:b/>
          <w:bCs/>
          <w:sz w:val="24"/>
          <w:szCs w:val="24"/>
        </w:rPr>
        <w:t>Phase 1 (Février - Avril 2026) : Préparation et lancement</w:t>
      </w:r>
    </w:p>
    <w:p w14:paraId="5541B6BA">
      <w:pPr>
        <w:pStyle w:val="36"/>
        <w:numPr>
          <w:ilvl w:val="0"/>
          <w:numId w:val="9"/>
        </w:numPr>
        <w:rPr>
          <w:rFonts w:ascii="Times New Roman" w:hAnsi="Times New Roman" w:cs="Times New Roman"/>
          <w:sz w:val="24"/>
          <w:szCs w:val="24"/>
        </w:rPr>
      </w:pPr>
      <w:r>
        <w:rPr>
          <w:rFonts w:ascii="Times New Roman" w:hAnsi="Times New Roman" w:cs="Times New Roman"/>
          <w:b/>
          <w:bCs/>
          <w:sz w:val="24"/>
          <w:szCs w:val="24"/>
        </w:rPr>
        <w:t>Février 2026</w:t>
      </w:r>
      <w:r>
        <w:rPr>
          <w:rFonts w:ascii="Times New Roman" w:hAnsi="Times New Roman" w:cs="Times New Roman"/>
          <w:sz w:val="24"/>
          <w:szCs w:val="24"/>
        </w:rPr>
        <w:t> : Finalisation de la nouvelle version, tests de robustesse et documentation technique.</w:t>
      </w:r>
    </w:p>
    <w:p w14:paraId="696B70DA">
      <w:pPr>
        <w:pStyle w:val="36"/>
        <w:numPr>
          <w:ilvl w:val="0"/>
          <w:numId w:val="9"/>
        </w:numPr>
        <w:rPr>
          <w:rFonts w:ascii="Times New Roman" w:hAnsi="Times New Roman" w:cs="Times New Roman"/>
          <w:sz w:val="24"/>
          <w:szCs w:val="24"/>
        </w:rPr>
      </w:pPr>
      <w:r>
        <w:rPr>
          <w:rFonts w:ascii="Times New Roman" w:hAnsi="Times New Roman" w:cs="Times New Roman"/>
          <w:b/>
          <w:bCs/>
          <w:sz w:val="24"/>
          <w:szCs w:val="24"/>
        </w:rPr>
        <w:t>Mars 2026</w:t>
      </w:r>
      <w:r>
        <w:rPr>
          <w:rFonts w:ascii="Times New Roman" w:hAnsi="Times New Roman" w:cs="Times New Roman"/>
          <w:sz w:val="24"/>
          <w:szCs w:val="24"/>
        </w:rPr>
        <w:t> : Lancement de la campagne de marketing automatisé (SEO, réseaux sociaux, webinaires de démonstration).</w:t>
      </w:r>
    </w:p>
    <w:p w14:paraId="59D54D89">
      <w:pPr>
        <w:pStyle w:val="36"/>
        <w:numPr>
          <w:ilvl w:val="0"/>
          <w:numId w:val="10"/>
        </w:numPr>
        <w:rPr>
          <w:rFonts w:ascii="Times New Roman" w:hAnsi="Times New Roman" w:cs="Times New Roman"/>
          <w:sz w:val="24"/>
          <w:szCs w:val="24"/>
        </w:rPr>
      </w:pPr>
      <w:r>
        <w:rPr>
          <w:rFonts w:ascii="Times New Roman" w:hAnsi="Times New Roman" w:cs="Times New Roman"/>
          <w:b/>
          <w:bCs/>
          <w:sz w:val="24"/>
          <w:szCs w:val="24"/>
        </w:rPr>
        <w:t>Avril 2026</w:t>
      </w:r>
      <w:r>
        <w:rPr>
          <w:rFonts w:ascii="Times New Roman" w:hAnsi="Times New Roman" w:cs="Times New Roman"/>
          <w:sz w:val="24"/>
          <w:szCs w:val="24"/>
        </w:rPr>
        <w:t> : Signature de partenariats pilotes avec 2 institutions de référence (Togo) pour l'intégration pédagogique du logiciel.</w:t>
      </w:r>
    </w:p>
    <w:p w14:paraId="778806DE">
      <w:pPr>
        <w:pStyle w:val="36"/>
        <w:rPr>
          <w:rFonts w:ascii="Times New Roman" w:hAnsi="Times New Roman" w:cs="Times New Roman"/>
          <w:sz w:val="24"/>
          <w:szCs w:val="24"/>
        </w:rPr>
      </w:pPr>
    </w:p>
    <w:p w14:paraId="610B182F">
      <w:pPr>
        <w:rPr>
          <w:rFonts w:ascii="Times New Roman" w:hAnsi="Times New Roman" w:cs="Times New Roman"/>
          <w:b/>
          <w:bCs/>
          <w:sz w:val="24"/>
          <w:szCs w:val="24"/>
        </w:rPr>
      </w:pPr>
      <w:r>
        <w:rPr>
          <w:rFonts w:ascii="Times New Roman" w:hAnsi="Times New Roman" w:cs="Times New Roman"/>
          <w:b/>
          <w:bCs/>
          <w:sz w:val="24"/>
          <w:szCs w:val="24"/>
        </w:rPr>
        <w:t>Phase 2 (Mai - Décembre 2026) : Acquisition et conversion</w:t>
      </w:r>
    </w:p>
    <w:p w14:paraId="3F99059F">
      <w:pPr>
        <w:rPr>
          <w:rFonts w:ascii="Times New Roman" w:hAnsi="Times New Roman" w:cs="Times New Roman"/>
          <w:sz w:val="24"/>
          <w:szCs w:val="24"/>
        </w:rPr>
      </w:pPr>
      <w:r>
        <w:rPr>
          <w:rFonts w:ascii="Times New Roman" w:hAnsi="Times New Roman" w:cs="Times New Roman"/>
          <w:b/>
          <w:bCs/>
          <w:sz w:val="24"/>
          <w:szCs w:val="24"/>
        </w:rPr>
        <w:t>Objectif Phase 2</w:t>
      </w:r>
      <w:r>
        <w:rPr>
          <w:rFonts w:ascii="Times New Roman" w:hAnsi="Times New Roman" w:cs="Times New Roman"/>
          <w:sz w:val="24"/>
          <w:szCs w:val="24"/>
        </w:rPr>
        <w:t> : 1 000 inscriptions sur le modèle Freemium.</w:t>
      </w:r>
    </w:p>
    <w:p w14:paraId="01ABBF16">
      <w:pPr>
        <w:pStyle w:val="36"/>
        <w:numPr>
          <w:ilvl w:val="0"/>
          <w:numId w:val="11"/>
        </w:numPr>
        <w:rPr>
          <w:rFonts w:ascii="Times New Roman" w:hAnsi="Times New Roman" w:cs="Times New Roman"/>
          <w:sz w:val="24"/>
          <w:szCs w:val="24"/>
        </w:rPr>
      </w:pPr>
      <w:r>
        <w:rPr>
          <w:rFonts w:ascii="Times New Roman" w:hAnsi="Times New Roman" w:cs="Times New Roman"/>
          <w:b/>
          <w:bCs/>
          <w:sz w:val="24"/>
          <w:szCs w:val="24"/>
        </w:rPr>
        <w:t>Mai-Juin 2026</w:t>
      </w:r>
      <w:r>
        <w:rPr>
          <w:rFonts w:ascii="Times New Roman" w:hAnsi="Times New Roman" w:cs="Times New Roman"/>
          <w:sz w:val="24"/>
          <w:szCs w:val="24"/>
        </w:rPr>
        <w:t> : Activation du tunnel de conversion (campagnes d'emailing ciblées et tutoriels vidéo d'études de cas réels).</w:t>
      </w:r>
    </w:p>
    <w:p w14:paraId="34CE53B5">
      <w:pPr>
        <w:pStyle w:val="36"/>
        <w:numPr>
          <w:ilvl w:val="0"/>
          <w:numId w:val="11"/>
        </w:numPr>
        <w:rPr>
          <w:rFonts w:ascii="Times New Roman" w:hAnsi="Times New Roman" w:cs="Times New Roman"/>
          <w:sz w:val="24"/>
          <w:szCs w:val="24"/>
        </w:rPr>
      </w:pPr>
      <w:r>
        <w:rPr>
          <w:rFonts w:ascii="Times New Roman" w:hAnsi="Times New Roman" w:cs="Times New Roman"/>
          <w:b/>
          <w:bCs/>
          <w:sz w:val="24"/>
          <w:szCs w:val="24"/>
        </w:rPr>
        <w:t>Septembre - Novembre 2026</w:t>
      </w:r>
      <w:r>
        <w:rPr>
          <w:rFonts w:ascii="Times New Roman" w:hAnsi="Times New Roman" w:cs="Times New Roman"/>
          <w:sz w:val="24"/>
          <w:szCs w:val="24"/>
        </w:rPr>
        <w:t> : Élargissement des partenariats académiques à 3 institutions supplémentaires dans la zone CEDEAO et intensification de la prospection digitale ciblée B2B.</w:t>
      </w:r>
    </w:p>
    <w:p w14:paraId="6A6E20BE">
      <w:pPr>
        <w:pStyle w:val="36"/>
        <w:numPr>
          <w:ilvl w:val="0"/>
          <w:numId w:val="11"/>
        </w:numPr>
        <w:rPr>
          <w:rFonts w:ascii="Times New Roman" w:hAnsi="Times New Roman" w:cs="Times New Roman"/>
          <w:sz w:val="24"/>
          <w:szCs w:val="24"/>
        </w:rPr>
      </w:pPr>
      <w:r>
        <w:rPr>
          <w:rFonts w:ascii="Times New Roman" w:hAnsi="Times New Roman" w:cs="Times New Roman"/>
          <w:b/>
          <w:bCs/>
          <w:sz w:val="24"/>
          <w:szCs w:val="24"/>
        </w:rPr>
        <w:t>Décembre 2026</w:t>
      </w:r>
      <w:r>
        <w:rPr>
          <w:rFonts w:ascii="Times New Roman" w:hAnsi="Times New Roman" w:cs="Times New Roman"/>
          <w:sz w:val="24"/>
          <w:szCs w:val="24"/>
        </w:rPr>
        <w:t> : Lancement du label de certification « KYA-SolDesign Certified » pour valoriser l'expertise des professionnels utilisant l'outil.</w:t>
      </w:r>
    </w:p>
    <w:p w14:paraId="1888A6DF">
      <w:pPr>
        <w:pStyle w:val="36"/>
        <w:rPr>
          <w:rFonts w:ascii="Times New Roman" w:hAnsi="Times New Roman" w:cs="Times New Roman"/>
          <w:sz w:val="24"/>
          <w:szCs w:val="24"/>
        </w:rPr>
      </w:pPr>
    </w:p>
    <w:p w14:paraId="5DC3A84B">
      <w:pPr>
        <w:rPr>
          <w:rFonts w:ascii="Times New Roman" w:hAnsi="Times New Roman" w:cs="Times New Roman"/>
          <w:b/>
          <w:bCs/>
          <w:sz w:val="24"/>
          <w:szCs w:val="24"/>
          <w:lang w:val="en-GB"/>
        </w:rPr>
      </w:pPr>
      <w:r>
        <w:rPr>
          <w:rFonts w:ascii="Times New Roman" w:hAnsi="Times New Roman" w:cs="Times New Roman"/>
          <w:b/>
          <w:bCs/>
          <w:sz w:val="24"/>
          <w:szCs w:val="24"/>
          <w:lang w:val="en-GB"/>
        </w:rPr>
        <w:t>Phase 3 (Années 2027 - 2030): Expansion et leadership continental</w:t>
      </w:r>
    </w:p>
    <w:p w14:paraId="7BBE54A3">
      <w:pPr>
        <w:rPr>
          <w:rFonts w:ascii="Times New Roman" w:hAnsi="Times New Roman" w:cs="Times New Roman"/>
          <w:sz w:val="24"/>
          <w:szCs w:val="24"/>
        </w:rPr>
      </w:pPr>
      <w:r>
        <w:rPr>
          <w:rFonts w:ascii="Times New Roman" w:hAnsi="Times New Roman" w:cs="Times New Roman"/>
          <w:b/>
          <w:bCs/>
          <w:sz w:val="24"/>
          <w:szCs w:val="24"/>
        </w:rPr>
        <w:t xml:space="preserve">Objectif Phase 3 </w:t>
      </w:r>
      <w:r>
        <w:rPr>
          <w:rFonts w:ascii="Times New Roman" w:hAnsi="Times New Roman" w:cs="Times New Roman"/>
          <w:sz w:val="24"/>
          <w:szCs w:val="24"/>
        </w:rPr>
        <w:t>: 130 clients payants actifs.</w:t>
      </w:r>
    </w:p>
    <w:p w14:paraId="361C3B69">
      <w:pPr>
        <w:pStyle w:val="36"/>
        <w:numPr>
          <w:ilvl w:val="0"/>
          <w:numId w:val="12"/>
        </w:numPr>
        <w:rPr>
          <w:rFonts w:ascii="Times New Roman" w:hAnsi="Times New Roman" w:cs="Times New Roman"/>
          <w:sz w:val="24"/>
          <w:szCs w:val="24"/>
        </w:rPr>
      </w:pPr>
      <w:r>
        <w:rPr>
          <w:rFonts w:ascii="Times New Roman" w:hAnsi="Times New Roman" w:cs="Times New Roman"/>
          <w:b/>
          <w:bCs/>
          <w:sz w:val="24"/>
          <w:szCs w:val="24"/>
        </w:rPr>
        <w:t>2027</w:t>
      </w:r>
      <w:r>
        <w:rPr>
          <w:rFonts w:ascii="Times New Roman" w:hAnsi="Times New Roman" w:cs="Times New Roman"/>
          <w:sz w:val="24"/>
          <w:szCs w:val="24"/>
        </w:rPr>
        <w:t> : Consolidation des parts de marché en Afrique de l'Ouest et Centrale (marchés francophones) et déploiement du réseau de formateurs certifiés.</w:t>
      </w:r>
    </w:p>
    <w:p w14:paraId="741FEFC7">
      <w:pPr>
        <w:pStyle w:val="36"/>
        <w:numPr>
          <w:ilvl w:val="0"/>
          <w:numId w:val="12"/>
        </w:numPr>
        <w:rPr>
          <w:rFonts w:ascii="Times New Roman" w:hAnsi="Times New Roman" w:cs="Times New Roman"/>
          <w:sz w:val="24"/>
          <w:szCs w:val="24"/>
        </w:rPr>
      </w:pPr>
      <w:r>
        <w:rPr>
          <w:rFonts w:ascii="Times New Roman" w:hAnsi="Times New Roman" w:cs="Times New Roman"/>
          <w:b/>
          <w:bCs/>
          <w:sz w:val="24"/>
          <w:szCs w:val="24"/>
        </w:rPr>
        <w:t>2028</w:t>
      </w:r>
      <w:r>
        <w:rPr>
          <w:rFonts w:ascii="Times New Roman" w:hAnsi="Times New Roman" w:cs="Times New Roman"/>
          <w:sz w:val="24"/>
          <w:szCs w:val="24"/>
        </w:rPr>
        <w:t> : Expansion vers les marchés anglophones (Afrique de l'Est et Australe) avec une version multilingue optimisée.</w:t>
      </w:r>
    </w:p>
    <w:p w14:paraId="083E8DD2">
      <w:pPr>
        <w:pStyle w:val="36"/>
        <w:numPr>
          <w:ilvl w:val="0"/>
          <w:numId w:val="12"/>
        </w:numPr>
        <w:rPr>
          <w:rFonts w:ascii="Times New Roman" w:hAnsi="Times New Roman" w:cs="Times New Roman"/>
          <w:sz w:val="24"/>
          <w:szCs w:val="24"/>
        </w:rPr>
      </w:pPr>
      <w:r>
        <w:rPr>
          <w:rFonts w:ascii="Times New Roman" w:hAnsi="Times New Roman" w:cs="Times New Roman"/>
          <w:b/>
          <w:bCs/>
          <w:sz w:val="24"/>
          <w:szCs w:val="24"/>
        </w:rPr>
        <w:t>2030</w:t>
      </w:r>
      <w:r>
        <w:rPr>
          <w:rFonts w:ascii="Times New Roman" w:hAnsi="Times New Roman" w:cs="Times New Roman"/>
          <w:sz w:val="24"/>
          <w:szCs w:val="24"/>
        </w:rPr>
        <w:t> : Positionnement comme leader continental et référence académique pour le dimensionnement solaire en Afrique.</w:t>
      </w:r>
    </w:p>
    <w:p w14:paraId="490EDE98">
      <w:pPr>
        <w:pStyle w:val="36"/>
        <w:rPr>
          <w:rFonts w:ascii="Times New Roman" w:hAnsi="Times New Roman" w:cs="Times New Roman"/>
          <w:sz w:val="24"/>
          <w:szCs w:val="24"/>
        </w:rPr>
      </w:pPr>
    </w:p>
    <w:p w14:paraId="125CB86A">
      <w:pPr>
        <w:rPr>
          <w:rFonts w:ascii="Times New Roman" w:hAnsi="Times New Roman" w:cs="Times New Roman"/>
          <w:sz w:val="24"/>
          <w:szCs w:val="24"/>
        </w:rPr>
      </w:pPr>
      <w:r>
        <w:rPr>
          <w:rFonts w:ascii="Times New Roman" w:hAnsi="Times New Roman" w:cs="Times New Roman"/>
          <w:b/>
          <w:bCs/>
          <w:sz w:val="24"/>
          <w:szCs w:val="24"/>
        </w:rPr>
        <w:t xml:space="preserve">Objectif Phase 4 </w:t>
      </w:r>
      <w:r>
        <w:rPr>
          <w:rFonts w:ascii="Times New Roman" w:hAnsi="Times New Roman" w:cs="Times New Roman"/>
          <w:sz w:val="24"/>
          <w:szCs w:val="24"/>
        </w:rPr>
        <w:t>: 2 362 clients payants, CA = 143 millions F CFA.</w:t>
      </w:r>
    </w:p>
    <w:p w14:paraId="287218E6">
      <w:pPr>
        <w:rPr>
          <w:rFonts w:ascii="Times New Roman" w:hAnsi="Times New Roman" w:cs="Times New Roman"/>
          <w:sz w:val="24"/>
          <w:szCs w:val="24"/>
        </w:rPr>
      </w:pPr>
      <w:r>
        <w:rPr>
          <w:rFonts w:ascii="Times New Roman" w:hAnsi="Times New Roman" w:cs="Times New Roman"/>
          <w:sz w:val="24"/>
          <w:szCs w:val="24"/>
        </w:rPr>
        <w:t>De nouveaux modules seront ajoutés au logiciel tout au long des différentes phases.</w:t>
      </w:r>
    </w:p>
    <w:p w14:paraId="273213A8">
      <w:pPr>
        <w:rPr>
          <w:rFonts w:ascii="Times New Roman" w:hAnsi="Times New Roman" w:cs="Times New Roman"/>
          <w:sz w:val="24"/>
          <w:szCs w:val="24"/>
        </w:rPr>
      </w:pPr>
      <w:r>
        <w:rPr>
          <w:rFonts w:ascii="Times New Roman" w:hAnsi="Times New Roman" w:cs="Times New Roman"/>
          <w:sz w:val="24"/>
          <w:szCs w:val="24"/>
        </w:rPr>
        <w:br w:type="page"/>
      </w:r>
    </w:p>
    <w:p w14:paraId="2F154B76">
      <w:pPr>
        <w:pStyle w:val="36"/>
        <w:numPr>
          <w:ilvl w:val="0"/>
          <w:numId w:val="8"/>
        </w:numPr>
        <w:rPr>
          <w:rFonts w:ascii="Times New Roman" w:hAnsi="Times New Roman" w:cs="Times New Roman"/>
          <w:b/>
          <w:bCs/>
          <w:sz w:val="24"/>
          <w:szCs w:val="24"/>
        </w:rPr>
      </w:pPr>
      <w:r>
        <w:rPr>
          <w:rFonts w:ascii="Times New Roman" w:hAnsi="Times New Roman" w:cs="Times New Roman"/>
          <w:b/>
          <w:bCs/>
          <w:sz w:val="24"/>
          <w:szCs w:val="24"/>
        </w:rPr>
        <w:t>Partenaires et ressources</w:t>
      </w:r>
    </w:p>
    <w:p w14:paraId="4ECBD7B2">
      <w:pPr>
        <w:pStyle w:val="36"/>
        <w:numPr>
          <w:ilvl w:val="1"/>
          <w:numId w:val="13"/>
        </w:numPr>
        <w:spacing w:before="100" w:beforeAutospacing="1" w:after="100" w:afterAutospacing="1" w:line="240" w:lineRule="auto"/>
        <w:jc w:val="both"/>
        <w:outlineLvl w:val="1"/>
        <w:rPr>
          <w:rFonts w:ascii="Times New Roman" w:hAnsi="Times New Roman" w:eastAsia="Times New Roman" w:cs="Times New Roman"/>
          <w:b/>
          <w:bCs/>
          <w:color w:val="FF9933"/>
          <w:kern w:val="0"/>
          <w:sz w:val="24"/>
          <w:szCs w:val="24"/>
          <w14:ligatures w14:val="none"/>
        </w:rPr>
      </w:pPr>
      <w:r>
        <w:rPr>
          <w:rFonts w:ascii="Times New Roman" w:hAnsi="Times New Roman" w:eastAsia="Times New Roman" w:cs="Times New Roman"/>
          <w:b/>
          <w:bCs/>
          <w:color w:val="FF9933"/>
          <w:kern w:val="0"/>
          <w:sz w:val="24"/>
          <w:szCs w:val="24"/>
          <w14:ligatures w14:val="none"/>
        </w:rPr>
        <w:t>Ressources clés</w:t>
      </w:r>
    </w:p>
    <w:p w14:paraId="1CA21277">
      <w:pPr>
        <w:rPr>
          <w:rFonts w:ascii="Times New Roman" w:hAnsi="Times New Roman" w:cs="Times New Roman"/>
          <w:b/>
          <w:bCs/>
          <w:sz w:val="24"/>
          <w:szCs w:val="24"/>
        </w:rPr>
      </w:pPr>
      <w:r>
        <w:rPr>
          <w:rFonts w:ascii="Times New Roman" w:hAnsi="Times New Roman" w:cs="Times New Roman"/>
          <w:b/>
          <w:bCs/>
          <w:sz w:val="24"/>
          <w:szCs w:val="24"/>
        </w:rPr>
        <w:t>Le tableau 4 ci-dessous présente les ressources et les principaux partenaires mobilisés pour la réussite du projet.</w:t>
      </w:r>
    </w:p>
    <w:tbl>
      <w:tblPr>
        <w:tblStyle w:val="47"/>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803"/>
        <w:gridCol w:w="2004"/>
        <w:gridCol w:w="3205"/>
        <w:gridCol w:w="2050"/>
      </w:tblGrid>
      <w:tr w14:paraId="7F0360F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10AB31E1">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Catégorie</w:t>
            </w:r>
          </w:p>
        </w:tc>
        <w:tc>
          <w:tcPr>
            <w:tcW w:w="200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2A545A1">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Partenaires cibles / Écosystème</w:t>
            </w:r>
          </w:p>
        </w:tc>
        <w:tc>
          <w:tcPr>
            <w:tcW w:w="320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96CF080">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Rôle attendu</w:t>
            </w:r>
          </w:p>
        </w:tc>
        <w:tc>
          <w:tcPr>
            <w:tcW w:w="205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1353557D">
            <w:pPr>
              <w:spacing w:after="160" w:line="259" w:lineRule="auto"/>
              <w:rPr>
                <w:rFonts w:ascii="Times New Roman" w:hAnsi="Times New Roman" w:cs="Times New Roman"/>
                <w:b/>
                <w:bCs/>
                <w:color w:val="FFFFFF" w:themeColor="background1"/>
                <w:sz w:val="24"/>
                <w:szCs w:val="24"/>
                <w:lang w:val="en-GB"/>
                <w14:textFill>
                  <w14:solidFill>
                    <w14:schemeClr w14:val="bg1"/>
                  </w14:solidFill>
                </w14:textFill>
              </w:rPr>
            </w:pPr>
            <w:r>
              <w:rPr>
                <w:rFonts w:ascii="Times New Roman" w:hAnsi="Times New Roman" w:cs="Times New Roman"/>
                <w:b/>
                <w:bCs/>
                <w:color w:val="FFFFFF" w:themeColor="background1"/>
                <w:sz w:val="24"/>
                <w:szCs w:val="24"/>
                <w:lang w:val="en-GB"/>
                <w14:textFill>
                  <w14:solidFill>
                    <w14:schemeClr w14:val="bg1"/>
                  </w14:solidFill>
                </w14:textFill>
              </w:rPr>
              <w:t>Statut</w:t>
            </w:r>
          </w:p>
        </w:tc>
      </w:tr>
      <w:tr w14:paraId="530DD53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FABEBA7">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Développement</w:t>
            </w:r>
          </w:p>
        </w:tc>
        <w:tc>
          <w:tcPr>
            <w:tcW w:w="200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17C2C53">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KYA-Energy Laboratory</w:t>
            </w:r>
          </w:p>
        </w:tc>
        <w:tc>
          <w:tcPr>
            <w:tcW w:w="320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3BD5101">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Direction technique, R&amp;D et maintenance</w:t>
            </w:r>
          </w:p>
        </w:tc>
        <w:tc>
          <w:tcPr>
            <w:tcW w:w="20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0D97FF0">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Existant (Interne)</w:t>
            </w:r>
          </w:p>
        </w:tc>
      </w:tr>
      <w:tr w14:paraId="6810AFE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4BA175E">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Académique</w:t>
            </w:r>
          </w:p>
        </w:tc>
        <w:tc>
          <w:tcPr>
            <w:tcW w:w="200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21F5050">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Universités et Centres de formation technique</w:t>
            </w:r>
          </w:p>
        </w:tc>
        <w:tc>
          <w:tcPr>
            <w:tcW w:w="320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658B46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Intégration pédagogique et remontées utilisateurs</w:t>
            </w:r>
          </w:p>
        </w:tc>
        <w:tc>
          <w:tcPr>
            <w:tcW w:w="20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40D94C3">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À mobiliser</w:t>
            </w:r>
          </w:p>
        </w:tc>
      </w:tr>
      <w:tr w14:paraId="6A7A87E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33A29C5">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Institutionnel</w:t>
            </w:r>
          </w:p>
        </w:tc>
        <w:tc>
          <w:tcPr>
            <w:tcW w:w="200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96146BA">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Autorités de régulation (ex: AT2ER, ECREEE)</w:t>
            </w:r>
          </w:p>
        </w:tc>
        <w:tc>
          <w:tcPr>
            <w:tcW w:w="320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3E33772">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Accompagnement normatif et plaidoyer secteur</w:t>
            </w:r>
          </w:p>
        </w:tc>
        <w:tc>
          <w:tcPr>
            <w:tcW w:w="20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ED2DD24">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Écosystème de référence</w:t>
            </w:r>
          </w:p>
        </w:tc>
      </w:tr>
      <w:tr w14:paraId="679CC77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9BD140A">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Commercial</w:t>
            </w:r>
          </w:p>
        </w:tc>
        <w:tc>
          <w:tcPr>
            <w:tcW w:w="200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5B6C362">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Réseau de formateurs certifiés KYA</w:t>
            </w:r>
          </w:p>
        </w:tc>
        <w:tc>
          <w:tcPr>
            <w:tcW w:w="3205"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F727B44">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Déploiement local et support technique de proximité</w:t>
            </w:r>
          </w:p>
        </w:tc>
        <w:tc>
          <w:tcPr>
            <w:tcW w:w="2050"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5EFB26C">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En cours de constitution</w:t>
            </w:r>
          </w:p>
        </w:tc>
      </w:tr>
    </w:tbl>
    <w:p w14:paraId="22289D9E">
      <w:pPr>
        <w:rPr>
          <w:rFonts w:ascii="Times New Roman" w:hAnsi="Times New Roman" w:cs="Times New Roman"/>
          <w:b/>
          <w:bCs/>
          <w:sz w:val="24"/>
          <w:szCs w:val="24"/>
        </w:rPr>
      </w:pPr>
      <w:r>
        <w:rPr>
          <w:rFonts w:ascii="Times New Roman" w:hAnsi="Times New Roman" w:cs="Times New Roman"/>
          <w:b/>
          <w:bCs/>
          <w:sz w:val="24"/>
          <w:szCs w:val="24"/>
          <w:u w:val="single"/>
          <w:lang w:val="en-GB"/>
        </w:rPr>
        <w:t>Tableau 4:</w:t>
      </w:r>
      <w:r>
        <w:rPr>
          <w:rFonts w:ascii="Times New Roman" w:hAnsi="Times New Roman" w:cs="Times New Roman"/>
          <w:b/>
          <w:bCs/>
          <w:sz w:val="24"/>
          <w:szCs w:val="24"/>
          <w:lang w:val="en-GB"/>
        </w:rPr>
        <w:t xml:space="preserve"> Partenaires du projet</w:t>
      </w:r>
      <w:r>
        <w:rPr>
          <w:rFonts w:ascii="Times New Roman" w:hAnsi="Times New Roman" w:cs="Times New Roman"/>
          <w:b/>
          <w:bCs/>
          <w:sz w:val="24"/>
          <w:szCs w:val="24"/>
        </w:rPr>
        <w:t xml:space="preserve"> </w:t>
      </w:r>
    </w:p>
    <w:p w14:paraId="050FB00E">
      <w:pPr>
        <w:rPr>
          <w:rFonts w:ascii="Times New Roman" w:hAnsi="Times New Roman" w:cs="Times New Roman"/>
          <w:sz w:val="24"/>
          <w:szCs w:val="24"/>
        </w:rPr>
      </w:pPr>
      <w:r>
        <w:rPr>
          <w:rFonts w:ascii="Times New Roman" w:hAnsi="Times New Roman" w:cs="Times New Roman"/>
          <w:sz w:val="24"/>
          <w:szCs w:val="24"/>
        </w:rPr>
        <w:t>Ces partenariats assurent une couverture géographique solide et une légitimité institutionnelle.</w:t>
      </w:r>
    </w:p>
    <w:p w14:paraId="39AD2855">
      <w:pPr>
        <w:spacing w:before="100" w:beforeAutospacing="1" w:after="100" w:afterAutospacing="1" w:line="240" w:lineRule="auto"/>
        <w:jc w:val="both"/>
        <w:outlineLvl w:val="2"/>
        <w:rPr>
          <w:rFonts w:ascii="Times New Roman" w:hAnsi="Times New Roman" w:cs="Times New Roman"/>
          <w:sz w:val="24"/>
          <w:szCs w:val="24"/>
        </w:rPr>
      </w:pPr>
    </w:p>
    <w:p w14:paraId="42F11B7F">
      <w:pPr>
        <w:pStyle w:val="36"/>
        <w:numPr>
          <w:ilvl w:val="0"/>
          <w:numId w:val="8"/>
        </w:numPr>
        <w:rPr>
          <w:rFonts w:ascii="Times New Roman" w:hAnsi="Times New Roman" w:cs="Times New Roman"/>
          <w:b/>
          <w:bCs/>
          <w:sz w:val="24"/>
          <w:szCs w:val="24"/>
        </w:rPr>
      </w:pPr>
      <w:r>
        <w:rPr>
          <w:rFonts w:ascii="Times New Roman" w:hAnsi="Times New Roman" w:cs="Times New Roman"/>
          <w:b/>
          <w:bCs/>
          <w:sz w:val="24"/>
          <w:szCs w:val="24"/>
        </w:rPr>
        <w:t>Calendrier de mise en œuvre</w:t>
      </w:r>
    </w:p>
    <w:p w14:paraId="2FC38F80">
      <w:pPr>
        <w:rPr>
          <w:rFonts w:ascii="Times New Roman" w:hAnsi="Times New Roman" w:cs="Times New Roman"/>
          <w:b/>
          <w:bCs/>
          <w:sz w:val="24"/>
          <w:szCs w:val="24"/>
        </w:rPr>
      </w:pPr>
      <w:r>
        <w:rPr>
          <w:rFonts w:ascii="Times New Roman" w:hAnsi="Times New Roman" w:cs="Times New Roman"/>
          <w:b/>
          <w:bCs/>
          <w:sz w:val="24"/>
          <w:szCs w:val="24"/>
        </w:rPr>
        <w:t>Le tableau 5 ci-dessous présente le calendrier détaillé de la première année.</w:t>
      </w:r>
    </w:p>
    <w:tbl>
      <w:tblPr>
        <w:tblStyle w:val="47"/>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701"/>
        <w:gridCol w:w="4989"/>
        <w:gridCol w:w="2598"/>
      </w:tblGrid>
      <w:tr w14:paraId="30CE4A2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C64DD11">
            <w:pPr>
              <w:spacing w:after="160" w:line="259" w:lineRule="auto"/>
              <w:rPr>
                <w:rFonts w:ascii="Times New Roman" w:hAnsi="Times New Roman" w:cs="Times New Roman"/>
                <w:b w:val="0"/>
                <w:bCs w:val="0"/>
                <w:color w:val="FFFFFF" w:themeColor="background1"/>
                <w:sz w:val="24"/>
                <w:szCs w:val="24"/>
                <w:lang w:val="en-GB"/>
                <w14:textFill>
                  <w14:solidFill>
                    <w14:schemeClr w14:val="bg1"/>
                  </w14:solidFill>
                </w14:textFill>
              </w:rPr>
            </w:pPr>
            <w:r>
              <w:rPr>
                <w:rFonts w:ascii="Times New Roman" w:hAnsi="Times New Roman" w:cs="Times New Roman"/>
                <w:b w:val="0"/>
                <w:bCs w:val="0"/>
                <w:color w:val="FFFFFF" w:themeColor="background1"/>
                <w:sz w:val="24"/>
                <w:szCs w:val="24"/>
                <w:lang w:val="en-GB"/>
                <w14:textFill>
                  <w14:solidFill>
                    <w14:schemeClr w14:val="bg1"/>
                  </w14:solidFill>
                </w14:textFill>
              </w:rPr>
              <w:t>Mois</w:t>
            </w:r>
          </w:p>
        </w:tc>
        <w:tc>
          <w:tcPr>
            <w:tcW w:w="498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481BE86">
            <w:pPr>
              <w:spacing w:after="160" w:line="259" w:lineRule="auto"/>
              <w:rPr>
                <w:rFonts w:ascii="Times New Roman" w:hAnsi="Times New Roman" w:cs="Times New Roman"/>
                <w:b w:val="0"/>
                <w:bCs w:val="0"/>
                <w:color w:val="FFFFFF" w:themeColor="background1"/>
                <w:sz w:val="24"/>
                <w:szCs w:val="24"/>
                <w:lang w:val="en-GB"/>
                <w14:textFill>
                  <w14:solidFill>
                    <w14:schemeClr w14:val="bg1"/>
                  </w14:solidFill>
                </w14:textFill>
              </w:rPr>
            </w:pPr>
            <w:r>
              <w:rPr>
                <w:rFonts w:ascii="Times New Roman" w:hAnsi="Times New Roman" w:cs="Times New Roman"/>
                <w:b w:val="0"/>
                <w:bCs w:val="0"/>
                <w:color w:val="FFFFFF" w:themeColor="background1"/>
                <w:sz w:val="24"/>
                <w:szCs w:val="24"/>
                <w:lang w:val="en-GB"/>
                <w14:textFill>
                  <w14:solidFill>
                    <w14:schemeClr w14:val="bg1"/>
                  </w14:solidFill>
                </w14:textFill>
              </w:rPr>
              <w:t>Activités clés</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0770381">
            <w:pPr>
              <w:spacing w:after="160" w:line="259" w:lineRule="auto"/>
              <w:rPr>
                <w:rFonts w:ascii="Times New Roman" w:hAnsi="Times New Roman" w:cs="Times New Roman"/>
                <w:b w:val="0"/>
                <w:bCs w:val="0"/>
                <w:color w:val="FFFFFF" w:themeColor="background1"/>
                <w:sz w:val="24"/>
                <w:szCs w:val="24"/>
                <w:lang w:val="en-GB"/>
                <w14:textFill>
                  <w14:solidFill>
                    <w14:schemeClr w14:val="bg1"/>
                  </w14:solidFill>
                </w14:textFill>
              </w:rPr>
            </w:pPr>
            <w:r>
              <w:rPr>
                <w:rFonts w:ascii="Times New Roman" w:hAnsi="Times New Roman" w:cs="Times New Roman"/>
                <w:b w:val="0"/>
                <w:bCs w:val="0"/>
                <w:color w:val="FFFFFF" w:themeColor="background1"/>
                <w:sz w:val="24"/>
                <w:szCs w:val="24"/>
                <w:lang w:val="en-GB"/>
                <w14:textFill>
                  <w14:solidFill>
                    <w14:schemeClr w14:val="bg1"/>
                  </w14:solidFill>
                </w14:textFill>
              </w:rPr>
              <w:t>Jalon</w:t>
            </w:r>
          </w:p>
        </w:tc>
      </w:tr>
      <w:tr w14:paraId="6E58456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4FE746E">
            <w:pPr>
              <w:spacing w:after="160" w:line="259" w:lineRule="auto"/>
              <w:rPr>
                <w:rFonts w:ascii="Times New Roman" w:hAnsi="Times New Roman" w:cs="Times New Roman"/>
                <w:b w:val="0"/>
                <w:bCs w:val="0"/>
                <w:sz w:val="24"/>
                <w:szCs w:val="24"/>
                <w:lang w:val="en-GB"/>
              </w:rPr>
            </w:pPr>
            <w:r>
              <w:rPr>
                <w:rFonts w:ascii="Times New Roman" w:hAnsi="Times New Roman" w:cs="Times New Roman"/>
                <w:b w:val="0"/>
                <w:bCs w:val="0"/>
                <w:sz w:val="24"/>
                <w:szCs w:val="24"/>
                <w:lang w:val="en-GB"/>
              </w:rPr>
              <w:t>Févr. 2026</w:t>
            </w:r>
          </w:p>
        </w:tc>
        <w:tc>
          <w:tcPr>
            <w:tcW w:w="4989"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0C592C0">
            <w:pPr>
              <w:spacing w:after="160" w:line="259" w:lineRule="auto"/>
              <w:rPr>
                <w:rFonts w:ascii="Times New Roman" w:hAnsi="Times New Roman" w:cs="Times New Roman"/>
                <w:sz w:val="24"/>
                <w:szCs w:val="24"/>
              </w:rPr>
            </w:pPr>
            <w:r>
              <w:rPr>
                <w:rFonts w:ascii="Times New Roman" w:hAnsi="Times New Roman" w:cs="Times New Roman"/>
                <w:sz w:val="24"/>
                <w:szCs w:val="24"/>
              </w:rPr>
              <w:t>Tests finaux, déploiement des serveurs de licences, documentation</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69BB415">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t>Version stable prête</w:t>
            </w:r>
          </w:p>
        </w:tc>
      </w:tr>
      <w:tr w14:paraId="3DD7DA9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B6C1820">
            <w:pPr>
              <w:spacing w:after="160" w:line="259" w:lineRule="auto"/>
              <w:rPr>
                <w:rFonts w:ascii="Times New Roman" w:hAnsi="Times New Roman" w:cs="Times New Roman"/>
                <w:b w:val="0"/>
                <w:bCs w:val="0"/>
                <w:sz w:val="24"/>
                <w:szCs w:val="24"/>
                <w:lang w:val="en-GB"/>
              </w:rPr>
            </w:pPr>
            <w:r>
              <w:rPr>
                <w:rFonts w:ascii="Times New Roman" w:hAnsi="Times New Roman" w:cs="Times New Roman"/>
                <w:b w:val="0"/>
                <w:bCs w:val="0"/>
                <w:sz w:val="24"/>
                <w:szCs w:val="24"/>
                <w:lang w:val="en-GB"/>
              </w:rPr>
              <w:t>Mars 2026</w:t>
            </w:r>
          </w:p>
        </w:tc>
        <w:tc>
          <w:tcPr>
            <w:tcW w:w="4989"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CE66004">
            <w:pPr>
              <w:spacing w:after="160" w:line="259" w:lineRule="auto"/>
              <w:rPr>
                <w:rFonts w:ascii="Times New Roman" w:hAnsi="Times New Roman" w:cs="Times New Roman"/>
                <w:sz w:val="24"/>
                <w:szCs w:val="24"/>
              </w:rPr>
            </w:pPr>
            <w:r>
              <w:rPr>
                <w:rFonts w:ascii="Times New Roman" w:hAnsi="Times New Roman" w:cs="Times New Roman"/>
                <w:sz w:val="24"/>
                <w:szCs w:val="24"/>
              </w:rPr>
              <w:t>Lancement campagne digitale (SEO/Social), recrutement bêta-testeurs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CFE2B80">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t>250 inscriptions Freemium</w:t>
            </w:r>
          </w:p>
        </w:tc>
      </w:tr>
      <w:tr w14:paraId="5923AE5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CE9ADE5">
            <w:pPr>
              <w:spacing w:after="160" w:line="259" w:lineRule="auto"/>
              <w:rPr>
                <w:rFonts w:ascii="Times New Roman" w:hAnsi="Times New Roman" w:cs="Times New Roman"/>
                <w:b w:val="0"/>
                <w:bCs w:val="0"/>
                <w:sz w:val="24"/>
                <w:szCs w:val="24"/>
                <w:lang w:val="en-GB"/>
              </w:rPr>
            </w:pPr>
            <w:r>
              <w:rPr>
                <w:rFonts w:ascii="Times New Roman" w:hAnsi="Times New Roman" w:cs="Times New Roman"/>
                <w:b w:val="0"/>
                <w:bCs w:val="0"/>
                <w:sz w:val="24"/>
                <w:szCs w:val="24"/>
                <w:lang w:val="en-GB"/>
              </w:rPr>
              <w:t>Avril 2026</w:t>
            </w:r>
          </w:p>
        </w:tc>
        <w:tc>
          <w:tcPr>
            <w:tcW w:w="4989"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BC0F844">
            <w:pPr>
              <w:spacing w:after="160" w:line="259" w:lineRule="auto"/>
              <w:rPr>
                <w:rFonts w:ascii="Times New Roman" w:hAnsi="Times New Roman" w:cs="Times New Roman"/>
                <w:sz w:val="24"/>
                <w:szCs w:val="24"/>
              </w:rPr>
            </w:pPr>
            <w:r>
              <w:rPr>
                <w:rFonts w:ascii="Times New Roman" w:hAnsi="Times New Roman" w:cs="Times New Roman"/>
                <w:sz w:val="24"/>
                <w:szCs w:val="24"/>
              </w:rPr>
              <w:t>Mise en place partenariats pilotes (2 écoles), webinaire de lancement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5012CE2">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t>600 inscriptions Freemium</w:t>
            </w:r>
          </w:p>
        </w:tc>
      </w:tr>
      <w:tr w14:paraId="616114C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8E35FEC">
            <w:pPr>
              <w:spacing w:after="160" w:line="259" w:lineRule="auto"/>
              <w:rPr>
                <w:rFonts w:ascii="Times New Roman" w:hAnsi="Times New Roman" w:cs="Times New Roman"/>
                <w:b w:val="0"/>
                <w:bCs w:val="0"/>
                <w:sz w:val="24"/>
                <w:szCs w:val="24"/>
                <w:lang w:val="en-GB"/>
              </w:rPr>
            </w:pPr>
            <w:r>
              <w:rPr>
                <w:rFonts w:ascii="Times New Roman" w:hAnsi="Times New Roman" w:cs="Times New Roman"/>
                <w:b w:val="0"/>
                <w:bCs w:val="0"/>
                <w:sz w:val="24"/>
                <w:szCs w:val="24"/>
                <w:lang w:val="en-GB"/>
              </w:rPr>
              <w:t>Mai-Juin 2026</w:t>
            </w:r>
          </w:p>
        </w:tc>
        <w:tc>
          <w:tcPr>
            <w:tcW w:w="4989"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5E3BC4C">
            <w:pPr>
              <w:spacing w:after="160" w:line="259" w:lineRule="auto"/>
              <w:rPr>
                <w:rFonts w:ascii="Times New Roman" w:hAnsi="Times New Roman" w:cs="Times New Roman"/>
                <w:sz w:val="24"/>
                <w:szCs w:val="24"/>
              </w:rPr>
            </w:pPr>
            <w:r>
              <w:rPr>
                <w:rFonts w:ascii="Times New Roman" w:hAnsi="Times New Roman" w:cs="Times New Roman"/>
                <w:sz w:val="24"/>
                <w:szCs w:val="24"/>
              </w:rPr>
              <w:t>Activation du tunnel de conversion, tutoriels vidéo études de cas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CBB881A">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t>40 clients payants</w:t>
            </w:r>
          </w:p>
        </w:tc>
      </w:tr>
      <w:tr w14:paraId="37E3F42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466ED22">
            <w:pPr>
              <w:spacing w:after="160" w:line="259" w:lineRule="auto"/>
              <w:rPr>
                <w:rFonts w:ascii="Times New Roman" w:hAnsi="Times New Roman" w:cs="Times New Roman"/>
                <w:b w:val="0"/>
                <w:bCs w:val="0"/>
                <w:sz w:val="24"/>
                <w:szCs w:val="24"/>
                <w:lang w:val="en-GB"/>
              </w:rPr>
            </w:pPr>
            <w:r>
              <w:rPr>
                <w:rFonts w:ascii="Times New Roman" w:hAnsi="Times New Roman" w:cs="Times New Roman"/>
                <w:b w:val="0"/>
                <w:bCs w:val="0"/>
                <w:sz w:val="24"/>
                <w:szCs w:val="24"/>
                <w:lang w:val="en-GB"/>
              </w:rPr>
              <w:t>Juil. -Août 2026</w:t>
            </w:r>
          </w:p>
        </w:tc>
        <w:tc>
          <w:tcPr>
            <w:tcW w:w="4989"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BA41F32">
            <w:pPr>
              <w:spacing w:after="160" w:line="259" w:lineRule="auto"/>
              <w:rPr>
                <w:rFonts w:ascii="Times New Roman" w:hAnsi="Times New Roman" w:cs="Times New Roman"/>
                <w:sz w:val="24"/>
                <w:szCs w:val="24"/>
              </w:rPr>
            </w:pPr>
            <w:r>
              <w:rPr>
                <w:rFonts w:ascii="Times New Roman" w:hAnsi="Times New Roman" w:cs="Times New Roman"/>
                <w:sz w:val="24"/>
                <w:szCs w:val="24"/>
              </w:rPr>
              <w:t>Optimisation produit basée sur les retours bêta-testeurs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24DA5F1">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t>1 000 inscriptions Freemium</w:t>
            </w:r>
          </w:p>
        </w:tc>
      </w:tr>
      <w:tr w14:paraId="2309595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F1A61B2">
            <w:pPr>
              <w:spacing w:after="160" w:line="259" w:lineRule="auto"/>
              <w:rPr>
                <w:rFonts w:ascii="Times New Roman" w:hAnsi="Times New Roman" w:cs="Times New Roman"/>
                <w:b w:val="0"/>
                <w:bCs w:val="0"/>
                <w:sz w:val="24"/>
                <w:szCs w:val="24"/>
                <w:lang w:val="en-GB"/>
              </w:rPr>
            </w:pPr>
            <w:r>
              <w:rPr>
                <w:rFonts w:ascii="Times New Roman" w:hAnsi="Times New Roman" w:cs="Times New Roman"/>
                <w:b w:val="0"/>
                <w:bCs w:val="0"/>
                <w:sz w:val="24"/>
                <w:szCs w:val="24"/>
                <w:lang w:val="en-GB"/>
              </w:rPr>
              <w:t>Sept.-Oct. 2026</w:t>
            </w:r>
          </w:p>
        </w:tc>
        <w:tc>
          <w:tcPr>
            <w:tcW w:w="4989"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222C839">
            <w:pPr>
              <w:spacing w:after="160" w:line="259" w:lineRule="auto"/>
              <w:rPr>
                <w:rFonts w:ascii="Times New Roman" w:hAnsi="Times New Roman" w:cs="Times New Roman"/>
                <w:sz w:val="24"/>
                <w:szCs w:val="24"/>
              </w:rPr>
            </w:pPr>
            <w:r>
              <w:rPr>
                <w:rFonts w:ascii="Times New Roman" w:hAnsi="Times New Roman" w:cs="Times New Roman"/>
                <w:sz w:val="24"/>
                <w:szCs w:val="24"/>
              </w:rPr>
              <w:t>Extension partenariats académiques (3 centres), prospection B2B</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B681563">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t>90 clients payants</w:t>
            </w:r>
          </w:p>
        </w:tc>
      </w:tr>
      <w:tr w14:paraId="3ED210F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70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8B571C4">
            <w:pPr>
              <w:spacing w:after="160" w:line="259" w:lineRule="auto"/>
              <w:rPr>
                <w:rFonts w:ascii="Times New Roman" w:hAnsi="Times New Roman" w:cs="Times New Roman"/>
                <w:b w:val="0"/>
                <w:bCs w:val="0"/>
                <w:sz w:val="24"/>
                <w:szCs w:val="24"/>
                <w:lang w:val="en-GB"/>
              </w:rPr>
            </w:pPr>
            <w:r>
              <w:rPr>
                <w:rFonts w:ascii="Times New Roman" w:hAnsi="Times New Roman" w:cs="Times New Roman"/>
                <w:b w:val="0"/>
                <w:bCs w:val="0"/>
                <w:sz w:val="24"/>
                <w:szCs w:val="24"/>
                <w:lang w:val="en-GB"/>
              </w:rPr>
              <w:t>Nov.-Déc. 2026</w:t>
            </w:r>
          </w:p>
        </w:tc>
        <w:tc>
          <w:tcPr>
            <w:tcW w:w="4989"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3DA3C27">
            <w:pPr>
              <w:spacing w:after="160" w:line="259" w:lineRule="auto"/>
              <w:rPr>
                <w:rFonts w:ascii="Times New Roman" w:hAnsi="Times New Roman" w:cs="Times New Roman"/>
                <w:sz w:val="24"/>
                <w:szCs w:val="24"/>
              </w:rPr>
            </w:pPr>
            <w:r>
              <w:rPr>
                <w:rFonts w:ascii="Times New Roman" w:hAnsi="Times New Roman" w:cs="Times New Roman"/>
                <w:sz w:val="24"/>
                <w:szCs w:val="24"/>
              </w:rPr>
              <w:t>Lancement programme de certification, bilan stratégique Année 1</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64276BE">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t>130 clients payants</w:t>
            </w:r>
          </w:p>
        </w:tc>
      </w:tr>
    </w:tbl>
    <w:p w14:paraId="1BE0D70D">
      <w:pPr>
        <w:rPr>
          <w:rFonts w:ascii="Times New Roman" w:hAnsi="Times New Roman" w:cs="Times New Roman"/>
          <w:b/>
          <w:bCs/>
          <w:sz w:val="24"/>
          <w:szCs w:val="24"/>
        </w:rPr>
      </w:pPr>
      <w:r>
        <w:rPr>
          <w:rFonts w:ascii="Times New Roman" w:hAnsi="Times New Roman" w:cs="Times New Roman"/>
          <w:b/>
          <w:bCs/>
          <w:sz w:val="24"/>
          <w:szCs w:val="24"/>
          <w:u w:val="single"/>
        </w:rPr>
        <w:t>Tableau 5 :</w:t>
      </w:r>
      <w:r>
        <w:rPr>
          <w:rFonts w:ascii="Times New Roman" w:hAnsi="Times New Roman" w:cs="Times New Roman"/>
          <w:b/>
          <w:bCs/>
          <w:sz w:val="24"/>
          <w:szCs w:val="24"/>
        </w:rPr>
        <w:t xml:space="preserve"> Calendrier détaillé de l'Année 1</w:t>
      </w:r>
    </w:p>
    <w:p w14:paraId="1BA6DDF9">
      <w:pPr>
        <w:numPr>
          <w:ilvl w:val="0"/>
          <w:numId w:val="14"/>
        </w:numPr>
        <w:rPr>
          <w:rFonts w:ascii="Times New Roman" w:hAnsi="Times New Roman" w:cs="Times New Roman"/>
          <w:sz w:val="24"/>
          <w:szCs w:val="24"/>
          <w:lang w:val="en-GB"/>
        </w:rPr>
      </w:pPr>
      <w:r>
        <w:rPr>
          <w:rFonts w:ascii="Times New Roman" w:hAnsi="Times New Roman" w:cs="Times New Roman"/>
          <w:sz w:val="24"/>
          <w:szCs w:val="24"/>
          <w:lang w:val="en-GB"/>
        </w:rPr>
        <w:t>Début du projet: Février 2026</w:t>
      </w:r>
    </w:p>
    <w:p w14:paraId="6B9E6189">
      <w:pPr>
        <w:numPr>
          <w:ilvl w:val="0"/>
          <w:numId w:val="14"/>
        </w:numPr>
        <w:rPr>
          <w:rFonts w:ascii="Times New Roman" w:hAnsi="Times New Roman" w:cs="Times New Roman"/>
          <w:sz w:val="24"/>
          <w:szCs w:val="24"/>
        </w:rPr>
      </w:pPr>
      <w:r>
        <w:rPr>
          <w:rFonts w:ascii="Times New Roman" w:hAnsi="Times New Roman" w:cs="Times New Roman"/>
          <w:sz w:val="24"/>
          <w:szCs w:val="24"/>
        </w:rPr>
        <w:t>Atteinte de la rentabilité : Premier trimestre 2028</w:t>
      </w:r>
    </w:p>
    <w:p w14:paraId="3610BAEF">
      <w:pPr>
        <w:numPr>
          <w:ilvl w:val="0"/>
          <w:numId w:val="14"/>
        </w:numPr>
        <w:rPr>
          <w:rFonts w:ascii="Times New Roman" w:hAnsi="Times New Roman" w:cs="Times New Roman"/>
          <w:sz w:val="24"/>
          <w:szCs w:val="24"/>
        </w:rPr>
      </w:pPr>
      <w:r>
        <w:rPr>
          <w:rFonts w:ascii="Times New Roman" w:hAnsi="Times New Roman" w:cs="Times New Roman"/>
          <w:sz w:val="24"/>
          <w:szCs w:val="24"/>
        </w:rPr>
        <w:t>Fin de la Phase 1 (5 ans) : Décembre 2030</w:t>
      </w:r>
    </w:p>
    <w:p w14:paraId="3AE02789">
      <w:pPr>
        <w:rPr>
          <w:rFonts w:ascii="Times New Roman" w:hAnsi="Times New Roman" w:cs="Times New Roman"/>
          <w:sz w:val="24"/>
          <w:szCs w:val="24"/>
        </w:rPr>
      </w:pPr>
      <w:r>
        <w:rPr>
          <w:rFonts w:ascii="Times New Roman" w:hAnsi="Times New Roman" w:cs="Times New Roman"/>
          <w:sz w:val="24"/>
          <w:szCs w:val="24"/>
        </w:rPr>
        <w:t>La partie technique étant exposée, la section suivante conclut cette première partie avant d'aborder les aspects financiers.</w:t>
      </w:r>
    </w:p>
    <w:p w14:paraId="44597BE6">
      <w:pPr>
        <w:rPr>
          <w:rFonts w:ascii="Times New Roman" w:hAnsi="Times New Roman" w:cs="Times New Roman"/>
          <w:b/>
          <w:bCs/>
          <w:sz w:val="24"/>
          <w:szCs w:val="24"/>
        </w:rPr>
      </w:pPr>
    </w:p>
    <w:p w14:paraId="5560CBFD">
      <w:pPr>
        <w:rPr>
          <w:rFonts w:ascii="Times New Roman" w:hAnsi="Times New Roman" w:cs="Times New Roman"/>
          <w:b/>
          <w:bCs/>
          <w:sz w:val="24"/>
          <w:szCs w:val="24"/>
        </w:rPr>
      </w:pPr>
    </w:p>
    <w:p w14:paraId="61F7ACB3">
      <w:pPr>
        <w:pStyle w:val="36"/>
        <w:numPr>
          <w:ilvl w:val="0"/>
          <w:numId w:val="8"/>
        </w:numPr>
        <w:rPr>
          <w:rFonts w:ascii="Times New Roman" w:hAnsi="Times New Roman" w:cs="Times New Roman"/>
          <w:b/>
          <w:bCs/>
          <w:sz w:val="24"/>
          <w:szCs w:val="24"/>
        </w:rPr>
      </w:pPr>
      <w:r>
        <w:rPr>
          <w:rFonts w:ascii="Times New Roman" w:hAnsi="Times New Roman" w:cs="Times New Roman"/>
          <w:b/>
          <w:bCs/>
          <w:sz w:val="24"/>
          <w:szCs w:val="24"/>
        </w:rPr>
        <w:t>Conclusion</w:t>
      </w:r>
    </w:p>
    <w:p w14:paraId="5579976E">
      <w:pPr>
        <w:jc w:val="both"/>
        <w:rPr>
          <w:rFonts w:ascii="Times New Roman" w:hAnsi="Times New Roman" w:cs="Times New Roman"/>
          <w:sz w:val="24"/>
          <w:szCs w:val="24"/>
        </w:rPr>
      </w:pPr>
      <w:r>
        <w:rPr>
          <w:rFonts w:ascii="Times New Roman" w:hAnsi="Times New Roman" w:cs="Times New Roman"/>
          <w:sz w:val="24"/>
          <w:szCs w:val="24"/>
        </w:rPr>
        <w:t xml:space="preserve">Le projet de commercialisation de KYA-SolDesign repose sur une innovation technologique solide (la méthode KEG) et un avantage concurrentiel clairement identifié. </w:t>
      </w:r>
    </w:p>
    <w:p w14:paraId="22EF2DC5">
      <w:pPr>
        <w:jc w:val="both"/>
        <w:rPr>
          <w:rFonts w:ascii="Times New Roman" w:hAnsi="Times New Roman" w:cs="Times New Roman"/>
          <w:sz w:val="24"/>
          <w:szCs w:val="24"/>
        </w:rPr>
      </w:pPr>
      <w:r>
        <w:rPr>
          <w:rFonts w:ascii="Times New Roman" w:hAnsi="Times New Roman" w:cs="Times New Roman"/>
          <w:sz w:val="24"/>
          <w:szCs w:val="24"/>
        </w:rPr>
        <w:t>En proposant un outil de dimensionnement complet et accessible, KYA-Energy Group répond à un besoin structurel du marché solaire.</w:t>
      </w:r>
    </w:p>
    <w:p w14:paraId="4CBB945D">
      <w:pPr>
        <w:jc w:val="both"/>
        <w:rPr>
          <w:rFonts w:ascii="Times New Roman" w:hAnsi="Times New Roman" w:cs="Times New Roman"/>
          <w:sz w:val="24"/>
          <w:szCs w:val="24"/>
        </w:rPr>
      </w:pPr>
      <w:r>
        <w:rPr>
          <w:rFonts w:ascii="Times New Roman" w:hAnsi="Times New Roman" w:cs="Times New Roman"/>
          <w:sz w:val="24"/>
          <w:szCs w:val="24"/>
        </w:rPr>
        <w:t>Près de 300 professionnels ont déjà testé les versions précédentes depuis 2020. Ces retours terrain ont permis de concevoir une nouvelle version mature et adaptée aux besoins réels des utilisateurs.</w:t>
      </w:r>
    </w:p>
    <w:p w14:paraId="53379DA8">
      <w:pPr>
        <w:jc w:val="both"/>
        <w:rPr>
          <w:rFonts w:ascii="Times New Roman" w:hAnsi="Times New Roman" w:cs="Times New Roman"/>
          <w:sz w:val="24"/>
          <w:szCs w:val="24"/>
        </w:rPr>
      </w:pPr>
      <w:r>
        <w:rPr>
          <w:rFonts w:ascii="Times New Roman" w:hAnsi="Times New Roman" w:cs="Times New Roman"/>
          <w:sz w:val="24"/>
          <w:szCs w:val="24"/>
        </w:rPr>
        <w:t>Les éléments techniques validés, la section suivante présente l'analyse financière détaillée du projet.</w:t>
      </w:r>
    </w:p>
    <w:p w14:paraId="783ADFAB">
      <w:pPr>
        <w:rPr>
          <w:rFonts w:ascii="Times New Roman" w:hAnsi="Times New Roman" w:cs="Times New Roman"/>
        </w:rPr>
      </w:pPr>
    </w:p>
    <w:p w14:paraId="05A39158">
      <w:pPr>
        <w:rPr>
          <w:rFonts w:ascii="Times New Roman" w:hAnsi="Times New Roman" w:cs="Times New Roman"/>
        </w:rPr>
      </w:pPr>
      <w:r>
        <w:rPr>
          <w:rFonts w:ascii="Times New Roman" w:hAnsi="Times New Roman" w:cs="Times New Roman"/>
        </w:rPr>
        <w:br w:type="page"/>
      </w:r>
    </w:p>
    <w:p w14:paraId="44F13248">
      <w:pPr>
        <w:rPr>
          <w:rFonts w:ascii="Times New Roman" w:hAnsi="Times New Roman" w:cs="Times New Roman"/>
        </w:rPr>
      </w:pPr>
    </w:p>
    <w:p w14:paraId="472CDD04">
      <w:pPr>
        <w:pStyle w:val="36"/>
        <w:rPr>
          <w:rFonts w:ascii="Times New Roman" w:hAnsi="Times New Roman" w:cs="Times New Roman"/>
          <w:b/>
          <w:bCs/>
        </w:rPr>
      </w:pPr>
    </w:p>
    <w:p w14:paraId="5041B402">
      <w:pPr>
        <w:pStyle w:val="36"/>
        <w:rPr>
          <w:rFonts w:ascii="Times New Roman" w:hAnsi="Times New Roman" w:cs="Times New Roman"/>
          <w:b/>
          <w:bCs/>
        </w:rPr>
      </w:pPr>
    </w:p>
    <w:p w14:paraId="62D5EFAD">
      <w:pPr>
        <w:pStyle w:val="36"/>
        <w:rPr>
          <w:rFonts w:ascii="Times New Roman" w:hAnsi="Times New Roman" w:cs="Times New Roman"/>
          <w:b/>
          <w:bCs/>
        </w:rPr>
      </w:pPr>
    </w:p>
    <w:p w14:paraId="166E9938">
      <w:pPr>
        <w:pStyle w:val="36"/>
        <w:rPr>
          <w:rFonts w:ascii="Times New Roman" w:hAnsi="Times New Roman" w:cs="Times New Roman"/>
          <w:b/>
          <w:bCs/>
        </w:rPr>
      </w:pPr>
    </w:p>
    <w:p w14:paraId="330AB9BB">
      <w:pPr>
        <w:pStyle w:val="36"/>
        <w:rPr>
          <w:rFonts w:ascii="Times New Roman" w:hAnsi="Times New Roman" w:cs="Times New Roman"/>
          <w:b/>
          <w:bCs/>
        </w:rPr>
      </w:pPr>
    </w:p>
    <w:p w14:paraId="0BE7A698">
      <w:pPr>
        <w:pStyle w:val="36"/>
        <w:rPr>
          <w:rFonts w:ascii="Times New Roman" w:hAnsi="Times New Roman" w:cs="Times New Roman"/>
          <w:b/>
          <w:bCs/>
        </w:rPr>
      </w:pPr>
    </w:p>
    <w:p w14:paraId="71ECB979">
      <w:pPr>
        <w:pStyle w:val="36"/>
        <w:rPr>
          <w:rFonts w:ascii="Times New Roman" w:hAnsi="Times New Roman" w:cs="Times New Roman"/>
          <w:b/>
          <w:bCs/>
        </w:rPr>
      </w:pPr>
    </w:p>
    <w:p w14:paraId="5239D924">
      <w:pPr>
        <w:pStyle w:val="36"/>
        <w:rPr>
          <w:rFonts w:ascii="Times New Roman" w:hAnsi="Times New Roman" w:cs="Times New Roman"/>
          <w:b/>
          <w:bCs/>
        </w:rPr>
      </w:pPr>
    </w:p>
    <w:p w14:paraId="53F23588">
      <w:pPr>
        <w:pStyle w:val="36"/>
        <w:rPr>
          <w:rFonts w:ascii="Times New Roman" w:hAnsi="Times New Roman" w:cs="Times New Roman"/>
          <w:b/>
          <w:bCs/>
        </w:rPr>
      </w:pPr>
    </w:p>
    <w:p w14:paraId="2A0670C2">
      <w:pPr>
        <w:pStyle w:val="36"/>
        <w:rPr>
          <w:rFonts w:ascii="Times New Roman" w:hAnsi="Times New Roman" w:cs="Times New Roman"/>
          <w:b/>
          <w:bCs/>
        </w:rPr>
      </w:pPr>
    </w:p>
    <w:p w14:paraId="01088D63">
      <w:pPr>
        <w:pStyle w:val="36"/>
        <w:rPr>
          <w:rFonts w:ascii="Times New Roman" w:hAnsi="Times New Roman" w:cs="Times New Roman"/>
          <w:b/>
          <w:bCs/>
        </w:rPr>
      </w:pPr>
    </w:p>
    <w:p w14:paraId="5E60CDEB">
      <w:pPr>
        <w:pStyle w:val="36"/>
        <w:rPr>
          <w:rFonts w:ascii="Times New Roman" w:hAnsi="Times New Roman" w:cs="Times New Roman"/>
          <w:b/>
          <w:bCs/>
        </w:rPr>
      </w:pPr>
    </w:p>
    <w:p w14:paraId="262B2019">
      <w:pPr>
        <w:pStyle w:val="36"/>
        <w:rPr>
          <w:rFonts w:ascii="Times New Roman" w:hAnsi="Times New Roman" w:cs="Times New Roman"/>
          <w:b/>
          <w:bCs/>
        </w:rPr>
      </w:pPr>
    </w:p>
    <w:p w14:paraId="1024C262">
      <w:pPr>
        <w:pStyle w:val="36"/>
        <w:rPr>
          <w:rFonts w:ascii="Times New Roman" w:hAnsi="Times New Roman" w:cs="Times New Roman"/>
          <w:b/>
          <w:bCs/>
        </w:rPr>
      </w:pPr>
    </w:p>
    <w:p w14:paraId="12A2DBC0">
      <w:pPr>
        <w:pStyle w:val="36"/>
        <w:rPr>
          <w:rFonts w:ascii="Times New Roman" w:hAnsi="Times New Roman" w:cs="Times New Roman"/>
          <w:b/>
          <w:bCs/>
        </w:rPr>
      </w:pPr>
    </w:p>
    <w:p w14:paraId="73B8FEAA">
      <w:pPr>
        <w:pStyle w:val="36"/>
        <w:numPr>
          <w:ilvl w:val="1"/>
          <w:numId w:val="15"/>
        </w:numPr>
        <w:jc w:val="center"/>
        <w:rPr>
          <w:rFonts w:ascii="Times New Roman" w:hAnsi="Times New Roman" w:cs="Times New Roman"/>
          <w:b/>
          <w:bCs/>
          <w:sz w:val="56"/>
          <w:szCs w:val="56"/>
        </w:rPr>
      </w:pPr>
      <w:r>
        <w:rPr>
          <w:rFonts w:ascii="Times New Roman" w:hAnsi="Times New Roman" w:cs="Times New Roman"/>
          <w:b/>
          <w:bCs/>
          <w:sz w:val="56"/>
          <w:szCs w:val="56"/>
        </w:rPr>
        <w:t>Partie financière</w:t>
      </w:r>
    </w:p>
    <w:p w14:paraId="4358A124">
      <w:pPr>
        <w:pStyle w:val="36"/>
        <w:rPr>
          <w:rFonts w:ascii="Times New Roman" w:hAnsi="Times New Roman" w:cs="Times New Roman"/>
          <w:b/>
          <w:bCs/>
          <w:sz w:val="56"/>
          <w:szCs w:val="56"/>
        </w:rPr>
      </w:pPr>
      <w:r>
        <w:rPr>
          <w:rFonts w:ascii="Times New Roman" w:hAnsi="Times New Roman" w:cs="Times New Roman"/>
          <w:b/>
          <w:bCs/>
          <w:sz w:val="56"/>
          <w:szCs w:val="56"/>
        </w:rPr>
        <w:br w:type="page"/>
      </w:r>
    </w:p>
    <w:p w14:paraId="43C7A757">
      <w:pPr>
        <w:numPr>
          <w:ilvl w:val="0"/>
          <w:numId w:val="16"/>
        </w:numPr>
        <w:spacing w:line="256" w:lineRule="auto"/>
        <w:contextualSpacing/>
        <w:rPr>
          <w:rFonts w:ascii="Times New Roman" w:hAnsi="Times New Roman" w:eastAsia="Calibri" w:cs="Times New Roman"/>
          <w:b/>
          <w:bCs/>
          <w:sz w:val="24"/>
        </w:rPr>
      </w:pPr>
      <w:r>
        <w:rPr>
          <w:rFonts w:ascii="Times New Roman" w:hAnsi="Times New Roman" w:eastAsia="Calibri" w:cs="Times New Roman"/>
          <w:b/>
          <w:bCs/>
          <w:sz w:val="24"/>
        </w:rPr>
        <w:t>Résumé du plan financier</w:t>
      </w:r>
    </w:p>
    <w:p w14:paraId="5D6B84DA">
      <w:pPr>
        <w:spacing w:line="256" w:lineRule="auto"/>
        <w:rPr>
          <w:rFonts w:ascii="Times New Roman" w:hAnsi="Times New Roman" w:eastAsia="Calibri" w:cs="Times New Roman"/>
          <w:sz w:val="24"/>
        </w:rPr>
      </w:pPr>
      <w:r>
        <w:rPr>
          <w:rFonts w:ascii="Times New Roman" w:hAnsi="Times New Roman" w:eastAsia="Calibri" w:cs="Times New Roman"/>
          <w:sz w:val="24"/>
        </w:rPr>
        <w:t>L'analyse financière prévisionnelle met en évidence un projet nécessitant un investissement initial maîtrisé pour un potentiel de rentabilité élevé à moyen terme.</w:t>
      </w:r>
    </w:p>
    <w:p w14:paraId="00D48DA5">
      <w:pPr>
        <w:numPr>
          <w:ilvl w:val="0"/>
          <w:numId w:val="17"/>
        </w:numPr>
        <w:spacing w:line="256" w:lineRule="auto"/>
        <w:rPr>
          <w:rFonts w:ascii="Times New Roman" w:hAnsi="Times New Roman" w:eastAsia="Calibri" w:cs="Times New Roman"/>
          <w:sz w:val="24"/>
        </w:rPr>
      </w:pPr>
      <w:r>
        <w:rPr>
          <w:rFonts w:ascii="Times New Roman" w:hAnsi="Times New Roman" w:eastAsia="Calibri" w:cs="Times New Roman"/>
          <w:b/>
          <w:bCs/>
          <w:sz w:val="24"/>
        </w:rPr>
        <w:t>Montant total du financement recherché</w:t>
      </w:r>
      <w:r>
        <w:rPr>
          <w:rFonts w:ascii="Times New Roman" w:hAnsi="Times New Roman" w:eastAsia="Calibri" w:cs="Times New Roman"/>
          <w:sz w:val="24"/>
        </w:rPr>
        <w:t> : 54 800 000 F CFA</w:t>
      </w:r>
    </w:p>
    <w:p w14:paraId="754A9C60">
      <w:pPr>
        <w:numPr>
          <w:ilvl w:val="0"/>
          <w:numId w:val="17"/>
        </w:numPr>
        <w:spacing w:line="256" w:lineRule="auto"/>
        <w:rPr>
          <w:rFonts w:ascii="Times New Roman" w:hAnsi="Times New Roman" w:eastAsia="Calibri" w:cs="Times New Roman"/>
          <w:sz w:val="24"/>
        </w:rPr>
      </w:pPr>
      <w:r>
        <w:rPr>
          <w:rFonts w:ascii="Times New Roman" w:hAnsi="Times New Roman" w:eastAsia="Calibri" w:cs="Times New Roman"/>
          <w:b/>
          <w:bCs/>
          <w:sz w:val="24"/>
        </w:rPr>
        <w:t>Structure de financement</w:t>
      </w:r>
      <w:r>
        <w:rPr>
          <w:rFonts w:ascii="Times New Roman" w:hAnsi="Times New Roman" w:eastAsia="Calibri" w:cs="Times New Roman"/>
          <w:sz w:val="24"/>
        </w:rPr>
        <w:t> : 30% fonds propres (16 440 000 F CFA) / 70% dette (38 360 000 F CFA)</w:t>
      </w:r>
    </w:p>
    <w:p w14:paraId="4A5DF9E0">
      <w:pPr>
        <w:numPr>
          <w:ilvl w:val="0"/>
          <w:numId w:val="17"/>
        </w:numPr>
        <w:spacing w:line="256" w:lineRule="auto"/>
        <w:rPr>
          <w:rFonts w:ascii="Times New Roman" w:hAnsi="Times New Roman" w:eastAsia="Calibri" w:cs="Times New Roman"/>
          <w:sz w:val="24"/>
        </w:rPr>
      </w:pPr>
      <w:r>
        <w:rPr>
          <w:rFonts w:ascii="Times New Roman" w:hAnsi="Times New Roman" w:eastAsia="Calibri" w:cs="Times New Roman"/>
          <w:b/>
          <w:bCs/>
          <w:sz w:val="24"/>
        </w:rPr>
        <w:t>Durée du prêt</w:t>
      </w:r>
      <w:r>
        <w:rPr>
          <w:rFonts w:ascii="Times New Roman" w:hAnsi="Times New Roman" w:eastAsia="Calibri" w:cs="Times New Roman"/>
          <w:sz w:val="24"/>
        </w:rPr>
        <w:t> : 5 ans à 10% d'intérêt annuel</w:t>
      </w:r>
    </w:p>
    <w:p w14:paraId="1247D414">
      <w:pPr>
        <w:numPr>
          <w:ilvl w:val="0"/>
          <w:numId w:val="17"/>
        </w:numPr>
        <w:spacing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Utilisation des fonds</w:t>
      </w:r>
      <w:r>
        <w:rPr>
          <w:rFonts w:ascii="Times New Roman" w:hAnsi="Times New Roman" w:eastAsia="Calibri" w:cs="Times New Roman"/>
          <w:sz w:val="24"/>
          <w:lang w:val="en-GB"/>
        </w:rPr>
        <w:t>:</w:t>
      </w:r>
    </w:p>
    <w:p w14:paraId="689FC49A">
      <w:pPr>
        <w:numPr>
          <w:ilvl w:val="1"/>
          <w:numId w:val="17"/>
        </w:numPr>
        <w:spacing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CAPEX (investissements matériels): 11 800 000 F CFA</w:t>
      </w:r>
    </w:p>
    <w:p w14:paraId="544630C5">
      <w:pPr>
        <w:numPr>
          <w:ilvl w:val="1"/>
          <w:numId w:val="17"/>
        </w:numPr>
        <w:spacing w:line="256" w:lineRule="auto"/>
        <w:rPr>
          <w:rFonts w:ascii="Times New Roman" w:hAnsi="Times New Roman" w:eastAsia="Calibri" w:cs="Times New Roman"/>
          <w:sz w:val="24"/>
        </w:rPr>
      </w:pPr>
      <w:r>
        <w:rPr>
          <w:rFonts w:ascii="Times New Roman" w:hAnsi="Times New Roman" w:eastAsia="Calibri" w:cs="Times New Roman"/>
          <w:sz w:val="24"/>
        </w:rPr>
        <w:t>OPEX Année 1 (charges d'exploitation) : 21 500 000 F CFA</w:t>
      </w:r>
    </w:p>
    <w:p w14:paraId="23C9D3D4">
      <w:pPr>
        <w:numPr>
          <w:ilvl w:val="1"/>
          <w:numId w:val="17"/>
        </w:numPr>
        <w:spacing w:line="256" w:lineRule="auto"/>
        <w:rPr>
          <w:rFonts w:ascii="Times New Roman" w:hAnsi="Times New Roman" w:eastAsia="Calibri" w:cs="Times New Roman"/>
          <w:sz w:val="24"/>
        </w:rPr>
      </w:pPr>
      <w:r>
        <w:rPr>
          <w:rFonts w:ascii="Times New Roman" w:hAnsi="Times New Roman" w:eastAsia="Calibri" w:cs="Times New Roman"/>
          <w:sz w:val="24"/>
        </w:rPr>
        <w:t>Réserve de sécurité (12 mois d'OPEX) : 21 500 000 F CFA</w:t>
      </w:r>
    </w:p>
    <w:p w14:paraId="10D032D3">
      <w:pPr>
        <w:spacing w:line="256" w:lineRule="auto"/>
        <w:rPr>
          <w:rFonts w:ascii="Times New Roman" w:hAnsi="Times New Roman" w:eastAsia="Calibri" w:cs="Times New Roman"/>
          <w:sz w:val="24"/>
        </w:rPr>
      </w:pPr>
      <w:r>
        <w:rPr>
          <w:rFonts w:ascii="Times New Roman" w:hAnsi="Times New Roman" w:eastAsia="Calibri" w:cs="Times New Roman"/>
          <w:sz w:val="24"/>
        </w:rPr>
        <w:t>Cette réserve de sécurité garantit la continuité des opérations même en cas de retard dans l'acquisition de clients, témoignant d'une gestion prudente et professionnelle.</w:t>
      </w:r>
    </w:p>
    <w:p w14:paraId="1E3A9515">
      <w:pPr>
        <w:spacing w:line="256" w:lineRule="auto"/>
        <w:rPr>
          <w:rFonts w:ascii="Times New Roman" w:hAnsi="Times New Roman" w:eastAsia="Calibri" w:cs="Times New Roman"/>
          <w:sz w:val="24"/>
        </w:rPr>
      </w:pPr>
    </w:p>
    <w:p w14:paraId="729B1D5F">
      <w:pPr>
        <w:spacing w:line="256" w:lineRule="auto"/>
        <w:rPr>
          <w:rFonts w:ascii="Times New Roman" w:hAnsi="Times New Roman" w:eastAsia="Calibri" w:cs="Times New Roman"/>
          <w:b/>
          <w:bCs/>
          <w:sz w:val="24"/>
        </w:rPr>
      </w:pPr>
      <w:r>
        <w:rPr>
          <w:rFonts w:ascii="Times New Roman" w:hAnsi="Times New Roman" w:eastAsia="Calibri" w:cs="Times New Roman"/>
          <w:sz w:val="24"/>
        </w:rPr>
        <w:t xml:space="preserve">II- </w:t>
      </w:r>
      <w:r>
        <w:rPr>
          <w:rFonts w:ascii="Times New Roman" w:hAnsi="Times New Roman" w:eastAsia="Calibri" w:cs="Times New Roman"/>
          <w:b/>
          <w:bCs/>
          <w:sz w:val="24"/>
        </w:rPr>
        <w:t>Coûts du projet</w:t>
      </w:r>
    </w:p>
    <w:p w14:paraId="43C2C3C4">
      <w:pPr>
        <w:spacing w:line="256" w:lineRule="auto"/>
        <w:rPr>
          <w:rFonts w:ascii="Times New Roman" w:hAnsi="Times New Roman" w:eastAsia="Calibri" w:cs="Times New Roman"/>
          <w:b/>
          <w:bCs/>
          <w:sz w:val="24"/>
        </w:rPr>
      </w:pPr>
      <w:r>
        <w:rPr>
          <w:rFonts w:ascii="Times New Roman" w:hAnsi="Times New Roman" w:eastAsia="Calibri" w:cs="Times New Roman"/>
          <w:b/>
          <w:bCs/>
          <w:sz w:val="24"/>
        </w:rPr>
        <w:t>1- Investissements initiaux</w:t>
      </w:r>
    </w:p>
    <w:p w14:paraId="391F0346">
      <w:pPr>
        <w:spacing w:line="256" w:lineRule="auto"/>
        <w:rPr>
          <w:rFonts w:ascii="Times New Roman" w:hAnsi="Times New Roman" w:eastAsia="Calibri" w:cs="Times New Roman"/>
          <w:sz w:val="24"/>
        </w:rPr>
      </w:pPr>
      <w:r>
        <w:rPr>
          <w:rFonts w:ascii="Times New Roman" w:hAnsi="Times New Roman" w:eastAsia="Calibri" w:cs="Times New Roman"/>
          <w:sz w:val="24"/>
        </w:rPr>
        <w:t>Le tableau 6 ci-dessous détaille les investissements initiaux nécessaires au lancement du projet.</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163"/>
        <w:gridCol w:w="2723"/>
      </w:tblGrid>
      <w:tr w14:paraId="277F6F6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5CD54CA">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Libellés</w:t>
            </w:r>
          </w:p>
        </w:tc>
        <w:tc>
          <w:tcPr>
            <w:tcW w:w="2723"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613ACAB5">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Montant (F CFA)</w:t>
            </w:r>
          </w:p>
        </w:tc>
      </w:tr>
      <w:tr w14:paraId="20337B1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EE085BF">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Ordinateurs portables (x4)</w:t>
            </w:r>
          </w:p>
        </w:tc>
        <w:tc>
          <w:tcPr>
            <w:tcW w:w="272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677E25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7 000 000</w:t>
            </w:r>
          </w:p>
        </w:tc>
      </w:tr>
      <w:tr w14:paraId="250CA30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2065734">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Écrans, Hubs, Périphériques</w:t>
            </w:r>
          </w:p>
        </w:tc>
        <w:tc>
          <w:tcPr>
            <w:tcW w:w="272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84C600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1 800 000</w:t>
            </w:r>
          </w:p>
        </w:tc>
      </w:tr>
      <w:tr w14:paraId="7EC235D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0D6AC63">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Aménagement bureaux</w:t>
            </w:r>
          </w:p>
        </w:tc>
        <w:tc>
          <w:tcPr>
            <w:tcW w:w="272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6A04D4B">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3 000 000</w:t>
            </w:r>
          </w:p>
        </w:tc>
      </w:tr>
      <w:tr w14:paraId="2331EC1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B98AC8E">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TOTAL CAPEX</w:t>
            </w:r>
          </w:p>
        </w:tc>
        <w:tc>
          <w:tcPr>
            <w:tcW w:w="272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B20C4FD">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11 800 000</w:t>
            </w:r>
          </w:p>
        </w:tc>
      </w:tr>
    </w:tbl>
    <w:p w14:paraId="4D39E699">
      <w:pPr>
        <w:spacing w:line="256" w:lineRule="auto"/>
        <w:rPr>
          <w:rFonts w:ascii="Times New Roman" w:hAnsi="Times New Roman" w:eastAsia="Calibri" w:cs="Times New Roman"/>
          <w:sz w:val="24"/>
        </w:rPr>
      </w:pPr>
      <w:r>
        <w:rPr>
          <w:rFonts w:ascii="Times New Roman" w:hAnsi="Times New Roman" w:eastAsia="Calibri" w:cs="Times New Roman"/>
          <w:b/>
          <w:bCs/>
          <w:sz w:val="24"/>
          <w:lang w:val="en-GB"/>
        </w:rPr>
        <w:t xml:space="preserve">                          </w:t>
      </w:r>
      <w:r>
        <w:rPr>
          <w:rFonts w:ascii="Times New Roman" w:hAnsi="Times New Roman" w:eastAsia="Calibri" w:cs="Times New Roman"/>
          <w:b/>
          <w:bCs/>
          <w:sz w:val="24"/>
          <w:u w:val="single"/>
          <w:lang w:val="en-GB"/>
        </w:rPr>
        <w:t>Tableau 6:</w:t>
      </w:r>
      <w:r>
        <w:rPr>
          <w:rFonts w:ascii="Times New Roman" w:hAnsi="Times New Roman" w:eastAsia="Calibri" w:cs="Times New Roman"/>
          <w:b/>
          <w:bCs/>
          <w:sz w:val="24"/>
          <w:lang w:val="en-GB"/>
        </w:rPr>
        <w:t xml:space="preserve"> Investissements initiaux (CAPEX)</w:t>
      </w:r>
    </w:p>
    <w:p w14:paraId="7307BF3C">
      <w:pPr>
        <w:spacing w:line="256" w:lineRule="auto"/>
        <w:rPr>
          <w:rFonts w:ascii="Times New Roman" w:hAnsi="Times New Roman" w:eastAsia="Calibri" w:cs="Times New Roman"/>
          <w:sz w:val="24"/>
        </w:rPr>
      </w:pPr>
    </w:p>
    <w:p w14:paraId="41504BAE">
      <w:pPr>
        <w:spacing w:line="256" w:lineRule="auto"/>
        <w:rPr>
          <w:rFonts w:ascii="Times New Roman" w:hAnsi="Times New Roman" w:eastAsia="Calibri" w:cs="Times New Roman"/>
          <w:sz w:val="24"/>
        </w:rPr>
      </w:pPr>
      <w:r>
        <w:rPr>
          <w:rFonts w:ascii="Times New Roman" w:hAnsi="Times New Roman" w:eastAsia="Calibri" w:cs="Times New Roman"/>
          <w:sz w:val="24"/>
        </w:rPr>
        <w:t>Ces investissements représentent 26% du financement total et concernent exclusivement du matériel informatique de pointe, indispensable au développement et à la maintenance du logiciel.</w:t>
      </w:r>
    </w:p>
    <w:p w14:paraId="407432B8">
      <w:pPr>
        <w:spacing w:line="256" w:lineRule="auto"/>
        <w:rPr>
          <w:rFonts w:ascii="Times New Roman" w:hAnsi="Times New Roman" w:eastAsia="Calibri" w:cs="Times New Roman"/>
          <w:sz w:val="24"/>
        </w:rPr>
      </w:pPr>
    </w:p>
    <w:p w14:paraId="2E0FA213">
      <w:pPr>
        <w:spacing w:line="256" w:lineRule="auto"/>
        <w:rPr>
          <w:rFonts w:ascii="Times New Roman" w:hAnsi="Times New Roman" w:eastAsia="Calibri" w:cs="Times New Roman"/>
          <w:sz w:val="24"/>
        </w:rPr>
      </w:pPr>
    </w:p>
    <w:p w14:paraId="540A0AA6">
      <w:pPr>
        <w:spacing w:line="256" w:lineRule="auto"/>
        <w:rPr>
          <w:rFonts w:ascii="Times New Roman" w:hAnsi="Times New Roman" w:eastAsia="Calibri" w:cs="Times New Roman"/>
          <w:sz w:val="24"/>
        </w:rPr>
      </w:pPr>
    </w:p>
    <w:p w14:paraId="6BCC52F1">
      <w:pPr>
        <w:spacing w:line="256" w:lineRule="auto"/>
        <w:rPr>
          <w:rFonts w:ascii="Times New Roman" w:hAnsi="Times New Roman" w:eastAsia="Calibri" w:cs="Times New Roman"/>
          <w:sz w:val="24"/>
        </w:rPr>
      </w:pPr>
    </w:p>
    <w:p w14:paraId="6B6620FC">
      <w:pPr>
        <w:spacing w:line="256" w:lineRule="auto"/>
        <w:rPr>
          <w:rFonts w:ascii="Times New Roman" w:hAnsi="Times New Roman" w:eastAsia="Calibri" w:cs="Times New Roman"/>
          <w:sz w:val="24"/>
        </w:rPr>
      </w:pPr>
    </w:p>
    <w:p w14:paraId="1D27FC43">
      <w:pPr>
        <w:spacing w:line="256" w:lineRule="auto"/>
        <w:rPr>
          <w:rFonts w:ascii="Times New Roman" w:hAnsi="Times New Roman" w:eastAsia="Calibri" w:cs="Times New Roman"/>
          <w:sz w:val="24"/>
        </w:rPr>
      </w:pPr>
    </w:p>
    <w:p w14:paraId="42B3A8A7">
      <w:pPr>
        <w:spacing w:line="256" w:lineRule="auto"/>
        <w:rPr>
          <w:rFonts w:ascii="Times New Roman" w:hAnsi="Times New Roman" w:eastAsia="Calibri" w:cs="Times New Roman"/>
          <w:sz w:val="24"/>
        </w:rPr>
      </w:pPr>
    </w:p>
    <w:p w14:paraId="2ABE8C5A">
      <w:pPr>
        <w:spacing w:line="256" w:lineRule="auto"/>
        <w:rPr>
          <w:rFonts w:ascii="Times New Roman" w:hAnsi="Times New Roman" w:eastAsia="Calibri" w:cs="Times New Roman"/>
          <w:b/>
          <w:bCs/>
          <w:sz w:val="24"/>
        </w:rPr>
      </w:pPr>
      <w:r>
        <w:rPr>
          <w:rFonts w:ascii="Times New Roman" w:hAnsi="Times New Roman" w:eastAsia="Calibri" w:cs="Times New Roman"/>
          <w:b/>
          <w:bCs/>
          <w:sz w:val="24"/>
        </w:rPr>
        <w:t>2- Coûts d'exploitation</w:t>
      </w:r>
    </w:p>
    <w:p w14:paraId="0AF06028">
      <w:pPr>
        <w:spacing w:line="256" w:lineRule="auto"/>
        <w:rPr>
          <w:rFonts w:ascii="Times New Roman" w:hAnsi="Times New Roman" w:eastAsia="Calibri" w:cs="Times New Roman"/>
          <w:sz w:val="24"/>
        </w:rPr>
      </w:pPr>
      <w:r>
        <w:rPr>
          <w:rFonts w:ascii="Times New Roman" w:hAnsi="Times New Roman" w:eastAsia="Calibri" w:cs="Times New Roman"/>
          <w:sz w:val="24"/>
        </w:rPr>
        <w:t>Le tableau 7 ci-dessous présente les charges d'exploitation annuelles prévisionnelles.</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463"/>
        <w:gridCol w:w="1943"/>
        <w:gridCol w:w="2144"/>
      </w:tblGrid>
      <w:tr w14:paraId="5816549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42A58BB7">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Poste</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3EDB343">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Année 1 (F CFA)</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3102EBA1">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Évolution annuelle</w:t>
            </w:r>
          </w:p>
        </w:tc>
      </w:tr>
      <w:tr w14:paraId="1B74C7C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BB8A555">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Ressources Humaines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5ABA4B8">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14 400 000</w:t>
            </w:r>
          </w:p>
        </w:tc>
        <w:tc>
          <w:tcPr>
            <w:tcW w:w="0" w:type="auto"/>
            <w:vMerge w:val="restart"/>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44DADD9E">
            <w:pPr>
              <w:spacing w:after="0" w:line="256" w:lineRule="auto"/>
              <w:jc w:val="center"/>
              <w:rPr>
                <w:rFonts w:ascii="Times New Roman" w:hAnsi="Times New Roman" w:eastAsia="Calibri" w:cs="Times New Roman"/>
                <w:sz w:val="24"/>
                <w:lang w:val="en-GB"/>
              </w:rPr>
            </w:pPr>
            <w:r>
              <w:rPr>
                <w:rFonts w:ascii="Times New Roman" w:hAnsi="Times New Roman" w:eastAsia="Calibri" w:cs="Times New Roman"/>
                <w:sz w:val="24"/>
                <w:lang w:val="en-GB"/>
              </w:rPr>
              <w:t>+3%</w:t>
            </w:r>
          </w:p>
        </w:tc>
      </w:tr>
      <w:tr w14:paraId="7B9BCAC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A20B472">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Salaire développeurs (x2)</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3B75821">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6 000 000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2BBC8DE1">
            <w:pPr>
              <w:spacing w:after="0" w:line="240" w:lineRule="auto"/>
              <w:rPr>
                <w:rFonts w:ascii="Times New Roman" w:hAnsi="Times New Roman" w:eastAsia="Calibri" w:cs="Times New Roman"/>
                <w:sz w:val="24"/>
                <w:lang w:val="en-GB"/>
              </w:rPr>
            </w:pPr>
          </w:p>
        </w:tc>
      </w:tr>
      <w:tr w14:paraId="37AF2D8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2C0010D">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Commercial / Support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AF51CD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2 400 000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685FA0F8">
            <w:pPr>
              <w:spacing w:after="0" w:line="240" w:lineRule="auto"/>
              <w:rPr>
                <w:rFonts w:ascii="Times New Roman" w:hAnsi="Times New Roman" w:eastAsia="Calibri" w:cs="Times New Roman"/>
                <w:sz w:val="24"/>
                <w:lang w:val="en-GB"/>
              </w:rPr>
            </w:pPr>
          </w:p>
        </w:tc>
      </w:tr>
      <w:tr w14:paraId="3B917D0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67248F1">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R&amp;D (Ingénieur méthodes)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965288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6 000 000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38D0C139">
            <w:pPr>
              <w:spacing w:after="0" w:line="240" w:lineRule="auto"/>
              <w:rPr>
                <w:rFonts w:ascii="Times New Roman" w:hAnsi="Times New Roman" w:eastAsia="Calibri" w:cs="Times New Roman"/>
                <w:sz w:val="24"/>
                <w:lang w:val="en-GB"/>
              </w:rPr>
            </w:pPr>
          </w:p>
        </w:tc>
      </w:tr>
      <w:tr w14:paraId="570BEBD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777314A">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Outils &amp; Infrastructure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2AACE5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1 700 000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3DBB572B">
            <w:pPr>
              <w:spacing w:after="0" w:line="240" w:lineRule="auto"/>
              <w:rPr>
                <w:rFonts w:ascii="Times New Roman" w:hAnsi="Times New Roman" w:eastAsia="Calibri" w:cs="Times New Roman"/>
                <w:sz w:val="24"/>
                <w:lang w:val="en-GB"/>
              </w:rPr>
            </w:pPr>
          </w:p>
        </w:tc>
      </w:tr>
      <w:tr w14:paraId="71C461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F640539">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Licences outils développement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B2965A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600 000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3E2D7A94">
            <w:pPr>
              <w:spacing w:after="0" w:line="240" w:lineRule="auto"/>
              <w:rPr>
                <w:rFonts w:ascii="Times New Roman" w:hAnsi="Times New Roman" w:eastAsia="Calibri" w:cs="Times New Roman"/>
                <w:sz w:val="24"/>
                <w:lang w:val="en-GB"/>
              </w:rPr>
            </w:pPr>
          </w:p>
        </w:tc>
      </w:tr>
      <w:tr w14:paraId="30CD92E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5DC3367">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Certification logiciel</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BACC52B">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500 000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6E14D8C9">
            <w:pPr>
              <w:spacing w:after="0" w:line="240" w:lineRule="auto"/>
              <w:rPr>
                <w:rFonts w:ascii="Times New Roman" w:hAnsi="Times New Roman" w:eastAsia="Calibri" w:cs="Times New Roman"/>
                <w:sz w:val="24"/>
                <w:lang w:val="en-GB"/>
              </w:rPr>
            </w:pPr>
          </w:p>
        </w:tc>
      </w:tr>
      <w:tr w14:paraId="0E80380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9887EF4">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Serveurs cloud (hébergement)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47B3FD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600 000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674CF5D7">
            <w:pPr>
              <w:spacing w:after="0" w:line="240" w:lineRule="auto"/>
              <w:rPr>
                <w:rFonts w:ascii="Times New Roman" w:hAnsi="Times New Roman" w:eastAsia="Calibri" w:cs="Times New Roman"/>
                <w:sz w:val="24"/>
                <w:lang w:val="en-GB"/>
              </w:rPr>
            </w:pPr>
          </w:p>
        </w:tc>
      </w:tr>
      <w:tr w14:paraId="56C393E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7F27F91">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Marketing &amp; Acquisition</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D14D6C2">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4 800 000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037FBEB3">
            <w:pPr>
              <w:spacing w:after="0" w:line="240" w:lineRule="auto"/>
              <w:rPr>
                <w:rFonts w:ascii="Times New Roman" w:hAnsi="Times New Roman" w:eastAsia="Calibri" w:cs="Times New Roman"/>
                <w:sz w:val="24"/>
                <w:lang w:val="en-GB"/>
              </w:rPr>
            </w:pPr>
          </w:p>
        </w:tc>
      </w:tr>
      <w:tr w14:paraId="1C55348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80E95BC">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Marketing digital</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2930E5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3 600 000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6E99C631">
            <w:pPr>
              <w:spacing w:after="0" w:line="240" w:lineRule="auto"/>
              <w:rPr>
                <w:rFonts w:ascii="Times New Roman" w:hAnsi="Times New Roman" w:eastAsia="Calibri" w:cs="Times New Roman"/>
                <w:sz w:val="24"/>
                <w:lang w:val="en-GB"/>
              </w:rPr>
            </w:pPr>
          </w:p>
        </w:tc>
      </w:tr>
      <w:tr w14:paraId="67F1780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BCDA452">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Prospection terrain</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B259FE0">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1 200 000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1D733629">
            <w:pPr>
              <w:spacing w:after="0" w:line="240" w:lineRule="auto"/>
              <w:rPr>
                <w:rFonts w:ascii="Times New Roman" w:hAnsi="Times New Roman" w:eastAsia="Calibri" w:cs="Times New Roman"/>
                <w:sz w:val="24"/>
                <w:lang w:val="en-GB"/>
              </w:rPr>
            </w:pPr>
          </w:p>
        </w:tc>
      </w:tr>
      <w:tr w14:paraId="1848AD6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5962957">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Frais généraux</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CBCBA0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600 000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4F3AA7EA">
            <w:pPr>
              <w:spacing w:after="0" w:line="240" w:lineRule="auto"/>
              <w:rPr>
                <w:rFonts w:ascii="Times New Roman" w:hAnsi="Times New Roman" w:eastAsia="Calibri" w:cs="Times New Roman"/>
                <w:sz w:val="24"/>
                <w:lang w:val="en-GB"/>
              </w:rPr>
            </w:pPr>
          </w:p>
        </w:tc>
      </w:tr>
      <w:tr w14:paraId="48C91DB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7300EE5">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 Internet &amp; téléphone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9B84AE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600 000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3E1F1082">
            <w:pPr>
              <w:spacing w:after="0" w:line="240" w:lineRule="auto"/>
              <w:rPr>
                <w:rFonts w:ascii="Times New Roman" w:hAnsi="Times New Roman" w:eastAsia="Calibri" w:cs="Times New Roman"/>
                <w:sz w:val="24"/>
                <w:lang w:val="en-GB"/>
              </w:rPr>
            </w:pPr>
          </w:p>
        </w:tc>
      </w:tr>
      <w:tr w14:paraId="3382F66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6861B85">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TOTAL OPEX Année 1</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1DAAAF0">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21 500 000</w:t>
            </w:r>
          </w:p>
        </w:tc>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7CDC890F">
            <w:pPr>
              <w:spacing w:after="0" w:line="240" w:lineRule="auto"/>
              <w:rPr>
                <w:rFonts w:ascii="Times New Roman" w:hAnsi="Times New Roman" w:eastAsia="Calibri" w:cs="Times New Roman"/>
                <w:sz w:val="24"/>
                <w:lang w:val="en-GB"/>
              </w:rPr>
            </w:pPr>
          </w:p>
        </w:tc>
      </w:tr>
    </w:tbl>
    <w:p w14:paraId="247CA786">
      <w:pPr>
        <w:spacing w:line="256" w:lineRule="auto"/>
        <w:rPr>
          <w:rFonts w:ascii="Times New Roman" w:hAnsi="Times New Roman" w:eastAsia="Calibri" w:cs="Times New Roman"/>
          <w:b/>
          <w:bCs/>
          <w:sz w:val="24"/>
        </w:rPr>
      </w:pPr>
      <w:r>
        <w:rPr>
          <w:rFonts w:ascii="Times New Roman" w:hAnsi="Times New Roman" w:eastAsia="Calibri" w:cs="Times New Roman"/>
          <w:b/>
          <w:bCs/>
          <w:sz w:val="24"/>
        </w:rPr>
        <w:t xml:space="preserve">            </w:t>
      </w:r>
      <w:r>
        <w:rPr>
          <w:rFonts w:ascii="Times New Roman" w:hAnsi="Times New Roman" w:eastAsia="Calibri" w:cs="Times New Roman"/>
          <w:b/>
          <w:bCs/>
          <w:sz w:val="24"/>
          <w:u w:val="single"/>
        </w:rPr>
        <w:t>Tableau 7 :</w:t>
      </w:r>
      <w:r>
        <w:rPr>
          <w:rFonts w:ascii="Times New Roman" w:hAnsi="Times New Roman" w:eastAsia="Calibri" w:cs="Times New Roman"/>
          <w:b/>
          <w:bCs/>
          <w:sz w:val="24"/>
        </w:rPr>
        <w:t xml:space="preserve"> Coûts d'exploitation annuels (OPEX)</w:t>
      </w:r>
    </w:p>
    <w:p w14:paraId="47408632">
      <w:pPr>
        <w:spacing w:line="256" w:lineRule="auto"/>
        <w:rPr>
          <w:rFonts w:ascii="Times New Roman" w:hAnsi="Times New Roman" w:eastAsia="Calibri" w:cs="Times New Roman"/>
          <w:b/>
          <w:bCs/>
          <w:sz w:val="24"/>
        </w:rPr>
      </w:pPr>
    </w:p>
    <w:p w14:paraId="58A6AE3A">
      <w:pPr>
        <w:numPr>
          <w:ilvl w:val="0"/>
          <w:numId w:val="18"/>
        </w:numPr>
        <w:spacing w:line="256" w:lineRule="auto"/>
        <w:ind w:left="360"/>
        <w:contextualSpacing/>
        <w:rPr>
          <w:rFonts w:ascii="Times New Roman" w:hAnsi="Times New Roman" w:eastAsia="Calibri" w:cs="Times New Roman"/>
          <w:b/>
          <w:bCs/>
          <w:sz w:val="24"/>
        </w:rPr>
      </w:pPr>
      <w:r>
        <w:rPr>
          <w:rFonts w:ascii="Times New Roman" w:hAnsi="Times New Roman" w:eastAsia="Calibri" w:cs="Times New Roman"/>
          <w:b/>
          <w:bCs/>
          <w:sz w:val="24"/>
        </w:rPr>
        <w:t>Revenus du projet</w:t>
      </w:r>
    </w:p>
    <w:p w14:paraId="204F16C2">
      <w:pPr>
        <w:pStyle w:val="36"/>
        <w:numPr>
          <w:ilvl w:val="0"/>
          <w:numId w:val="19"/>
        </w:numPr>
        <w:spacing w:line="256" w:lineRule="auto"/>
        <w:rPr>
          <w:rFonts w:ascii="Times New Roman" w:hAnsi="Times New Roman" w:eastAsia="Calibri" w:cs="Times New Roman"/>
          <w:b/>
          <w:bCs/>
          <w:sz w:val="24"/>
        </w:rPr>
      </w:pPr>
      <w:r>
        <w:rPr>
          <w:rFonts w:ascii="Times New Roman" w:hAnsi="Times New Roman" w:eastAsia="Calibri" w:cs="Times New Roman"/>
          <w:b/>
          <w:bCs/>
          <w:sz w:val="24"/>
        </w:rPr>
        <w:t>Ventes de licence</w:t>
      </w:r>
    </w:p>
    <w:p w14:paraId="14E5F0FC">
      <w:pPr>
        <w:spacing w:line="256" w:lineRule="auto"/>
        <w:rPr>
          <w:rFonts w:ascii="Times New Roman" w:hAnsi="Times New Roman" w:eastAsia="Calibri" w:cs="Times New Roman"/>
          <w:sz w:val="24"/>
        </w:rPr>
      </w:pPr>
      <w:r>
        <w:rPr>
          <w:rFonts w:ascii="Times New Roman" w:hAnsi="Times New Roman" w:eastAsia="Calibri" w:cs="Times New Roman"/>
          <w:sz w:val="24"/>
        </w:rPr>
        <w:t>Le modèle économique repose sur la vente de licences logicielles selon trois segments tarifaires, présentés dans le tableau 8.</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496"/>
        <w:gridCol w:w="2656"/>
        <w:gridCol w:w="1549"/>
      </w:tblGrid>
      <w:tr w14:paraId="560BB7A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45AB03D">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Segment</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627F2F2">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Type de licence</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359FFF23">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Prix (F CFA)</w:t>
            </w:r>
          </w:p>
        </w:tc>
      </w:tr>
      <w:tr w14:paraId="4872D07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vMerge w:val="restart"/>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1A918EFC">
            <w:pPr>
              <w:spacing w:after="0" w:line="256" w:lineRule="auto"/>
              <w:jc w:val="center"/>
              <w:rPr>
                <w:rFonts w:ascii="Times New Roman" w:hAnsi="Times New Roman" w:eastAsia="Calibri" w:cs="Times New Roman"/>
                <w:b/>
                <w:bCs/>
                <w:sz w:val="24"/>
                <w:lang w:val="en-GB"/>
              </w:rPr>
            </w:pPr>
            <w:r>
              <w:rPr>
                <w:rFonts w:ascii="Times New Roman" w:hAnsi="Times New Roman" w:eastAsia="Calibri" w:cs="Times New Roman"/>
                <w:b/>
                <w:bCs/>
                <w:sz w:val="24"/>
                <w:lang w:val="en-GB"/>
              </w:rPr>
              <w:t>Étudiant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D27230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Journalière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1788AD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1 000</w:t>
            </w:r>
          </w:p>
        </w:tc>
      </w:tr>
      <w:tr w14:paraId="652DBB1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77B34854">
            <w:pPr>
              <w:spacing w:after="0" w:line="240" w:lineRule="auto"/>
              <w:rPr>
                <w:rFonts w:ascii="Times New Roman" w:hAnsi="Times New Roman" w:eastAsia="Calibri" w:cs="Times New Roman"/>
                <w:b/>
                <w:bCs/>
                <w:sz w:val="24"/>
                <w:lang w:val="en-GB"/>
              </w:rPr>
            </w:pP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3EAB11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Hebdomadaire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D984221">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2 500</w:t>
            </w:r>
          </w:p>
        </w:tc>
      </w:tr>
      <w:tr w14:paraId="75F2CF0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26701A2F">
            <w:pPr>
              <w:spacing w:after="0" w:line="240" w:lineRule="auto"/>
              <w:rPr>
                <w:rFonts w:ascii="Times New Roman" w:hAnsi="Times New Roman" w:eastAsia="Calibri" w:cs="Times New Roman"/>
                <w:b/>
                <w:bCs/>
                <w:sz w:val="24"/>
                <w:lang w:val="en-GB"/>
              </w:rPr>
            </w:pP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5A93DF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Mensuelle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8BAEBB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5 000</w:t>
            </w:r>
          </w:p>
        </w:tc>
      </w:tr>
      <w:tr w14:paraId="73D7FB6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vMerge w:val="restart"/>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7EFC6AA5">
            <w:pPr>
              <w:spacing w:after="0" w:line="256" w:lineRule="auto"/>
              <w:jc w:val="center"/>
              <w:rPr>
                <w:rFonts w:ascii="Times New Roman" w:hAnsi="Times New Roman" w:eastAsia="Calibri" w:cs="Times New Roman"/>
                <w:b/>
                <w:bCs/>
                <w:sz w:val="24"/>
                <w:lang w:val="en-GB"/>
              </w:rPr>
            </w:pPr>
            <w:r>
              <w:rPr>
                <w:rFonts w:ascii="Times New Roman" w:hAnsi="Times New Roman" w:eastAsia="Calibri" w:cs="Times New Roman"/>
                <w:b/>
                <w:bCs/>
                <w:sz w:val="24"/>
                <w:lang w:val="en-GB"/>
              </w:rPr>
              <w:t>Commercial</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49443F0">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Mensuelle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6FF1BB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20 000</w:t>
            </w:r>
          </w:p>
        </w:tc>
      </w:tr>
      <w:tr w14:paraId="317EB4B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vMerge w:val="continue"/>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vAlign w:val="center"/>
          </w:tcPr>
          <w:p w14:paraId="3FD54F4D">
            <w:pPr>
              <w:spacing w:after="0" w:line="240" w:lineRule="auto"/>
              <w:rPr>
                <w:rFonts w:ascii="Times New Roman" w:hAnsi="Times New Roman" w:eastAsia="Calibri" w:cs="Times New Roman"/>
                <w:b/>
                <w:bCs/>
                <w:sz w:val="24"/>
                <w:lang w:val="en-GB"/>
              </w:rPr>
            </w:pP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5501A8E">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Annuelle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D17B4C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150 000</w:t>
            </w:r>
          </w:p>
        </w:tc>
      </w:tr>
      <w:tr w14:paraId="574BCA4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vAlign w:val="center"/>
          </w:tcPr>
          <w:p w14:paraId="64E7D7CD">
            <w:pPr>
              <w:spacing w:after="0" w:line="256" w:lineRule="auto"/>
              <w:jc w:val="center"/>
              <w:rPr>
                <w:rFonts w:ascii="Times New Roman" w:hAnsi="Times New Roman" w:eastAsia="Calibri" w:cs="Times New Roman"/>
                <w:b/>
                <w:bCs/>
                <w:sz w:val="24"/>
                <w:lang w:val="en-GB"/>
              </w:rPr>
            </w:pPr>
            <w:r>
              <w:rPr>
                <w:rFonts w:ascii="Times New Roman" w:hAnsi="Times New Roman" w:eastAsia="Calibri" w:cs="Times New Roman"/>
                <w:b/>
                <w:bCs/>
                <w:sz w:val="24"/>
                <w:lang w:val="en-GB"/>
              </w:rPr>
              <w:t>Académique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D4EAEF6">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Annuelle (par institution)</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E9AE4E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100 000</w:t>
            </w:r>
          </w:p>
        </w:tc>
      </w:tr>
    </w:tbl>
    <w:p w14:paraId="119C02A0">
      <w:pPr>
        <w:spacing w:line="256" w:lineRule="auto"/>
        <w:rPr>
          <w:rFonts w:ascii="Times New Roman" w:hAnsi="Times New Roman" w:eastAsia="Calibri" w:cs="Times New Roman"/>
          <w:sz w:val="24"/>
        </w:rPr>
      </w:pPr>
      <w:r>
        <w:rPr>
          <w:rFonts w:ascii="Times New Roman" w:hAnsi="Times New Roman" w:eastAsia="Calibri" w:cs="Times New Roman"/>
          <w:b/>
          <w:bCs/>
          <w:sz w:val="24"/>
          <w:lang w:val="en-GB"/>
        </w:rPr>
        <w:t xml:space="preserve">                           </w:t>
      </w:r>
      <w:r>
        <w:rPr>
          <w:rFonts w:ascii="Times New Roman" w:hAnsi="Times New Roman" w:eastAsia="Calibri" w:cs="Times New Roman"/>
          <w:b/>
          <w:bCs/>
          <w:sz w:val="24"/>
          <w:u w:val="single"/>
          <w:lang w:val="en-GB"/>
        </w:rPr>
        <w:t>Tableau 8:</w:t>
      </w:r>
      <w:r>
        <w:rPr>
          <w:rFonts w:ascii="Times New Roman" w:hAnsi="Times New Roman" w:eastAsia="Calibri" w:cs="Times New Roman"/>
          <w:b/>
          <w:bCs/>
          <w:sz w:val="24"/>
          <w:lang w:val="en-GB"/>
        </w:rPr>
        <w:t xml:space="preserve"> Structure tarifaire des licences</w:t>
      </w:r>
    </w:p>
    <w:p w14:paraId="291D7F21">
      <w:pPr>
        <w:spacing w:line="256" w:lineRule="auto"/>
        <w:rPr>
          <w:rFonts w:ascii="Times New Roman" w:hAnsi="Times New Roman" w:eastAsia="Calibri" w:cs="Times New Roman"/>
          <w:sz w:val="24"/>
        </w:rPr>
      </w:pPr>
      <w:r>
        <w:rPr>
          <w:rFonts w:ascii="Times New Roman" w:hAnsi="Times New Roman" w:eastAsia="Calibri" w:cs="Times New Roman"/>
          <w:sz w:val="24"/>
        </w:rPr>
        <w:t>Cette segmentation permet de maximiser la pénétration du marché (étudiants = futurs professionnels) tout en captant la valeur auprès des clients commerciaux et institutionnels.</w:t>
      </w:r>
    </w:p>
    <w:p w14:paraId="4438F15A">
      <w:pPr>
        <w:spacing w:line="256" w:lineRule="auto"/>
        <w:rPr>
          <w:rFonts w:ascii="Times New Roman" w:hAnsi="Times New Roman" w:eastAsia="Calibri" w:cs="Times New Roman"/>
          <w:sz w:val="24"/>
        </w:rPr>
      </w:pPr>
      <w:r>
        <w:rPr>
          <w:rFonts w:ascii="Times New Roman" w:hAnsi="Times New Roman" w:eastAsia="Calibri" w:cs="Times New Roman"/>
          <w:sz w:val="24"/>
        </w:rPr>
        <w:t>Le tableau 9 ci-dessous présente les projections de chiffre d'affaires sur 5 ans.</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870"/>
        <w:gridCol w:w="2525"/>
        <w:gridCol w:w="1810"/>
        <w:gridCol w:w="2880"/>
      </w:tblGrid>
      <w:tr w14:paraId="6DD4FBB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78FE329">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Année</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60A7117">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Utilisateurs Freemium</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9A146FD">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Clients Payants</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B2D2443">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Chiffre d'affaires (F CFA)</w:t>
            </w:r>
          </w:p>
        </w:tc>
      </w:tr>
      <w:tr w14:paraId="1D1E186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EC8E84F">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2026</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C84CFEE">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E299DE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130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D9B627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7 911 000</w:t>
            </w:r>
          </w:p>
        </w:tc>
      </w:tr>
      <w:tr w14:paraId="18AAFCC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69AC35E">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2027</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A45BD7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1 250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0829A0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359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D5B0A68">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21 755 250</w:t>
            </w:r>
          </w:p>
        </w:tc>
      </w:tr>
      <w:tr w14:paraId="2D8C3A4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2B0C1E3">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2028</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20B044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1 563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BAF31A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739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B1130D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44 993 813</w:t>
            </w:r>
          </w:p>
        </w:tc>
      </w:tr>
      <w:tr w14:paraId="646131A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7A43471">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17CC8E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1 953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B34883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1 363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95A32F2">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82 941 891</w:t>
            </w:r>
          </w:p>
        </w:tc>
      </w:tr>
      <w:tr w14:paraId="7100D90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FBA8EEF">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2030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30A5AA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2 441</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F44FEB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2 362</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4EC1C28">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143 726 801</w:t>
            </w:r>
          </w:p>
        </w:tc>
      </w:tr>
    </w:tbl>
    <w:p w14:paraId="48940CEF">
      <w:pPr>
        <w:spacing w:line="256" w:lineRule="auto"/>
        <w:rPr>
          <w:rFonts w:ascii="Times New Roman" w:hAnsi="Times New Roman" w:eastAsia="Calibri" w:cs="Times New Roman"/>
          <w:sz w:val="24"/>
        </w:rPr>
      </w:pPr>
      <w:r>
        <w:rPr>
          <w:rFonts w:ascii="Times New Roman" w:hAnsi="Times New Roman" w:eastAsia="Calibri" w:cs="Times New Roman"/>
          <w:b/>
          <w:bCs/>
          <w:sz w:val="24"/>
        </w:rPr>
        <w:t xml:space="preserve">       </w:t>
      </w:r>
      <w:r>
        <w:rPr>
          <w:rFonts w:ascii="Times New Roman" w:hAnsi="Times New Roman" w:eastAsia="Calibri" w:cs="Times New Roman"/>
          <w:b/>
          <w:bCs/>
          <w:sz w:val="24"/>
          <w:u w:val="single"/>
        </w:rPr>
        <w:t>Tableau 9 :</w:t>
      </w:r>
      <w:r>
        <w:rPr>
          <w:rFonts w:ascii="Times New Roman" w:hAnsi="Times New Roman" w:eastAsia="Calibri" w:cs="Times New Roman"/>
          <w:b/>
          <w:bCs/>
          <w:sz w:val="24"/>
        </w:rPr>
        <w:t xml:space="preserve"> Projections de chiffre d'affaires</w:t>
      </w:r>
    </w:p>
    <w:p w14:paraId="72C109A8">
      <w:pPr>
        <w:spacing w:line="256" w:lineRule="auto"/>
        <w:rPr>
          <w:rFonts w:ascii="Times New Roman" w:hAnsi="Times New Roman" w:eastAsia="Calibri" w:cs="Times New Roman"/>
          <w:sz w:val="24"/>
        </w:rPr>
      </w:pPr>
      <w:r>
        <w:rPr>
          <w:rFonts w:ascii="Times New Roman" w:hAnsi="Times New Roman" w:eastAsia="Calibri" w:cs="Times New Roman"/>
          <w:sz w:val="24"/>
        </w:rPr>
        <w:t>La croissance du chiffre d'affaires repose sur les hypothèses suivantes :</w:t>
      </w:r>
    </w:p>
    <w:p w14:paraId="729C7441">
      <w:pPr>
        <w:numPr>
          <w:ilvl w:val="0"/>
          <w:numId w:val="20"/>
        </w:numPr>
        <w:spacing w:line="256" w:lineRule="auto"/>
        <w:rPr>
          <w:rFonts w:ascii="Times New Roman" w:hAnsi="Times New Roman" w:eastAsia="Calibri" w:cs="Times New Roman"/>
          <w:sz w:val="24"/>
        </w:rPr>
      </w:pPr>
      <w:r>
        <w:rPr>
          <w:rFonts w:ascii="Times New Roman" w:hAnsi="Times New Roman" w:eastAsia="Calibri" w:cs="Times New Roman"/>
          <w:b/>
          <w:bCs/>
          <w:sz w:val="24"/>
        </w:rPr>
        <w:t>Taux de conversion Freemium → Payant</w:t>
      </w:r>
      <w:r>
        <w:rPr>
          <w:rFonts w:ascii="Times New Roman" w:hAnsi="Times New Roman" w:eastAsia="Calibri" w:cs="Times New Roman"/>
          <w:sz w:val="24"/>
        </w:rPr>
        <w:t> : 5% (commerciaux), 1% (académiques), 7% (étudiants). Ces taux sont prudents, basés sur les benchmarks SaaS B2B (moyenne secteur : 3-5%).</w:t>
      </w:r>
    </w:p>
    <w:p w14:paraId="7724D620">
      <w:pPr>
        <w:numPr>
          <w:ilvl w:val="0"/>
          <w:numId w:val="20"/>
        </w:numPr>
        <w:spacing w:line="256" w:lineRule="auto"/>
        <w:rPr>
          <w:rFonts w:ascii="Times New Roman" w:hAnsi="Times New Roman" w:eastAsia="Calibri" w:cs="Times New Roman"/>
          <w:sz w:val="24"/>
        </w:rPr>
      </w:pPr>
      <w:r>
        <w:rPr>
          <w:rFonts w:ascii="Times New Roman" w:hAnsi="Times New Roman" w:eastAsia="Calibri" w:cs="Times New Roman"/>
          <w:b/>
          <w:bCs/>
          <w:sz w:val="24"/>
        </w:rPr>
        <w:t>Taux de rétention annuel</w:t>
      </w:r>
      <w:r>
        <w:rPr>
          <w:rFonts w:ascii="Times New Roman" w:hAnsi="Times New Roman" w:eastAsia="Calibri" w:cs="Times New Roman"/>
          <w:sz w:val="24"/>
        </w:rPr>
        <w:t> : 50%. Ce taux conservateur tient compte de la saisonnalité des projets solaires et du renouvellement progressif des licences.</w:t>
      </w:r>
    </w:p>
    <w:p w14:paraId="798A7FF8">
      <w:pPr>
        <w:numPr>
          <w:ilvl w:val="0"/>
          <w:numId w:val="20"/>
        </w:numPr>
        <w:spacing w:line="256" w:lineRule="auto"/>
        <w:rPr>
          <w:rFonts w:ascii="Times New Roman" w:hAnsi="Times New Roman" w:eastAsia="Calibri" w:cs="Times New Roman"/>
          <w:sz w:val="24"/>
        </w:rPr>
      </w:pPr>
      <w:r>
        <w:rPr>
          <w:rFonts w:ascii="Times New Roman" w:hAnsi="Times New Roman" w:eastAsia="Calibri" w:cs="Times New Roman"/>
          <w:b/>
          <w:bCs/>
          <w:sz w:val="24"/>
        </w:rPr>
        <w:t>Croissance des utilisateurs Freemium</w:t>
      </w:r>
      <w:r>
        <w:rPr>
          <w:rFonts w:ascii="Times New Roman" w:hAnsi="Times New Roman" w:eastAsia="Calibri" w:cs="Times New Roman"/>
          <w:sz w:val="24"/>
        </w:rPr>
        <w:t> : +25% par an, soutenue par le marketing digital et les partenariats académiques</w:t>
      </w:r>
    </w:p>
    <w:p w14:paraId="777844FF">
      <w:pPr>
        <w:spacing w:line="256" w:lineRule="auto"/>
        <w:ind w:left="720"/>
        <w:rPr>
          <w:rFonts w:ascii="Times New Roman" w:hAnsi="Times New Roman" w:eastAsia="Calibri" w:cs="Times New Roman"/>
          <w:sz w:val="24"/>
        </w:rPr>
      </w:pPr>
    </w:p>
    <w:p w14:paraId="46383438">
      <w:pPr>
        <w:numPr>
          <w:ilvl w:val="0"/>
          <w:numId w:val="18"/>
        </w:numPr>
        <w:spacing w:line="256" w:lineRule="auto"/>
        <w:ind w:left="360"/>
        <w:contextualSpacing/>
        <w:rPr>
          <w:rFonts w:ascii="Times New Roman" w:hAnsi="Times New Roman" w:eastAsia="Calibri" w:cs="Times New Roman"/>
          <w:b/>
          <w:bCs/>
          <w:sz w:val="24"/>
        </w:rPr>
      </w:pPr>
      <w:r>
        <w:rPr>
          <w:rFonts w:ascii="Times New Roman" w:hAnsi="Times New Roman" w:eastAsia="Calibri" w:cs="Times New Roman"/>
          <w:b/>
          <w:bCs/>
          <w:sz w:val="24"/>
        </w:rPr>
        <w:t>Compte d’exploitation (résultat net)</w:t>
      </w:r>
    </w:p>
    <w:p w14:paraId="0750220F">
      <w:pPr>
        <w:spacing w:line="256" w:lineRule="auto"/>
        <w:rPr>
          <w:rFonts w:ascii="Times New Roman" w:hAnsi="Times New Roman" w:eastAsia="Calibri" w:cs="Times New Roman"/>
          <w:sz w:val="24"/>
        </w:rPr>
      </w:pPr>
      <w:r>
        <w:rPr>
          <w:rFonts w:ascii="Times New Roman" w:hAnsi="Times New Roman" w:eastAsia="Calibri" w:cs="Times New Roman"/>
          <w:sz w:val="24"/>
        </w:rPr>
        <w:t>Le tableau 10 ci-dessous présente le compte de résultat prévisionnel sur 5 ans.</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122"/>
        <w:gridCol w:w="1417"/>
        <w:gridCol w:w="1276"/>
        <w:gridCol w:w="1537"/>
        <w:gridCol w:w="1433"/>
        <w:gridCol w:w="1433"/>
      </w:tblGrid>
      <w:tr w14:paraId="4A0C5C2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2837456F">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Libellé</w:t>
            </w:r>
          </w:p>
        </w:tc>
        <w:tc>
          <w:tcPr>
            <w:tcW w:w="141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B6F7EB3">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2026</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F5C8EE4">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2027</w:t>
            </w:r>
          </w:p>
        </w:tc>
        <w:tc>
          <w:tcPr>
            <w:tcW w:w="153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CE29008">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2028</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ABC3628">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2029</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1767FA9">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2030</w:t>
            </w:r>
          </w:p>
        </w:tc>
      </w:tr>
      <w:tr w14:paraId="12748CF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737EAE8">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Chiffre d'affaires</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73B9C9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7 911 000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4F37D0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21 755 250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C0FB75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44 993 813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1F9DAA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80 740 000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946F6B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143 726 801</w:t>
            </w:r>
          </w:p>
        </w:tc>
      </w:tr>
      <w:tr w14:paraId="4145343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C50FDE8">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Charges d'exploitation</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A2971C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21 500 000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2FE46C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22 145 000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FEEA45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22 809 350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124CD6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23 493 631</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BE953E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24 198 440</w:t>
            </w:r>
          </w:p>
        </w:tc>
      </w:tr>
      <w:tr w14:paraId="52333EB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6F1F3AF">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EBITDA</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B1E4D26">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-13 589 000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4829D12">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-389 750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1D0957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22 184 463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A025BC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57 246 369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787DCE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119 528 361</w:t>
            </w:r>
          </w:p>
        </w:tc>
      </w:tr>
      <w:tr w14:paraId="5F5F9C0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2F92143">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Amortissement</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A7DBEB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1 180 000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50A2ED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1 180 000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2B50A70">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1 180 000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65E33F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1 180 000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6FC7D4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1 180 000</w:t>
            </w:r>
          </w:p>
        </w:tc>
      </w:tr>
      <w:tr w14:paraId="21651C4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1F1CD6C">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EBIT</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462A55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-14 769 000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76EC7D0">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-1 569 750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FF4470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21 004 463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9560141">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56 066 369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37B046B">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118 348 361</w:t>
            </w:r>
          </w:p>
        </w:tc>
      </w:tr>
      <w:tr w14:paraId="2A3F945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EFA3AAA">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Frais financiers</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0A95D0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3 836 000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C63BF00">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3 068 800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9A31F78">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2 301 600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1FB087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1 534 400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680E78B">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767 200</w:t>
            </w:r>
          </w:p>
        </w:tc>
      </w:tr>
      <w:tr w14:paraId="3D5F099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429B294">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EBT</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EB4B8B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-18 605 000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61F6CB1">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-4 638 550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E99BA2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18 702 863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A888EE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54 531 969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3DE974B">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117 581 161</w:t>
            </w:r>
          </w:p>
        </w:tc>
      </w:tr>
      <w:tr w14:paraId="4141DB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2009F22">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Impôts (27%)</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CE59FA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02BEF98">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0935DB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5 049 773</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07F9BA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14 723 632</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A837C3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31 746 913</w:t>
            </w:r>
          </w:p>
        </w:tc>
      </w:tr>
      <w:tr w14:paraId="5CF75A1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122"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68D63FC">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Résultat Net</w:t>
            </w:r>
          </w:p>
        </w:tc>
        <w:tc>
          <w:tcPr>
            <w:tcW w:w="141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94188C6">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-18 605 000</w:t>
            </w:r>
          </w:p>
        </w:tc>
        <w:tc>
          <w:tcPr>
            <w:tcW w:w="127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228DFAE">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-4 638 550</w:t>
            </w:r>
          </w:p>
        </w:tc>
        <w:tc>
          <w:tcPr>
            <w:tcW w:w="1537"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51A088E">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+13 653 090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2C6EA41">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+39 808 337</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415A211">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+85 834 248</w:t>
            </w:r>
          </w:p>
        </w:tc>
      </w:tr>
    </w:tbl>
    <w:p w14:paraId="1847FE1F">
      <w:pPr>
        <w:spacing w:line="256" w:lineRule="auto"/>
        <w:rPr>
          <w:rFonts w:ascii="Times New Roman" w:hAnsi="Times New Roman" w:eastAsia="Calibri" w:cs="Times New Roman"/>
          <w:sz w:val="24"/>
        </w:rPr>
      </w:pPr>
      <w:r>
        <w:rPr>
          <w:rFonts w:ascii="Times New Roman" w:hAnsi="Times New Roman" w:eastAsia="Calibri" w:cs="Times New Roman"/>
          <w:b/>
          <w:bCs/>
          <w:sz w:val="24"/>
          <w:u w:val="single"/>
        </w:rPr>
        <w:t>Tableau 10 :</w:t>
      </w:r>
      <w:r>
        <w:rPr>
          <w:rFonts w:ascii="Times New Roman" w:hAnsi="Times New Roman" w:eastAsia="Calibri" w:cs="Times New Roman"/>
          <w:b/>
          <w:bCs/>
          <w:sz w:val="24"/>
        </w:rPr>
        <w:t xml:space="preserve"> Compte de résultat prévisionnel</w:t>
      </w:r>
    </w:p>
    <w:p w14:paraId="1CECB5F8">
      <w:pPr>
        <w:spacing w:line="256" w:lineRule="auto"/>
        <w:rPr>
          <w:rFonts w:ascii="Times New Roman" w:hAnsi="Times New Roman" w:eastAsia="Calibri" w:cs="Times New Roman"/>
          <w:sz w:val="24"/>
        </w:rPr>
      </w:pPr>
      <w:r>
        <w:rPr>
          <w:rFonts w:ascii="Times New Roman" w:hAnsi="Times New Roman" w:eastAsia="Calibri" w:cs="Times New Roman"/>
          <w:sz w:val="24"/>
        </w:rPr>
        <w:t>Le projet affiche un résultat net négatif les deux premières années (phase de pénétration), avant de dégager un bénéfice significatif à partir de l'Année 3. Le résultat net cumulé sur 5 ans atteint </w:t>
      </w:r>
      <w:r>
        <w:rPr>
          <w:rFonts w:ascii="Times New Roman" w:hAnsi="Times New Roman" w:eastAsia="Calibri" w:cs="Times New Roman"/>
          <w:b/>
          <w:bCs/>
          <w:sz w:val="24"/>
        </w:rPr>
        <w:t>+116 052 125 F CFA</w:t>
      </w:r>
      <w:r>
        <w:rPr>
          <w:rFonts w:ascii="Times New Roman" w:hAnsi="Times New Roman" w:eastAsia="Calibri" w:cs="Times New Roman"/>
          <w:sz w:val="24"/>
        </w:rPr>
        <w:t>.</w:t>
      </w:r>
    </w:p>
    <w:p w14:paraId="400DA23E">
      <w:pPr>
        <w:spacing w:line="256" w:lineRule="auto"/>
        <w:ind w:left="720"/>
        <w:contextualSpacing/>
        <w:rPr>
          <w:rFonts w:ascii="Times New Roman" w:hAnsi="Times New Roman" w:eastAsia="Calibri" w:cs="Times New Roman"/>
          <w:b/>
          <w:bCs/>
          <w:sz w:val="24"/>
        </w:rPr>
      </w:pPr>
    </w:p>
    <w:p w14:paraId="6615F25F">
      <w:pPr>
        <w:numPr>
          <w:ilvl w:val="0"/>
          <w:numId w:val="18"/>
        </w:numPr>
        <w:spacing w:line="256" w:lineRule="auto"/>
        <w:ind w:left="360"/>
        <w:contextualSpacing/>
        <w:rPr>
          <w:rFonts w:ascii="Times New Roman" w:hAnsi="Times New Roman" w:eastAsia="Calibri" w:cs="Times New Roman"/>
          <w:b/>
          <w:bCs/>
          <w:sz w:val="24"/>
        </w:rPr>
      </w:pPr>
      <w:r>
        <w:rPr>
          <w:rFonts w:ascii="Times New Roman" w:hAnsi="Times New Roman" w:eastAsia="Calibri" w:cs="Times New Roman"/>
          <w:b/>
          <w:bCs/>
          <w:sz w:val="24"/>
        </w:rPr>
        <w:t>Flux de trésorerie</w:t>
      </w:r>
    </w:p>
    <w:p w14:paraId="6644BE63">
      <w:pPr>
        <w:spacing w:line="256" w:lineRule="auto"/>
        <w:rPr>
          <w:rFonts w:ascii="Times New Roman" w:hAnsi="Times New Roman" w:eastAsia="Calibri" w:cs="Times New Roman"/>
          <w:sz w:val="24"/>
        </w:rPr>
      </w:pPr>
      <w:r>
        <w:rPr>
          <w:rFonts w:ascii="Times New Roman" w:hAnsi="Times New Roman" w:eastAsia="Calibri" w:cs="Times New Roman"/>
          <w:sz w:val="24"/>
        </w:rPr>
        <w:t>Le tableau 11 ci-dessous présente l'évolution de la trésorerie sur 5 ans.</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870"/>
        <w:gridCol w:w="3311"/>
        <w:gridCol w:w="3080"/>
      </w:tblGrid>
      <w:tr w14:paraId="5B49A6D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648BB0C">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Année</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F3CA874">
            <w:pPr>
              <w:spacing w:after="0" w:line="256" w:lineRule="auto"/>
              <w:rPr>
                <w:rFonts w:ascii="Times New Roman" w:hAnsi="Times New Roman" w:eastAsia="Calibri" w:cs="Times New Roman"/>
                <w:b/>
                <w:bCs/>
                <w:color w:val="FFFFFF" w:themeColor="background1"/>
                <w:sz w:val="24"/>
                <w14:textFill>
                  <w14:solidFill>
                    <w14:schemeClr w14:val="bg1"/>
                  </w14:solidFill>
                </w14:textFill>
              </w:rPr>
            </w:pPr>
            <w:r>
              <w:rPr>
                <w:rFonts w:ascii="Times New Roman" w:hAnsi="Times New Roman" w:eastAsia="Calibri" w:cs="Times New Roman"/>
                <w:b/>
                <w:bCs/>
                <w:color w:val="FFFFFF" w:themeColor="background1"/>
                <w:sz w:val="24"/>
                <w14:textFill>
                  <w14:solidFill>
                    <w14:schemeClr w14:val="bg1"/>
                  </w14:solidFill>
                </w14:textFill>
              </w:rPr>
              <w:t>Flux de trésorerie net (F CFA)</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351755F7">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Trésorerie cumulée (F CFA)</w:t>
            </w:r>
          </w:p>
        </w:tc>
      </w:tr>
      <w:tr w14:paraId="694AF1F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39181B5">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2026</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029D82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-12 753 000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056B42E">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+8 747 000</w:t>
            </w:r>
          </w:p>
        </w:tc>
      </w:tr>
      <w:tr w14:paraId="5A93F79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B32A0B2">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2027</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04BBD6E">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-3 458 550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4AF0D0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+5 288 450</w:t>
            </w:r>
          </w:p>
        </w:tc>
      </w:tr>
      <w:tr w14:paraId="3EBDCCC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98D8C0E">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2028</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642E421">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+8 281 090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F36A75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+13 569 540</w:t>
            </w:r>
          </w:p>
        </w:tc>
      </w:tr>
      <w:tr w14:paraId="4E57BEE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264EB65">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4A74F0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+30 436 337</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18F37A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+44 005 877</w:t>
            </w:r>
          </w:p>
        </w:tc>
      </w:tr>
      <w:tr w14:paraId="7DA81EB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743F366">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2030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4DD421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+76 462 248</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73DEC8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+120 468 125</w:t>
            </w:r>
          </w:p>
        </w:tc>
      </w:tr>
    </w:tbl>
    <w:p w14:paraId="35AFD968">
      <w:pPr>
        <w:spacing w:line="256" w:lineRule="auto"/>
        <w:ind w:left="708"/>
        <w:rPr>
          <w:rFonts w:ascii="Times New Roman" w:hAnsi="Times New Roman" w:eastAsia="Calibri" w:cs="Times New Roman"/>
          <w:sz w:val="24"/>
        </w:rPr>
      </w:pPr>
      <w:r>
        <w:rPr>
          <w:rFonts w:ascii="Times New Roman" w:hAnsi="Times New Roman" w:eastAsia="Calibri" w:cs="Times New Roman"/>
          <w:b/>
          <w:bCs/>
          <w:sz w:val="24"/>
          <w:u w:val="single"/>
          <w:lang w:val="en-GB"/>
        </w:rPr>
        <w:t>Tableau 11:</w:t>
      </w:r>
      <w:r>
        <w:rPr>
          <w:rFonts w:ascii="Times New Roman" w:hAnsi="Times New Roman" w:eastAsia="Calibri" w:cs="Times New Roman"/>
          <w:b/>
          <w:bCs/>
          <w:sz w:val="24"/>
          <w:lang w:val="en-GB"/>
        </w:rPr>
        <w:t xml:space="preserve"> Flux de trésorerie prévisionnel</w:t>
      </w:r>
    </w:p>
    <w:p w14:paraId="36342CCB">
      <w:pPr>
        <w:spacing w:line="256" w:lineRule="auto"/>
        <w:rPr>
          <w:rFonts w:ascii="Times New Roman" w:hAnsi="Times New Roman" w:eastAsia="Calibri" w:cs="Times New Roman"/>
          <w:sz w:val="24"/>
        </w:rPr>
      </w:pPr>
      <w:r>
        <w:rPr>
          <w:rFonts w:ascii="Times New Roman" w:hAnsi="Times New Roman" w:eastAsia="Calibri" w:cs="Times New Roman"/>
          <w:sz w:val="24"/>
        </w:rPr>
        <w:t>Grâce à la réserve de sécurité (21,5 millions F CFA), la trésorerie reste </w:t>
      </w:r>
      <w:r>
        <w:rPr>
          <w:rFonts w:ascii="Times New Roman" w:hAnsi="Times New Roman" w:eastAsia="Calibri" w:cs="Times New Roman"/>
          <w:b/>
          <w:bCs/>
          <w:sz w:val="24"/>
        </w:rPr>
        <w:t>positive tout au long du projet</w:t>
      </w:r>
      <w:r>
        <w:rPr>
          <w:rFonts w:ascii="Times New Roman" w:hAnsi="Times New Roman" w:eastAsia="Calibri" w:cs="Times New Roman"/>
          <w:sz w:val="24"/>
        </w:rPr>
        <w:t>. Le point mort est atteint au premier trimestre 2028. À partir de l'Année 3, l'entreprise génère des flux suffisants pour rembourser la dette et autofinancer sa croissance.</w:t>
      </w:r>
    </w:p>
    <w:p w14:paraId="0AA74290">
      <w:pPr>
        <w:spacing w:line="256" w:lineRule="auto"/>
        <w:rPr>
          <w:rFonts w:ascii="Times New Roman" w:hAnsi="Times New Roman" w:eastAsia="Calibri" w:cs="Times New Roman"/>
          <w:b/>
          <w:bCs/>
          <w:sz w:val="24"/>
        </w:rPr>
      </w:pPr>
    </w:p>
    <w:p w14:paraId="25102A3A">
      <w:pPr>
        <w:numPr>
          <w:ilvl w:val="0"/>
          <w:numId w:val="18"/>
        </w:numPr>
        <w:spacing w:line="256" w:lineRule="auto"/>
        <w:ind w:left="360"/>
        <w:contextualSpacing/>
        <w:rPr>
          <w:rFonts w:ascii="Times New Roman" w:hAnsi="Times New Roman" w:eastAsia="Calibri" w:cs="Times New Roman"/>
          <w:b/>
          <w:bCs/>
          <w:sz w:val="24"/>
        </w:rPr>
      </w:pPr>
      <w:r>
        <w:rPr>
          <w:rFonts w:ascii="Times New Roman" w:hAnsi="Times New Roman" w:eastAsia="Calibri" w:cs="Times New Roman"/>
          <w:b/>
          <w:bCs/>
          <w:sz w:val="24"/>
        </w:rPr>
        <w:t>Analyse de rentabilité</w:t>
      </w:r>
    </w:p>
    <w:p w14:paraId="40A12560">
      <w:pPr>
        <w:spacing w:line="256" w:lineRule="auto"/>
        <w:ind w:left="360"/>
        <w:contextualSpacing/>
        <w:rPr>
          <w:rFonts w:ascii="Times New Roman" w:hAnsi="Times New Roman" w:eastAsia="Calibri" w:cs="Times New Roman"/>
          <w:b/>
          <w:bCs/>
          <w:sz w:val="24"/>
        </w:rPr>
      </w:pPr>
    </w:p>
    <w:p w14:paraId="022F23F6">
      <w:pPr>
        <w:spacing w:line="256" w:lineRule="auto"/>
        <w:rPr>
          <w:rFonts w:ascii="Times New Roman" w:hAnsi="Times New Roman" w:eastAsia="Calibri" w:cs="Times New Roman"/>
          <w:sz w:val="24"/>
        </w:rPr>
      </w:pPr>
      <w:r>
        <w:rPr>
          <w:rFonts w:ascii="Times New Roman" w:hAnsi="Times New Roman" w:eastAsia="Calibri" w:cs="Times New Roman"/>
          <w:sz w:val="24"/>
        </w:rPr>
        <w:t>Le tableau 12 ci-dessous synthétise les indicateurs de rentabilité du projet.</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388"/>
        <w:gridCol w:w="1936"/>
        <w:gridCol w:w="3964"/>
      </w:tblGrid>
      <w:tr w14:paraId="77E1B76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65833AA7">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Indicateur</w:t>
            </w:r>
          </w:p>
        </w:tc>
        <w:tc>
          <w:tcPr>
            <w:tcW w:w="193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66E11E7">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Valeur</w:t>
            </w:r>
          </w:p>
        </w:tc>
        <w:tc>
          <w:tcPr>
            <w:tcW w:w="396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77B1B7B6">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Interprétation</w:t>
            </w:r>
          </w:p>
        </w:tc>
      </w:tr>
      <w:tr w14:paraId="5E4ECE0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946C99C">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Seuil de rentabilité</w:t>
            </w:r>
          </w:p>
        </w:tc>
        <w:tc>
          <w:tcPr>
            <w:tcW w:w="193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BB126A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T1 2028</w:t>
            </w:r>
          </w:p>
        </w:tc>
        <w:tc>
          <w:tcPr>
            <w:tcW w:w="396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6240132">
            <w:pPr>
              <w:spacing w:after="0" w:line="256" w:lineRule="auto"/>
              <w:rPr>
                <w:rFonts w:ascii="Times New Roman" w:hAnsi="Times New Roman" w:eastAsia="Calibri" w:cs="Times New Roman"/>
                <w:sz w:val="24"/>
              </w:rPr>
            </w:pPr>
            <w:r>
              <w:rPr>
                <w:rFonts w:ascii="Times New Roman" w:hAnsi="Times New Roman" w:eastAsia="Calibri" w:cs="Times New Roman"/>
                <w:sz w:val="24"/>
              </w:rPr>
              <w:t>Atteint en 2 ans et 2 mois</w:t>
            </w:r>
          </w:p>
        </w:tc>
      </w:tr>
      <w:tr w14:paraId="2B2EC90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1042CDEB">
            <w:pPr>
              <w:spacing w:after="0" w:line="256" w:lineRule="auto"/>
              <w:rPr>
                <w:rFonts w:ascii="Times New Roman" w:hAnsi="Times New Roman" w:eastAsia="Calibri" w:cs="Times New Roman"/>
                <w:b/>
                <w:bCs/>
                <w:sz w:val="24"/>
              </w:rPr>
            </w:pPr>
            <w:r>
              <w:rPr>
                <w:rFonts w:ascii="Times New Roman" w:hAnsi="Times New Roman" w:eastAsia="Calibri" w:cs="Times New Roman"/>
                <w:b/>
                <w:bCs/>
                <w:sz w:val="24"/>
              </w:rPr>
              <w:t>Taux de Rentabilité Interne (TRI)</w:t>
            </w:r>
          </w:p>
        </w:tc>
        <w:tc>
          <w:tcPr>
            <w:tcW w:w="193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DE26F02">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35%</w:t>
            </w:r>
          </w:p>
        </w:tc>
        <w:tc>
          <w:tcPr>
            <w:tcW w:w="396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2C99A3D">
            <w:pPr>
              <w:spacing w:after="0" w:line="256" w:lineRule="auto"/>
              <w:rPr>
                <w:rFonts w:ascii="Times New Roman" w:hAnsi="Times New Roman" w:eastAsia="Calibri" w:cs="Times New Roman"/>
                <w:sz w:val="24"/>
              </w:rPr>
            </w:pPr>
            <w:r>
              <w:rPr>
                <w:rFonts w:ascii="Times New Roman" w:hAnsi="Times New Roman" w:eastAsia="Calibri" w:cs="Times New Roman"/>
                <w:sz w:val="24"/>
              </w:rPr>
              <w:t>Largement supérieur au coût du capital (10%)</w:t>
            </w:r>
          </w:p>
        </w:tc>
      </w:tr>
      <w:tr w14:paraId="4D80C6D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CE344EC">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Valeur Actuelle Nette (VAN)</w:t>
            </w:r>
          </w:p>
        </w:tc>
        <w:tc>
          <w:tcPr>
            <w:tcW w:w="193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5D7E5BA">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66 300 000 F CFA</w:t>
            </w:r>
          </w:p>
        </w:tc>
        <w:tc>
          <w:tcPr>
            <w:tcW w:w="396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6950229">
            <w:pPr>
              <w:spacing w:after="0" w:line="256" w:lineRule="auto"/>
              <w:rPr>
                <w:rFonts w:ascii="Times New Roman" w:hAnsi="Times New Roman" w:eastAsia="Calibri" w:cs="Times New Roman"/>
                <w:sz w:val="24"/>
              </w:rPr>
            </w:pPr>
            <w:r>
              <w:rPr>
                <w:rFonts w:ascii="Times New Roman" w:hAnsi="Times New Roman" w:eastAsia="Calibri" w:cs="Times New Roman"/>
                <w:sz w:val="24"/>
              </w:rPr>
              <w:t>Le projet crée de la valeur significative</w:t>
            </w:r>
          </w:p>
        </w:tc>
      </w:tr>
      <w:tr w14:paraId="27A93DC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0583DBB">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Délai de récupération</w:t>
            </w:r>
          </w:p>
        </w:tc>
        <w:tc>
          <w:tcPr>
            <w:tcW w:w="1936"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44507C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 ans et 6 mois</w:t>
            </w:r>
          </w:p>
        </w:tc>
        <w:tc>
          <w:tcPr>
            <w:tcW w:w="3964"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7490748">
            <w:pPr>
              <w:spacing w:after="0" w:line="256" w:lineRule="auto"/>
              <w:rPr>
                <w:rFonts w:ascii="Times New Roman" w:hAnsi="Times New Roman" w:eastAsia="Calibri" w:cs="Times New Roman"/>
                <w:sz w:val="24"/>
              </w:rPr>
            </w:pPr>
            <w:r>
              <w:rPr>
                <w:rFonts w:ascii="Times New Roman" w:hAnsi="Times New Roman" w:eastAsia="Calibri" w:cs="Times New Roman"/>
                <w:sz w:val="24"/>
              </w:rPr>
              <w:t>Investissement récupéré avant fin Année 3</w:t>
            </w:r>
          </w:p>
        </w:tc>
      </w:tr>
    </w:tbl>
    <w:p w14:paraId="22B304D5">
      <w:pPr>
        <w:spacing w:line="256" w:lineRule="auto"/>
        <w:rPr>
          <w:rFonts w:ascii="Times New Roman" w:hAnsi="Times New Roman" w:eastAsia="Calibri" w:cs="Times New Roman"/>
          <w:sz w:val="24"/>
        </w:rPr>
      </w:pPr>
      <w:r>
        <w:rPr>
          <w:rFonts w:ascii="Times New Roman" w:hAnsi="Times New Roman" w:eastAsia="Calibri" w:cs="Times New Roman"/>
          <w:b/>
          <w:bCs/>
          <w:sz w:val="24"/>
          <w:u w:val="single"/>
          <w:lang w:val="en-GB"/>
        </w:rPr>
        <w:t>Tableau 12 :</w:t>
      </w:r>
      <w:r>
        <w:rPr>
          <w:rFonts w:ascii="Times New Roman" w:hAnsi="Times New Roman" w:eastAsia="Calibri" w:cs="Times New Roman"/>
          <w:b/>
          <w:bCs/>
          <w:sz w:val="24"/>
          <w:lang w:val="en-GB"/>
        </w:rPr>
        <w:t xml:space="preserve"> Indicateurs de rentabilité</w:t>
      </w:r>
    </w:p>
    <w:p w14:paraId="03191688">
      <w:pPr>
        <w:spacing w:line="256" w:lineRule="auto"/>
        <w:rPr>
          <w:rFonts w:ascii="Times New Roman" w:hAnsi="Times New Roman" w:eastAsia="Calibri" w:cs="Times New Roman"/>
          <w:sz w:val="24"/>
        </w:rPr>
      </w:pPr>
      <w:r>
        <w:rPr>
          <w:rFonts w:ascii="Times New Roman" w:hAnsi="Times New Roman" w:eastAsia="Calibri" w:cs="Times New Roman"/>
          <w:sz w:val="24"/>
        </w:rPr>
        <w:t>Un TRI de 35% indique que le projet génère un rendement trois fois supérieur au coût du capital. La VAN positive de 66,3 millions F CFA confirme la création de valeur pour les investisseurs.</w:t>
      </w:r>
    </w:p>
    <w:p w14:paraId="62D2118D">
      <w:pPr>
        <w:spacing w:line="256" w:lineRule="auto"/>
        <w:rPr>
          <w:rFonts w:ascii="Times New Roman" w:hAnsi="Times New Roman" w:eastAsia="Calibri" w:cs="Times New Roman"/>
          <w:sz w:val="24"/>
        </w:rPr>
      </w:pPr>
    </w:p>
    <w:p w14:paraId="74820192">
      <w:pPr>
        <w:numPr>
          <w:ilvl w:val="0"/>
          <w:numId w:val="18"/>
        </w:numPr>
        <w:spacing w:line="256" w:lineRule="auto"/>
        <w:ind w:left="360"/>
        <w:contextualSpacing/>
        <w:rPr>
          <w:rFonts w:ascii="Times New Roman" w:hAnsi="Times New Roman" w:eastAsia="Calibri" w:cs="Times New Roman"/>
          <w:b/>
          <w:bCs/>
          <w:sz w:val="24"/>
        </w:rPr>
      </w:pPr>
      <w:r>
        <w:rPr>
          <w:rFonts w:ascii="Times New Roman" w:hAnsi="Times New Roman" w:eastAsia="Calibri" w:cs="Times New Roman"/>
          <w:b/>
          <w:bCs/>
          <w:sz w:val="24"/>
        </w:rPr>
        <w:t>Plan de financement</w:t>
      </w:r>
    </w:p>
    <w:p w14:paraId="56FAC494">
      <w:pPr>
        <w:spacing w:line="256" w:lineRule="auto"/>
        <w:rPr>
          <w:rFonts w:ascii="Times New Roman" w:hAnsi="Times New Roman" w:eastAsia="Calibri" w:cs="Times New Roman"/>
          <w:sz w:val="24"/>
        </w:rPr>
      </w:pPr>
      <w:r>
        <w:rPr>
          <w:rFonts w:ascii="Times New Roman" w:hAnsi="Times New Roman" w:eastAsia="Calibri" w:cs="Times New Roman"/>
          <w:sz w:val="24"/>
        </w:rPr>
        <w:t>Le tableau 13 ci-dessous détaille la structure de financement du projet.</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988"/>
        <w:gridCol w:w="2003"/>
        <w:gridCol w:w="1129"/>
      </w:tblGrid>
      <w:tr w14:paraId="067442C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6D544378">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Source</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4AD4D66">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Montant (F CFA)</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177F372C">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Part (%)</w:t>
            </w:r>
          </w:p>
        </w:tc>
      </w:tr>
      <w:tr w14:paraId="029215F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53314E1">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Fonds propres (KYA-Energy Group)</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3B4B8E2">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16 440 000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72571F8">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30%</w:t>
            </w:r>
          </w:p>
        </w:tc>
      </w:tr>
      <w:tr w14:paraId="3B4F20D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96109D5">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Dette bancaire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AC3023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38 360 000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6385CDC">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70%</w:t>
            </w:r>
          </w:p>
        </w:tc>
      </w:tr>
      <w:tr w14:paraId="513A737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5ABA56E">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Subventions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4F65830">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9A1DA2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0%</w:t>
            </w:r>
          </w:p>
        </w:tc>
      </w:tr>
      <w:tr w14:paraId="7401F64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A6C74B8">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Autres sources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DC6A48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8A318F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0%</w:t>
            </w:r>
          </w:p>
        </w:tc>
      </w:tr>
      <w:tr w14:paraId="7F71AC2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A52CCC1">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TOTAL</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585C76E">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54 800 000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18408D19">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100%</w:t>
            </w:r>
          </w:p>
        </w:tc>
      </w:tr>
    </w:tbl>
    <w:p w14:paraId="46E65D96">
      <w:pPr>
        <w:spacing w:line="256" w:lineRule="auto"/>
        <w:rPr>
          <w:rFonts w:ascii="Times New Roman" w:hAnsi="Times New Roman" w:eastAsia="Calibri" w:cs="Times New Roman"/>
          <w:b/>
          <w:bCs/>
          <w:sz w:val="24"/>
          <w:lang w:val="en-GB"/>
        </w:rPr>
      </w:pPr>
      <w:r>
        <w:rPr>
          <w:rFonts w:ascii="Times New Roman" w:hAnsi="Times New Roman" w:eastAsia="Calibri" w:cs="Times New Roman"/>
          <w:sz w:val="24"/>
        </w:rPr>
        <w:t xml:space="preserve">                </w:t>
      </w:r>
      <w:r>
        <w:rPr>
          <w:rFonts w:ascii="Times New Roman" w:hAnsi="Times New Roman" w:eastAsia="Calibri" w:cs="Times New Roman"/>
          <w:b/>
          <w:bCs/>
          <w:sz w:val="24"/>
          <w:u w:val="single"/>
          <w:lang w:val="en-GB"/>
        </w:rPr>
        <w:t>Tableau 13:</w:t>
      </w:r>
      <w:r>
        <w:rPr>
          <w:rFonts w:ascii="Times New Roman" w:hAnsi="Times New Roman" w:eastAsia="Calibri" w:cs="Times New Roman"/>
          <w:b/>
          <w:bCs/>
          <w:sz w:val="24"/>
          <w:lang w:val="en-GB"/>
        </w:rPr>
        <w:t xml:space="preserve"> Plan de financement</w:t>
      </w:r>
    </w:p>
    <w:p w14:paraId="7A841139">
      <w:pPr>
        <w:spacing w:line="256" w:lineRule="auto"/>
        <w:rPr>
          <w:rFonts w:ascii="Times New Roman" w:hAnsi="Times New Roman" w:eastAsia="Calibri" w:cs="Times New Roman"/>
          <w:sz w:val="24"/>
        </w:rPr>
      </w:pPr>
    </w:p>
    <w:p w14:paraId="7483A92E">
      <w:pPr>
        <w:spacing w:line="256" w:lineRule="auto"/>
        <w:rPr>
          <w:rFonts w:ascii="Times New Roman" w:hAnsi="Times New Roman" w:eastAsia="Calibri" w:cs="Times New Roman"/>
          <w:sz w:val="24"/>
        </w:rPr>
      </w:pPr>
      <w:r>
        <w:rPr>
          <w:rFonts w:ascii="Times New Roman" w:hAnsi="Times New Roman" w:eastAsia="Calibri" w:cs="Times New Roman"/>
          <w:sz w:val="24"/>
        </w:rPr>
        <w:t>Le tableau 14 ci-dessous présente le plan de remboursement de la dette.</w:t>
      </w:r>
    </w:p>
    <w:tbl>
      <w:tblPr>
        <w:tblStyle w:val="48"/>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870"/>
        <w:gridCol w:w="2190"/>
        <w:gridCol w:w="1283"/>
        <w:gridCol w:w="1776"/>
        <w:gridCol w:w="1296"/>
      </w:tblGrid>
      <w:tr w14:paraId="733F64C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9FE4E55">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Année</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C100033">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Capital Restant Dû</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CE47EF6">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Intérêts</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4E7ACC9">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Amortissement</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26DC79F5">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Annuité</w:t>
            </w:r>
          </w:p>
        </w:tc>
      </w:tr>
      <w:tr w14:paraId="32E34D7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20ADA2C">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2026</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560B1C2">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38 360 000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9904F4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3 836 000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03DE43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7 672 000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1688C8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11 508 000</w:t>
            </w:r>
          </w:p>
        </w:tc>
      </w:tr>
      <w:tr w14:paraId="7D73DD2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51F99D5">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2027</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385D64C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30 688 000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1F035C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3 068 800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74C0D6E">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7 672 000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BABEB6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10 740 800</w:t>
            </w:r>
          </w:p>
        </w:tc>
      </w:tr>
      <w:tr w14:paraId="64D8AAE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0F94870">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2028</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65CCDF9">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23 016 000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156A8C4">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2 301 600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49542D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7 672 000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D321190">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9 973 600</w:t>
            </w:r>
          </w:p>
        </w:tc>
      </w:tr>
      <w:tr w14:paraId="29555F5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7209DAE">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2029</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94E0688">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15 344 000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15D85F1">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1 534 400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BE8560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7 672 000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B391E8B">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9 206 400</w:t>
            </w:r>
          </w:p>
        </w:tc>
      </w:tr>
      <w:tr w14:paraId="6C13B77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B383459">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2030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63D11B3">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7 672 000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FDCD1ED">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767 200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456E3907">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7 672 000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08EA9C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8 439 200</w:t>
            </w:r>
          </w:p>
        </w:tc>
      </w:tr>
      <w:tr w14:paraId="0CFB92E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B7151D3">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Total</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555CFB8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B29FE6C">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11 508 000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5125EA9">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38 360 000</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CC642BF">
            <w:pPr>
              <w:spacing w:after="0" w:line="256" w:lineRule="auto"/>
              <w:rPr>
                <w:rFonts w:ascii="Times New Roman" w:hAnsi="Times New Roman" w:eastAsia="Calibri" w:cs="Times New Roman"/>
                <w:sz w:val="24"/>
                <w:lang w:val="en-GB"/>
              </w:rPr>
            </w:pPr>
            <w:r>
              <w:rPr>
                <w:rFonts w:ascii="Times New Roman" w:hAnsi="Times New Roman" w:eastAsia="Calibri" w:cs="Times New Roman"/>
                <w:b/>
                <w:bCs/>
                <w:sz w:val="24"/>
                <w:lang w:val="en-GB"/>
              </w:rPr>
              <w:t>49 868 000</w:t>
            </w:r>
          </w:p>
        </w:tc>
      </w:tr>
    </w:tbl>
    <w:p w14:paraId="179E95C8">
      <w:pPr>
        <w:spacing w:line="256" w:lineRule="auto"/>
        <w:rPr>
          <w:rFonts w:ascii="Times New Roman" w:hAnsi="Times New Roman" w:eastAsia="Calibri" w:cs="Times New Roman"/>
          <w:b/>
          <w:bCs/>
          <w:sz w:val="24"/>
          <w:u w:val="single"/>
        </w:rPr>
      </w:pPr>
      <w:r>
        <w:rPr>
          <w:rFonts w:ascii="Times New Roman" w:hAnsi="Times New Roman" w:eastAsia="Calibri" w:cs="Times New Roman"/>
          <w:sz w:val="24"/>
        </w:rPr>
        <w:t xml:space="preserve">              </w:t>
      </w:r>
      <w:r>
        <w:rPr>
          <w:rFonts w:ascii="Times New Roman" w:hAnsi="Times New Roman" w:eastAsia="Calibri" w:cs="Times New Roman"/>
          <w:b/>
          <w:bCs/>
          <w:sz w:val="24"/>
          <w:u w:val="single"/>
        </w:rPr>
        <w:t>Tableau 14 :</w:t>
      </w:r>
      <w:r>
        <w:rPr>
          <w:rFonts w:ascii="Times New Roman" w:hAnsi="Times New Roman" w:eastAsia="Calibri" w:cs="Times New Roman"/>
          <w:b/>
          <w:bCs/>
          <w:sz w:val="24"/>
        </w:rPr>
        <w:t xml:space="preserve"> Tableau d'amortissement de la dette</w:t>
      </w:r>
    </w:p>
    <w:p w14:paraId="7BF88EE7">
      <w:pPr>
        <w:spacing w:line="256" w:lineRule="auto"/>
        <w:rPr>
          <w:rFonts w:ascii="Times New Roman" w:hAnsi="Times New Roman" w:eastAsia="Calibri" w:cs="Times New Roman"/>
          <w:sz w:val="24"/>
        </w:rPr>
      </w:pPr>
      <w:r>
        <w:rPr>
          <w:rFonts w:ascii="Times New Roman" w:hAnsi="Times New Roman" w:eastAsia="Calibri" w:cs="Times New Roman"/>
          <w:sz w:val="24"/>
        </w:rPr>
        <w:t>Le remboursement s'effectue par annuités constantes sur 5 ans, avec un amortissement linéaire du capital. Les flux de trésorerie positifs à partir de l'Année 3 permettent de couvrir confortablement les annuités.</w:t>
      </w:r>
    </w:p>
    <w:p w14:paraId="098F254A">
      <w:pPr>
        <w:spacing w:line="256" w:lineRule="auto"/>
        <w:rPr>
          <w:rFonts w:ascii="Times New Roman" w:hAnsi="Times New Roman" w:eastAsia="Calibri" w:cs="Times New Roman"/>
          <w:sz w:val="24"/>
        </w:rPr>
      </w:pPr>
    </w:p>
    <w:p w14:paraId="5396349D">
      <w:pPr>
        <w:numPr>
          <w:ilvl w:val="0"/>
          <w:numId w:val="18"/>
        </w:numPr>
        <w:spacing w:line="256" w:lineRule="auto"/>
        <w:ind w:left="360"/>
        <w:contextualSpacing/>
        <w:rPr>
          <w:rFonts w:ascii="Times New Roman" w:hAnsi="Times New Roman" w:eastAsia="Calibri" w:cs="Times New Roman"/>
          <w:b/>
          <w:bCs/>
          <w:sz w:val="24"/>
        </w:rPr>
      </w:pPr>
      <w:r>
        <w:rPr>
          <w:rFonts w:ascii="Times New Roman" w:hAnsi="Times New Roman" w:eastAsia="Calibri" w:cs="Times New Roman"/>
          <w:b/>
          <w:bCs/>
          <w:sz w:val="24"/>
        </w:rPr>
        <w:t>Risques financiers</w:t>
      </w:r>
    </w:p>
    <w:p w14:paraId="446D55BC">
      <w:pPr>
        <w:spacing w:line="256" w:lineRule="auto"/>
        <w:ind w:left="360"/>
        <w:contextualSpacing/>
        <w:rPr>
          <w:rFonts w:ascii="Times New Roman" w:hAnsi="Times New Roman" w:eastAsia="Calibri" w:cs="Times New Roman"/>
          <w:b/>
          <w:bCs/>
          <w:sz w:val="24"/>
        </w:rPr>
      </w:pPr>
    </w:p>
    <w:p w14:paraId="6A7C1225">
      <w:pPr>
        <w:spacing w:line="256" w:lineRule="auto"/>
        <w:rPr>
          <w:rFonts w:ascii="Times New Roman" w:hAnsi="Times New Roman" w:eastAsia="Calibri" w:cs="Times New Roman"/>
          <w:sz w:val="24"/>
        </w:rPr>
      </w:pPr>
      <w:r>
        <w:rPr>
          <w:rFonts w:ascii="Times New Roman" w:hAnsi="Times New Roman" w:eastAsia="Calibri" w:cs="Times New Roman"/>
          <w:sz w:val="24"/>
        </w:rPr>
        <w:t>Le tableau 15 ci-dessous identifie les principaux risques financiers et les stratégies de mitigation associées.</w:t>
      </w:r>
    </w:p>
    <w:tbl>
      <w:tblPr>
        <w:tblStyle w:val="48"/>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927"/>
        <w:gridCol w:w="2901"/>
        <w:gridCol w:w="4460"/>
      </w:tblGrid>
      <w:tr w14:paraId="1811A4E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4D11199">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Risque</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39CF399">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Description</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73A0654">
            <w:pPr>
              <w:spacing w:after="0" w:line="256" w:lineRule="auto"/>
              <w:rPr>
                <w:rFonts w:ascii="Times New Roman" w:hAnsi="Times New Roman" w:eastAsia="Calibri" w:cs="Times New Roman"/>
                <w:b/>
                <w:bCs/>
                <w:color w:val="FFFFFF" w:themeColor="background1"/>
                <w:sz w:val="24"/>
                <w:lang w:val="en-GB"/>
                <w14:textFill>
                  <w14:solidFill>
                    <w14:schemeClr w14:val="bg1"/>
                  </w14:solidFill>
                </w14:textFill>
              </w:rPr>
            </w:pPr>
            <w:r>
              <w:rPr>
                <w:rFonts w:ascii="Times New Roman" w:hAnsi="Times New Roman" w:eastAsia="Calibri" w:cs="Times New Roman"/>
                <w:b/>
                <w:bCs/>
                <w:color w:val="FFFFFF" w:themeColor="background1"/>
                <w:sz w:val="24"/>
                <w:lang w:val="en-GB"/>
                <w14:textFill>
                  <w14:solidFill>
                    <w14:schemeClr w14:val="bg1"/>
                  </w14:solidFill>
                </w14:textFill>
              </w:rPr>
              <w:t>Stratégie de mitigation</w:t>
            </w:r>
          </w:p>
        </w:tc>
      </w:tr>
      <w:tr w14:paraId="1EF6651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7EEEF7A">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Risque de marché</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4660DD0">
            <w:pPr>
              <w:spacing w:after="0" w:line="256" w:lineRule="auto"/>
              <w:rPr>
                <w:rFonts w:ascii="Times New Roman" w:hAnsi="Times New Roman" w:eastAsia="Calibri" w:cs="Times New Roman"/>
                <w:sz w:val="24"/>
              </w:rPr>
            </w:pPr>
            <w:r>
              <w:rPr>
                <w:rFonts w:ascii="Times New Roman" w:hAnsi="Times New Roman" w:eastAsia="Calibri" w:cs="Times New Roman"/>
                <w:sz w:val="24"/>
              </w:rPr>
              <w:t>Retard dans l'acquisition de clients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A2CAD04">
            <w:pPr>
              <w:spacing w:after="0" w:line="256" w:lineRule="auto"/>
              <w:rPr>
                <w:rFonts w:ascii="Times New Roman" w:hAnsi="Times New Roman" w:eastAsia="Calibri" w:cs="Times New Roman"/>
                <w:sz w:val="24"/>
              </w:rPr>
            </w:pPr>
            <w:r>
              <w:rPr>
                <w:rFonts w:ascii="Times New Roman" w:hAnsi="Times New Roman" w:eastAsia="Calibri" w:cs="Times New Roman"/>
                <w:sz w:val="24"/>
              </w:rPr>
              <w:t>Réserve de 12 mois d'OPEX pour absorber le choc</w:t>
            </w:r>
          </w:p>
        </w:tc>
      </w:tr>
      <w:tr w14:paraId="4F8F9C4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D912042">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Risque de crédit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738F7C4F">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Non-recouvrement des créances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62A0D81C">
            <w:pPr>
              <w:spacing w:after="0" w:line="256" w:lineRule="auto"/>
              <w:rPr>
                <w:rFonts w:ascii="Times New Roman" w:hAnsi="Times New Roman" w:eastAsia="Calibri" w:cs="Times New Roman"/>
                <w:sz w:val="24"/>
              </w:rPr>
            </w:pPr>
            <w:r>
              <w:rPr>
                <w:rFonts w:ascii="Times New Roman" w:hAnsi="Times New Roman" w:eastAsia="Calibri" w:cs="Times New Roman"/>
                <w:sz w:val="24"/>
              </w:rPr>
              <w:t>Paiement 100% en ligne via mobile money, pas de crédit client</w:t>
            </w:r>
          </w:p>
        </w:tc>
      </w:tr>
      <w:tr w14:paraId="000CDDB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536B8EDC">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Risque de liquidité</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60546ECD">
            <w:pPr>
              <w:spacing w:after="0" w:line="256" w:lineRule="auto"/>
              <w:rPr>
                <w:rFonts w:ascii="Times New Roman" w:hAnsi="Times New Roman" w:eastAsia="Calibri" w:cs="Times New Roman"/>
                <w:sz w:val="24"/>
              </w:rPr>
            </w:pPr>
            <w:r>
              <w:rPr>
                <w:rFonts w:ascii="Times New Roman" w:hAnsi="Times New Roman" w:eastAsia="Calibri" w:cs="Times New Roman"/>
                <w:sz w:val="24"/>
              </w:rPr>
              <w:t>Trésorerie insuffisante en phase de lancement</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222BA95B">
            <w:pPr>
              <w:spacing w:after="0" w:line="256" w:lineRule="auto"/>
              <w:rPr>
                <w:rFonts w:ascii="Times New Roman" w:hAnsi="Times New Roman" w:eastAsia="Calibri" w:cs="Times New Roman"/>
                <w:sz w:val="24"/>
              </w:rPr>
            </w:pPr>
            <w:r>
              <w:rPr>
                <w:rFonts w:ascii="Times New Roman" w:hAnsi="Times New Roman" w:eastAsia="Calibri" w:cs="Times New Roman"/>
                <w:sz w:val="24"/>
              </w:rPr>
              <w:t>Financement dimensionné pour couvrir 24 mois de déficit</w:t>
            </w:r>
          </w:p>
        </w:tc>
      </w:tr>
      <w:tr w14:paraId="2859093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08A20D79">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Risque concurrentiel</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4BEB8E95">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Arrivée de nouveaux entrants</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14:paraId="26C9D765">
            <w:pPr>
              <w:spacing w:after="0" w:line="256" w:lineRule="auto"/>
              <w:rPr>
                <w:rFonts w:ascii="Times New Roman" w:hAnsi="Times New Roman" w:eastAsia="Calibri" w:cs="Times New Roman"/>
                <w:sz w:val="24"/>
              </w:rPr>
            </w:pPr>
            <w:r>
              <w:rPr>
                <w:rFonts w:ascii="Times New Roman" w:hAnsi="Times New Roman" w:eastAsia="Calibri" w:cs="Times New Roman"/>
                <w:sz w:val="24"/>
              </w:rPr>
              <w:t>Positionnement prix accessible, proximité terrain, fonctionnalités adaptées</w:t>
            </w:r>
          </w:p>
        </w:tc>
      </w:tr>
      <w:tr w14:paraId="6C8D4CF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7AC386C7">
            <w:pPr>
              <w:spacing w:after="0" w:line="256" w:lineRule="auto"/>
              <w:rPr>
                <w:rFonts w:ascii="Times New Roman" w:hAnsi="Times New Roman" w:eastAsia="Calibri" w:cs="Times New Roman"/>
                <w:b/>
                <w:bCs/>
                <w:sz w:val="24"/>
                <w:lang w:val="en-GB"/>
              </w:rPr>
            </w:pPr>
            <w:r>
              <w:rPr>
                <w:rFonts w:ascii="Times New Roman" w:hAnsi="Times New Roman" w:eastAsia="Calibri" w:cs="Times New Roman"/>
                <w:b/>
                <w:bCs/>
                <w:sz w:val="24"/>
                <w:lang w:val="en-GB"/>
              </w:rPr>
              <w:t>Risque technique</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3A166D8A">
            <w:pPr>
              <w:spacing w:after="0" w:line="256" w:lineRule="auto"/>
              <w:rPr>
                <w:rFonts w:ascii="Times New Roman" w:hAnsi="Times New Roman" w:eastAsia="Calibri" w:cs="Times New Roman"/>
                <w:sz w:val="24"/>
                <w:lang w:val="en-GB"/>
              </w:rPr>
            </w:pPr>
            <w:r>
              <w:rPr>
                <w:rFonts w:ascii="Times New Roman" w:hAnsi="Times New Roman" w:eastAsia="Calibri" w:cs="Times New Roman"/>
                <w:sz w:val="24"/>
                <w:lang w:val="en-GB"/>
              </w:rPr>
              <w:t>Défaillance du logiciel</w:t>
            </w:r>
          </w:p>
        </w:tc>
        <w:tc>
          <w:tcPr>
            <w:tcW w:w="0" w:type="auto"/>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shd w:val="clear" w:color="auto" w:fill="D9E2F3" w:themeFill="accent1" w:themeFillTint="33"/>
          </w:tcPr>
          <w:p w14:paraId="09751AAE">
            <w:pPr>
              <w:spacing w:after="0" w:line="256" w:lineRule="auto"/>
              <w:rPr>
                <w:rFonts w:ascii="Times New Roman" w:hAnsi="Times New Roman" w:eastAsia="Calibri" w:cs="Times New Roman"/>
                <w:sz w:val="24"/>
              </w:rPr>
            </w:pPr>
            <w:r>
              <w:rPr>
                <w:rFonts w:ascii="Times New Roman" w:hAnsi="Times New Roman" w:eastAsia="Calibri" w:cs="Times New Roman"/>
                <w:sz w:val="24"/>
              </w:rPr>
              <w:t>Sauvegarde locale automatisée, support technique dédié, mises à jour régulières</w:t>
            </w:r>
          </w:p>
        </w:tc>
      </w:tr>
    </w:tbl>
    <w:p w14:paraId="03CF8691">
      <w:pPr>
        <w:spacing w:line="256" w:lineRule="auto"/>
        <w:rPr>
          <w:rFonts w:ascii="Times New Roman" w:hAnsi="Times New Roman" w:eastAsia="Calibri" w:cs="Times New Roman"/>
          <w:b/>
          <w:bCs/>
          <w:sz w:val="24"/>
          <w:lang w:val="en-GB"/>
        </w:rPr>
      </w:pPr>
      <w:r>
        <w:rPr>
          <w:rFonts w:ascii="Times New Roman" w:hAnsi="Times New Roman" w:eastAsia="Calibri" w:cs="Times New Roman"/>
          <w:b/>
          <w:bCs/>
          <w:sz w:val="24"/>
          <w:u w:val="single"/>
          <w:lang w:val="en-GB"/>
        </w:rPr>
        <w:t>Tableau 15 :</w:t>
      </w:r>
      <w:r>
        <w:rPr>
          <w:rFonts w:ascii="Times New Roman" w:hAnsi="Times New Roman" w:eastAsia="Calibri" w:cs="Times New Roman"/>
          <w:b/>
          <w:bCs/>
          <w:sz w:val="24"/>
          <w:lang w:val="en-GB"/>
        </w:rPr>
        <w:t xml:space="preserve"> Analyse des risques financiers</w:t>
      </w:r>
    </w:p>
    <w:p w14:paraId="123BC5F5">
      <w:pPr>
        <w:spacing w:line="256" w:lineRule="auto"/>
        <w:rPr>
          <w:rFonts w:ascii="Times New Roman" w:hAnsi="Times New Roman" w:eastAsia="Calibri" w:cs="Times New Roman"/>
          <w:sz w:val="24"/>
        </w:rPr>
      </w:pPr>
    </w:p>
    <w:p w14:paraId="46B9CD04">
      <w:pPr>
        <w:pStyle w:val="36"/>
        <w:numPr>
          <w:ilvl w:val="0"/>
          <w:numId w:val="21"/>
        </w:numPr>
        <w:rPr>
          <w:rFonts w:ascii="Times New Roman" w:hAnsi="Times New Roman" w:cs="Times New Roman"/>
          <w:b/>
          <w:bCs/>
          <w:sz w:val="24"/>
          <w:szCs w:val="24"/>
        </w:rPr>
      </w:pPr>
      <w:r>
        <w:rPr>
          <w:rFonts w:ascii="Times New Roman" w:hAnsi="Times New Roman" w:cs="Times New Roman"/>
          <w:b/>
          <w:bCs/>
          <w:sz w:val="24"/>
          <w:szCs w:val="24"/>
        </w:rPr>
        <w:t>Conclusion</w:t>
      </w:r>
    </w:p>
    <w:p w14:paraId="19B2DB00">
      <w:pPr>
        <w:jc w:val="both"/>
        <w:rPr>
          <w:rFonts w:ascii="Times New Roman" w:hAnsi="Times New Roman" w:cs="Times New Roman"/>
          <w:sz w:val="24"/>
          <w:szCs w:val="24"/>
        </w:rPr>
      </w:pPr>
      <w:r>
        <w:rPr>
          <w:rFonts w:ascii="Times New Roman" w:hAnsi="Times New Roman" w:cs="Times New Roman"/>
          <w:sz w:val="24"/>
          <w:szCs w:val="24"/>
        </w:rPr>
        <w:t>Le plan financier démontre une gestion rigoureuse du risque. Les deux premières années affichent un résultat comptable négatif, ce qui est habituel pour une startup SaaS en phase de pénétration. La trésorerie reste positive grâce à la réserve de sécurité.</w:t>
      </w:r>
    </w:p>
    <w:p w14:paraId="7D88538E">
      <w:pPr>
        <w:jc w:val="both"/>
        <w:rPr>
          <w:rFonts w:ascii="Times New Roman" w:hAnsi="Times New Roman" w:cs="Times New Roman"/>
          <w:sz w:val="24"/>
          <w:szCs w:val="24"/>
        </w:rPr>
      </w:pPr>
      <w:r>
        <w:rPr>
          <w:rFonts w:ascii="Times New Roman" w:hAnsi="Times New Roman" w:cs="Times New Roman"/>
          <w:sz w:val="24"/>
          <w:szCs w:val="24"/>
        </w:rPr>
        <w:t>Dès l'Année 3, le projet dégage des marges suffisantes pour rembourser la dette et autofinancer sa croissance. Avec un TRI de 35% et une VAN de 66,3 millions F CFA, le projet présente un profil rendement/risque favorable.</w:t>
      </w:r>
    </w:p>
    <w:p w14:paraId="71FA7681">
      <w:pPr>
        <w:jc w:val="both"/>
        <w:rPr>
          <w:rFonts w:ascii="Times New Roman" w:hAnsi="Times New Roman" w:cs="Times New Roman"/>
          <w:sz w:val="24"/>
          <w:szCs w:val="24"/>
        </w:rPr>
      </w:pPr>
      <w:r>
        <w:rPr>
          <w:rFonts w:ascii="Times New Roman" w:hAnsi="Times New Roman" w:cs="Times New Roman"/>
          <w:sz w:val="24"/>
          <w:szCs w:val="24"/>
        </w:rPr>
        <w:t>Nous sollicitons </w:t>
      </w:r>
      <w:r>
        <w:rPr>
          <w:rFonts w:ascii="Times New Roman" w:hAnsi="Times New Roman" w:cs="Times New Roman"/>
          <w:b/>
          <w:bCs/>
          <w:sz w:val="24"/>
          <w:szCs w:val="24"/>
        </w:rPr>
        <w:t>38 360 000 F CFA</w:t>
      </w:r>
      <w:r>
        <w:rPr>
          <w:rFonts w:ascii="Times New Roman" w:hAnsi="Times New Roman" w:cs="Times New Roman"/>
          <w:sz w:val="24"/>
          <w:szCs w:val="24"/>
        </w:rPr>
        <w:t> pour financer ce déploiement.</w:t>
      </w:r>
    </w:p>
    <w:p w14:paraId="30A11FE3">
      <w:pPr>
        <w:jc w:val="both"/>
        <w:rPr>
          <w:rFonts w:ascii="Times New Roman" w:hAnsi="Times New Roman" w:cs="Times New Roman"/>
          <w:sz w:val="24"/>
          <w:szCs w:val="24"/>
        </w:rPr>
      </w:pPr>
      <w:r>
        <w:rPr>
          <w:rFonts w:ascii="Times New Roman" w:hAnsi="Times New Roman" w:cs="Times New Roman"/>
          <w:sz w:val="24"/>
          <w:szCs w:val="24"/>
        </w:rPr>
        <w:t>Les aspects financiers validés, la section suivante présente les impacts attendus du projet.</w:t>
      </w:r>
    </w:p>
    <w:p w14:paraId="1561A9C2">
      <w:pPr>
        <w:rPr>
          <w:rFonts w:ascii="Times New Roman" w:hAnsi="Times New Roman" w:cs="Times New Roman"/>
        </w:rPr>
      </w:pPr>
      <w:r>
        <w:rPr>
          <w:rFonts w:ascii="Times New Roman" w:hAnsi="Times New Roman" w:cs="Times New Roman"/>
        </w:rPr>
        <w:br w:type="page"/>
      </w:r>
    </w:p>
    <w:p w14:paraId="551CBFD2">
      <w:pPr>
        <w:jc w:val="both"/>
        <w:rPr>
          <w:rFonts w:ascii="Times New Roman" w:hAnsi="Times New Roman" w:cs="Times New Roman"/>
        </w:rPr>
      </w:pPr>
    </w:p>
    <w:p w14:paraId="5AAA4305">
      <w:pPr>
        <w:jc w:val="both"/>
        <w:rPr>
          <w:rFonts w:ascii="Times New Roman" w:hAnsi="Times New Roman" w:cs="Times New Roman"/>
        </w:rPr>
      </w:pPr>
    </w:p>
    <w:p w14:paraId="561CF5BE">
      <w:pPr>
        <w:jc w:val="both"/>
        <w:rPr>
          <w:rFonts w:ascii="Times New Roman" w:hAnsi="Times New Roman" w:cs="Times New Roman"/>
        </w:rPr>
      </w:pPr>
    </w:p>
    <w:p w14:paraId="6572A603">
      <w:pPr>
        <w:jc w:val="both"/>
        <w:rPr>
          <w:rFonts w:ascii="Times New Roman" w:hAnsi="Times New Roman" w:cs="Times New Roman"/>
        </w:rPr>
      </w:pPr>
    </w:p>
    <w:p w14:paraId="1323917B">
      <w:pPr>
        <w:jc w:val="both"/>
        <w:rPr>
          <w:rFonts w:ascii="Times New Roman" w:hAnsi="Times New Roman" w:cs="Times New Roman"/>
        </w:rPr>
      </w:pPr>
    </w:p>
    <w:p w14:paraId="0FE90138">
      <w:pPr>
        <w:jc w:val="both"/>
        <w:rPr>
          <w:rFonts w:ascii="Times New Roman" w:hAnsi="Times New Roman" w:cs="Times New Roman"/>
        </w:rPr>
      </w:pPr>
    </w:p>
    <w:p w14:paraId="58A60EAA">
      <w:pPr>
        <w:jc w:val="both"/>
        <w:rPr>
          <w:rFonts w:ascii="Times New Roman" w:hAnsi="Times New Roman" w:cs="Times New Roman"/>
        </w:rPr>
      </w:pPr>
    </w:p>
    <w:p w14:paraId="4D0D64C5">
      <w:pPr>
        <w:jc w:val="both"/>
        <w:rPr>
          <w:rFonts w:ascii="Times New Roman" w:hAnsi="Times New Roman" w:cs="Times New Roman"/>
        </w:rPr>
      </w:pPr>
    </w:p>
    <w:p w14:paraId="445F5285">
      <w:pPr>
        <w:jc w:val="both"/>
        <w:rPr>
          <w:rFonts w:ascii="Times New Roman" w:hAnsi="Times New Roman" w:cs="Times New Roman"/>
          <w:sz w:val="56"/>
          <w:szCs w:val="56"/>
        </w:rPr>
      </w:pPr>
    </w:p>
    <w:p w14:paraId="7EF2A5CB">
      <w:pPr>
        <w:pStyle w:val="36"/>
        <w:numPr>
          <w:ilvl w:val="1"/>
          <w:numId w:val="15"/>
        </w:numPr>
        <w:jc w:val="center"/>
        <w:rPr>
          <w:rFonts w:ascii="Times New Roman" w:hAnsi="Times New Roman" w:cs="Times New Roman"/>
          <w:b/>
          <w:bCs/>
          <w:sz w:val="56"/>
          <w:szCs w:val="56"/>
        </w:rPr>
      </w:pPr>
      <w:r>
        <w:rPr>
          <w:rFonts w:ascii="Times New Roman" w:hAnsi="Times New Roman" w:cs="Times New Roman"/>
          <w:b/>
          <w:bCs/>
          <w:sz w:val="56"/>
          <w:szCs w:val="56"/>
        </w:rPr>
        <w:t>Impacts du projet</w:t>
      </w:r>
    </w:p>
    <w:p w14:paraId="7DE8DD3B">
      <w:pPr>
        <w:pStyle w:val="36"/>
        <w:rPr>
          <w:rFonts w:ascii="Times New Roman" w:hAnsi="Times New Roman" w:cs="Times New Roman"/>
          <w:b/>
          <w:bCs/>
        </w:rPr>
      </w:pPr>
    </w:p>
    <w:p w14:paraId="7DB64A38">
      <w:pPr>
        <w:rPr>
          <w:rFonts w:ascii="Times New Roman" w:hAnsi="Times New Roman" w:cs="Times New Roman"/>
        </w:rPr>
      </w:pPr>
      <w:r>
        <w:rPr>
          <w:rFonts w:ascii="Times New Roman" w:hAnsi="Times New Roman" w:cs="Times New Roman"/>
        </w:rPr>
        <w:br w:type="page"/>
      </w:r>
    </w:p>
    <w:p w14:paraId="08504967">
      <w:pPr>
        <w:pStyle w:val="36"/>
        <w:rPr>
          <w:rFonts w:ascii="Times New Roman" w:hAnsi="Times New Roman" w:cs="Times New Roman"/>
          <w:b/>
          <w:bCs/>
        </w:rPr>
      </w:pPr>
    </w:p>
    <w:p w14:paraId="0B1CB7B5">
      <w:pPr>
        <w:pStyle w:val="36"/>
        <w:numPr>
          <w:ilvl w:val="0"/>
          <w:numId w:val="22"/>
        </w:numPr>
        <w:rPr>
          <w:rFonts w:ascii="Times New Roman" w:hAnsi="Times New Roman" w:cs="Times New Roman"/>
          <w:b/>
          <w:bCs/>
          <w:sz w:val="24"/>
          <w:szCs w:val="24"/>
        </w:rPr>
      </w:pPr>
      <w:r>
        <w:rPr>
          <w:rFonts w:ascii="Times New Roman" w:hAnsi="Times New Roman" w:cs="Times New Roman"/>
          <w:b/>
          <w:bCs/>
          <w:sz w:val="24"/>
          <w:szCs w:val="24"/>
        </w:rPr>
        <w:t>Sur le plan socio-économique</w:t>
      </w:r>
    </w:p>
    <w:p w14:paraId="67C05293">
      <w:pPr>
        <w:rPr>
          <w:rFonts w:ascii="Times New Roman" w:hAnsi="Times New Roman" w:cs="Times New Roman"/>
          <w:sz w:val="24"/>
          <w:szCs w:val="24"/>
        </w:rPr>
      </w:pPr>
      <w:r>
        <w:rPr>
          <w:rFonts w:ascii="Times New Roman" w:hAnsi="Times New Roman" w:cs="Times New Roman"/>
          <w:sz w:val="24"/>
          <w:szCs w:val="24"/>
        </w:rPr>
        <w:t>Le projet génère des impacts mesurables sur le plan socio-économique :</w:t>
      </w:r>
    </w:p>
    <w:p w14:paraId="582CB79A">
      <w:pPr>
        <w:pStyle w:val="36"/>
        <w:numPr>
          <w:ilvl w:val="0"/>
          <w:numId w:val="23"/>
        </w:numPr>
        <w:rPr>
          <w:rFonts w:ascii="Times New Roman" w:hAnsi="Times New Roman" w:cs="Times New Roman"/>
          <w:sz w:val="24"/>
          <w:szCs w:val="24"/>
        </w:rPr>
      </w:pPr>
      <w:r>
        <w:rPr>
          <w:rFonts w:ascii="Times New Roman" w:hAnsi="Times New Roman" w:cs="Times New Roman"/>
          <w:b/>
          <w:bCs/>
          <w:sz w:val="24"/>
          <w:szCs w:val="24"/>
        </w:rPr>
        <w:t>Création d'emplois directs</w:t>
      </w:r>
      <w:r>
        <w:rPr>
          <w:rFonts w:ascii="Times New Roman" w:hAnsi="Times New Roman" w:cs="Times New Roman"/>
          <w:sz w:val="24"/>
          <w:szCs w:val="24"/>
        </w:rPr>
        <w:t> : 4 postes en Année 1</w:t>
      </w:r>
    </w:p>
    <w:p w14:paraId="468C85DB">
      <w:pPr>
        <w:pStyle w:val="36"/>
        <w:numPr>
          <w:ilvl w:val="0"/>
          <w:numId w:val="23"/>
        </w:numPr>
        <w:rPr>
          <w:rFonts w:ascii="Times New Roman" w:hAnsi="Times New Roman" w:cs="Times New Roman"/>
          <w:sz w:val="24"/>
          <w:szCs w:val="24"/>
        </w:rPr>
      </w:pPr>
      <w:r>
        <w:rPr>
          <w:rFonts w:ascii="Times New Roman" w:hAnsi="Times New Roman" w:cs="Times New Roman"/>
          <w:b/>
          <w:bCs/>
          <w:sz w:val="24"/>
          <w:szCs w:val="24"/>
        </w:rPr>
        <w:t>Réduction des coûts pour les clients</w:t>
      </w:r>
      <w:r>
        <w:rPr>
          <w:rFonts w:ascii="Times New Roman" w:hAnsi="Times New Roman" w:cs="Times New Roman"/>
          <w:sz w:val="24"/>
          <w:szCs w:val="24"/>
        </w:rPr>
        <w:t> : Économie moyenne de 30 à 50% sur le coût des installations solaires (validé par simulations numériques et tests terrain). </w:t>
      </w:r>
      <w:r>
        <w:rPr>
          <w:rFonts w:ascii="Times New Roman" w:hAnsi="Times New Roman" w:cs="Times New Roman"/>
          <w:i/>
          <w:iCs/>
          <w:sz w:val="24"/>
          <w:szCs w:val="24"/>
        </w:rPr>
        <w:t>Indicateur : économie moyenne par projet en F CFA.</w:t>
      </w:r>
    </w:p>
    <w:p w14:paraId="17F80684">
      <w:pPr>
        <w:pStyle w:val="36"/>
        <w:numPr>
          <w:ilvl w:val="0"/>
          <w:numId w:val="23"/>
        </w:numPr>
        <w:rPr>
          <w:rFonts w:ascii="Times New Roman" w:hAnsi="Times New Roman" w:cs="Times New Roman"/>
          <w:sz w:val="24"/>
          <w:szCs w:val="24"/>
          <w:lang w:val="en-GB"/>
        </w:rPr>
      </w:pPr>
      <w:r>
        <w:rPr>
          <w:rFonts w:ascii="Times New Roman" w:hAnsi="Times New Roman" w:cs="Times New Roman"/>
          <w:b/>
          <w:bCs/>
          <w:sz w:val="24"/>
          <w:szCs w:val="24"/>
        </w:rPr>
        <w:t>Amélioration de l'accès à l'énergie</w:t>
      </w:r>
      <w:r>
        <w:rPr>
          <w:rFonts w:ascii="Times New Roman" w:hAnsi="Times New Roman" w:cs="Times New Roman"/>
          <w:sz w:val="24"/>
          <w:szCs w:val="24"/>
        </w:rPr>
        <w:t> : En rendant les installations plus accessibles, le projet contribue à l'électrification de ménages supplémentaires. </w:t>
      </w:r>
      <w:r>
        <w:rPr>
          <w:rFonts w:ascii="Times New Roman" w:hAnsi="Times New Roman" w:cs="Times New Roman"/>
          <w:i/>
          <w:iCs/>
          <w:sz w:val="24"/>
          <w:szCs w:val="24"/>
          <w:lang w:val="en-GB"/>
        </w:rPr>
        <w:t>Indicateur: nombre d'installations réalisées via KYA-SolDesign</w:t>
      </w:r>
    </w:p>
    <w:p w14:paraId="211EB545">
      <w:pPr>
        <w:pStyle w:val="36"/>
        <w:rPr>
          <w:rFonts w:ascii="Times New Roman" w:hAnsi="Times New Roman" w:cs="Times New Roman"/>
          <w:sz w:val="24"/>
          <w:szCs w:val="24"/>
        </w:rPr>
      </w:pPr>
    </w:p>
    <w:p w14:paraId="321CDE33">
      <w:pPr>
        <w:pStyle w:val="36"/>
        <w:numPr>
          <w:ilvl w:val="0"/>
          <w:numId w:val="22"/>
        </w:numPr>
        <w:rPr>
          <w:rFonts w:ascii="Times New Roman" w:hAnsi="Times New Roman" w:cs="Times New Roman"/>
          <w:b/>
          <w:bCs/>
          <w:sz w:val="24"/>
          <w:szCs w:val="24"/>
          <w:lang w:val="en-GB"/>
        </w:rPr>
      </w:pPr>
      <w:r>
        <w:rPr>
          <w:rFonts w:ascii="Times New Roman" w:hAnsi="Times New Roman" w:cs="Times New Roman"/>
          <w:b/>
          <w:bCs/>
          <w:sz w:val="24"/>
          <w:szCs w:val="24"/>
          <w:lang w:val="en-GB"/>
        </w:rPr>
        <w:t>Sur le plan environnemental</w:t>
      </w:r>
    </w:p>
    <w:p w14:paraId="188524F8">
      <w:pPr>
        <w:pStyle w:val="36"/>
        <w:numPr>
          <w:ilvl w:val="0"/>
          <w:numId w:val="24"/>
        </w:numPr>
        <w:rPr>
          <w:rFonts w:ascii="Times New Roman" w:hAnsi="Times New Roman" w:cs="Times New Roman"/>
          <w:sz w:val="24"/>
          <w:szCs w:val="24"/>
        </w:rPr>
      </w:pPr>
      <w:r>
        <w:rPr>
          <w:rFonts w:ascii="Times New Roman" w:hAnsi="Times New Roman" w:cs="Times New Roman"/>
          <w:b/>
          <w:bCs/>
          <w:sz w:val="24"/>
          <w:szCs w:val="24"/>
        </w:rPr>
        <w:t>Réduction du gaspillage de batteries</w:t>
      </w:r>
      <w:r>
        <w:rPr>
          <w:rFonts w:ascii="Times New Roman" w:hAnsi="Times New Roman" w:cs="Times New Roman"/>
          <w:sz w:val="24"/>
          <w:szCs w:val="24"/>
        </w:rPr>
        <w:t> : L'optimisation du dimensionnement évite le surdimensionnement du parc de batteries. </w:t>
      </w:r>
      <w:r>
        <w:rPr>
          <w:rFonts w:ascii="Times New Roman" w:hAnsi="Times New Roman" w:cs="Times New Roman"/>
          <w:i/>
          <w:iCs/>
          <w:sz w:val="24"/>
          <w:szCs w:val="24"/>
        </w:rPr>
        <w:t>Indicateur : réduction moyenne de la capacité batterie par projet (en Ah ou kWh).</w:t>
      </w:r>
    </w:p>
    <w:p w14:paraId="46E7FAC9">
      <w:pPr>
        <w:pStyle w:val="36"/>
        <w:numPr>
          <w:ilvl w:val="0"/>
          <w:numId w:val="24"/>
        </w:numPr>
        <w:rPr>
          <w:rFonts w:ascii="Times New Roman" w:hAnsi="Times New Roman" w:cs="Times New Roman"/>
          <w:sz w:val="24"/>
          <w:szCs w:val="24"/>
        </w:rPr>
      </w:pPr>
      <w:r>
        <w:rPr>
          <w:rFonts w:ascii="Times New Roman" w:hAnsi="Times New Roman" w:cs="Times New Roman"/>
          <w:b/>
          <w:bCs/>
          <w:sz w:val="24"/>
          <w:szCs w:val="24"/>
        </w:rPr>
        <w:t>Réduction des émissions de CO2</w:t>
      </w:r>
      <w:r>
        <w:rPr>
          <w:rFonts w:ascii="Times New Roman" w:hAnsi="Times New Roman" w:cs="Times New Roman"/>
          <w:sz w:val="24"/>
          <w:szCs w:val="24"/>
        </w:rPr>
        <w:t> : Chaque installation solaire bien dimensionnée remplace des sources fossiles. </w:t>
      </w:r>
      <w:r>
        <w:rPr>
          <w:rFonts w:ascii="Times New Roman" w:hAnsi="Times New Roman" w:cs="Times New Roman"/>
          <w:i/>
          <w:iCs/>
          <w:sz w:val="24"/>
          <w:szCs w:val="24"/>
        </w:rPr>
        <w:t>Indicateur : tonnes de CO2 évitées par an (estimé à 0,5 tCO2/kWc installé).</w:t>
      </w:r>
    </w:p>
    <w:p w14:paraId="4C8CCFCE">
      <w:pPr>
        <w:pStyle w:val="36"/>
        <w:rPr>
          <w:rFonts w:ascii="Times New Roman" w:hAnsi="Times New Roman" w:cs="Times New Roman"/>
          <w:sz w:val="24"/>
          <w:szCs w:val="24"/>
        </w:rPr>
      </w:pPr>
    </w:p>
    <w:p w14:paraId="510CE30F">
      <w:pPr>
        <w:pStyle w:val="36"/>
        <w:numPr>
          <w:ilvl w:val="0"/>
          <w:numId w:val="22"/>
        </w:numPr>
        <w:rPr>
          <w:rFonts w:ascii="Times New Roman" w:hAnsi="Times New Roman" w:cs="Times New Roman"/>
          <w:b/>
          <w:bCs/>
          <w:sz w:val="24"/>
          <w:szCs w:val="24"/>
          <w:lang w:val="en-GB"/>
        </w:rPr>
      </w:pPr>
      <w:r>
        <w:rPr>
          <w:rFonts w:ascii="Times New Roman" w:hAnsi="Times New Roman" w:cs="Times New Roman"/>
          <w:b/>
          <w:bCs/>
          <w:sz w:val="24"/>
          <w:szCs w:val="24"/>
          <w:lang w:val="en-GB"/>
        </w:rPr>
        <w:t>Liens avec les ODD</w:t>
      </w:r>
    </w:p>
    <w:p w14:paraId="766F8C64">
      <w:pPr>
        <w:rPr>
          <w:rFonts w:ascii="Times New Roman" w:hAnsi="Times New Roman" w:cs="Times New Roman"/>
          <w:sz w:val="24"/>
          <w:szCs w:val="24"/>
        </w:rPr>
      </w:pPr>
      <w:r>
        <w:rPr>
          <w:rFonts w:ascii="Times New Roman" w:hAnsi="Times New Roman" w:cs="Times New Roman"/>
          <w:sz w:val="24"/>
          <w:szCs w:val="24"/>
        </w:rPr>
        <w:t>Le projet s'inscrit pleinement dans les Objectifs de Développement Durable définis par les Nations Unies :</w:t>
      </w:r>
    </w:p>
    <w:p w14:paraId="3069BF48">
      <w:pPr>
        <w:pStyle w:val="36"/>
        <w:numPr>
          <w:ilvl w:val="0"/>
          <w:numId w:val="25"/>
        </w:numPr>
        <w:rPr>
          <w:rFonts w:ascii="Times New Roman" w:hAnsi="Times New Roman" w:cs="Times New Roman"/>
          <w:sz w:val="24"/>
          <w:szCs w:val="24"/>
        </w:rPr>
      </w:pPr>
      <w:r>
        <w:rPr>
          <w:rFonts w:ascii="Times New Roman" w:hAnsi="Times New Roman" w:cs="Times New Roman"/>
          <w:b/>
          <w:bCs/>
          <w:sz w:val="24"/>
          <w:szCs w:val="24"/>
        </w:rPr>
        <w:t>ODD 7 – Énergie propre et d'un coût abordable</w:t>
      </w:r>
      <w:r>
        <w:rPr>
          <w:rFonts w:ascii="Times New Roman" w:hAnsi="Times New Roman" w:cs="Times New Roman"/>
          <w:sz w:val="24"/>
          <w:szCs w:val="24"/>
        </w:rPr>
        <w:t> : Le projet facilite le déploiement d'installations solaires de qualité et économiquement accessibles.</w:t>
      </w:r>
    </w:p>
    <w:p w14:paraId="63DBF6CF">
      <w:pPr>
        <w:pStyle w:val="36"/>
        <w:numPr>
          <w:ilvl w:val="0"/>
          <w:numId w:val="25"/>
        </w:numPr>
        <w:rPr>
          <w:rFonts w:ascii="Times New Roman" w:hAnsi="Times New Roman" w:cs="Times New Roman"/>
          <w:sz w:val="24"/>
          <w:szCs w:val="24"/>
        </w:rPr>
      </w:pPr>
      <w:r>
        <w:rPr>
          <w:rFonts w:ascii="Times New Roman" w:hAnsi="Times New Roman" w:cs="Times New Roman"/>
          <w:b/>
          <w:bCs/>
          <w:sz w:val="24"/>
          <w:szCs w:val="24"/>
        </w:rPr>
        <w:t>ODD 8 – Travail décent et croissance économique</w:t>
      </w:r>
      <w:r>
        <w:rPr>
          <w:rFonts w:ascii="Times New Roman" w:hAnsi="Times New Roman" w:cs="Times New Roman"/>
          <w:sz w:val="24"/>
          <w:szCs w:val="24"/>
        </w:rPr>
        <w:t> : Création d'emplois qualifiés dans le secteur technologique.</w:t>
      </w:r>
    </w:p>
    <w:p w14:paraId="0898523F">
      <w:pPr>
        <w:pStyle w:val="36"/>
        <w:numPr>
          <w:ilvl w:val="0"/>
          <w:numId w:val="25"/>
        </w:numPr>
        <w:rPr>
          <w:rFonts w:ascii="Times New Roman" w:hAnsi="Times New Roman" w:cs="Times New Roman"/>
          <w:sz w:val="24"/>
          <w:szCs w:val="24"/>
        </w:rPr>
      </w:pPr>
      <w:r>
        <w:rPr>
          <w:rFonts w:ascii="Times New Roman" w:hAnsi="Times New Roman" w:cs="Times New Roman"/>
          <w:b/>
          <w:bCs/>
          <w:sz w:val="24"/>
          <w:szCs w:val="24"/>
        </w:rPr>
        <w:t>ODD 9 – Industrie, innovation et infrastructure</w:t>
      </w:r>
      <w:r>
        <w:rPr>
          <w:rFonts w:ascii="Times New Roman" w:hAnsi="Times New Roman" w:cs="Times New Roman"/>
          <w:sz w:val="24"/>
          <w:szCs w:val="24"/>
        </w:rPr>
        <w:t> : Développement d'une innovation logicielle africaine pour l'Afrique.</w:t>
      </w:r>
    </w:p>
    <w:p w14:paraId="5697F5B4">
      <w:pPr>
        <w:pStyle w:val="36"/>
        <w:numPr>
          <w:ilvl w:val="0"/>
          <w:numId w:val="25"/>
        </w:numPr>
        <w:rPr>
          <w:rFonts w:ascii="Times New Roman" w:hAnsi="Times New Roman" w:cs="Times New Roman"/>
          <w:sz w:val="24"/>
          <w:szCs w:val="24"/>
        </w:rPr>
      </w:pPr>
      <w:r>
        <w:rPr>
          <w:rFonts w:ascii="Times New Roman" w:hAnsi="Times New Roman" w:cs="Times New Roman"/>
          <w:b/>
          <w:bCs/>
          <w:sz w:val="24"/>
          <w:szCs w:val="24"/>
        </w:rPr>
        <w:t>ODD 13 – Mesures relatives à la lutte contre les changements climatiques</w:t>
      </w:r>
      <w:r>
        <w:rPr>
          <w:rFonts w:ascii="Times New Roman" w:hAnsi="Times New Roman" w:cs="Times New Roman"/>
          <w:sz w:val="24"/>
          <w:szCs w:val="24"/>
        </w:rPr>
        <w:t> : Promotion des énergies renouvelables et réduction de l'empreinte carbone</w:t>
      </w:r>
    </w:p>
    <w:p w14:paraId="202AB0C8">
      <w:pPr>
        <w:pStyle w:val="36"/>
        <w:rPr>
          <w:rFonts w:ascii="Times New Roman" w:hAnsi="Times New Roman" w:cs="Times New Roman"/>
          <w:b/>
          <w:bCs/>
          <w:sz w:val="24"/>
          <w:szCs w:val="24"/>
        </w:rPr>
      </w:pPr>
    </w:p>
    <w:p w14:paraId="492CE0C2">
      <w:pPr>
        <w:pStyle w:val="36"/>
        <w:rPr>
          <w:rFonts w:ascii="Times New Roman" w:hAnsi="Times New Roman" w:cs="Times New Roman"/>
          <w:b/>
          <w:bCs/>
        </w:rPr>
      </w:pPr>
    </w:p>
    <w:p w14:paraId="68424DBC">
      <w:pPr>
        <w:pStyle w:val="36"/>
        <w:rPr>
          <w:rFonts w:ascii="Times New Roman" w:hAnsi="Times New Roman" w:cs="Times New Roman"/>
          <w:b/>
          <w:bCs/>
        </w:rPr>
      </w:pPr>
    </w:p>
    <w:p w14:paraId="52E42674">
      <w:pPr>
        <w:pStyle w:val="36"/>
        <w:rPr>
          <w:rFonts w:ascii="Times New Roman" w:hAnsi="Times New Roman" w:cs="Times New Roman"/>
          <w:b/>
          <w:bCs/>
        </w:rPr>
      </w:pPr>
      <w:r>
        <w:rPr>
          <w:rFonts w:ascii="Times New Roman" w:hAnsi="Times New Roman" w:cs="Times New Roman"/>
          <w:b/>
          <w:bCs/>
        </w:rPr>
        <w:br w:type="page"/>
      </w:r>
    </w:p>
    <w:p w14:paraId="07C4E4C9">
      <w:pPr>
        <w:pStyle w:val="36"/>
        <w:rPr>
          <w:rFonts w:ascii="Times New Roman" w:hAnsi="Times New Roman" w:cs="Times New Roman"/>
          <w:b/>
          <w:bCs/>
        </w:rPr>
      </w:pPr>
    </w:p>
    <w:p w14:paraId="5289E38F">
      <w:pPr>
        <w:pStyle w:val="36"/>
        <w:rPr>
          <w:rFonts w:ascii="Times New Roman" w:hAnsi="Times New Roman" w:cs="Times New Roman"/>
          <w:b/>
          <w:bCs/>
        </w:rPr>
      </w:pPr>
    </w:p>
    <w:p w14:paraId="079DFF0E">
      <w:pPr>
        <w:pStyle w:val="36"/>
        <w:rPr>
          <w:rFonts w:ascii="Times New Roman" w:hAnsi="Times New Roman" w:cs="Times New Roman"/>
          <w:b/>
          <w:bCs/>
        </w:rPr>
      </w:pPr>
    </w:p>
    <w:p w14:paraId="037C7497">
      <w:pPr>
        <w:pStyle w:val="36"/>
        <w:rPr>
          <w:rFonts w:ascii="Times New Roman" w:hAnsi="Times New Roman" w:cs="Times New Roman"/>
          <w:b/>
          <w:bCs/>
        </w:rPr>
      </w:pPr>
    </w:p>
    <w:p w14:paraId="61B0904E">
      <w:pPr>
        <w:pStyle w:val="36"/>
        <w:rPr>
          <w:rFonts w:ascii="Times New Roman" w:hAnsi="Times New Roman" w:cs="Times New Roman"/>
          <w:b/>
          <w:bCs/>
        </w:rPr>
      </w:pPr>
    </w:p>
    <w:p w14:paraId="185BE024">
      <w:pPr>
        <w:pStyle w:val="36"/>
        <w:rPr>
          <w:rFonts w:ascii="Times New Roman" w:hAnsi="Times New Roman" w:cs="Times New Roman"/>
          <w:b/>
          <w:bCs/>
        </w:rPr>
      </w:pPr>
    </w:p>
    <w:p w14:paraId="33E1BB9B">
      <w:pPr>
        <w:pStyle w:val="36"/>
        <w:rPr>
          <w:rFonts w:ascii="Times New Roman" w:hAnsi="Times New Roman" w:cs="Times New Roman"/>
          <w:b/>
          <w:bCs/>
        </w:rPr>
      </w:pPr>
    </w:p>
    <w:p w14:paraId="38097627">
      <w:pPr>
        <w:pStyle w:val="36"/>
        <w:rPr>
          <w:rFonts w:ascii="Times New Roman" w:hAnsi="Times New Roman" w:cs="Times New Roman"/>
          <w:b/>
          <w:bCs/>
        </w:rPr>
      </w:pPr>
    </w:p>
    <w:p w14:paraId="3CACEFF3">
      <w:pPr>
        <w:pStyle w:val="36"/>
        <w:rPr>
          <w:rFonts w:ascii="Times New Roman" w:hAnsi="Times New Roman" w:cs="Times New Roman"/>
          <w:b/>
          <w:bCs/>
        </w:rPr>
      </w:pPr>
    </w:p>
    <w:p w14:paraId="6EE1D934">
      <w:pPr>
        <w:pStyle w:val="36"/>
        <w:rPr>
          <w:rFonts w:ascii="Times New Roman" w:hAnsi="Times New Roman" w:cs="Times New Roman"/>
          <w:b/>
          <w:bCs/>
        </w:rPr>
      </w:pPr>
    </w:p>
    <w:p w14:paraId="39C19C0E">
      <w:pPr>
        <w:pStyle w:val="36"/>
        <w:rPr>
          <w:rFonts w:ascii="Times New Roman" w:hAnsi="Times New Roman" w:cs="Times New Roman"/>
          <w:b/>
          <w:bCs/>
        </w:rPr>
      </w:pPr>
    </w:p>
    <w:p w14:paraId="682C2C61">
      <w:pPr>
        <w:pStyle w:val="36"/>
        <w:rPr>
          <w:rFonts w:ascii="Times New Roman" w:hAnsi="Times New Roman" w:cs="Times New Roman"/>
          <w:b/>
          <w:bCs/>
        </w:rPr>
      </w:pPr>
    </w:p>
    <w:p w14:paraId="4229B98E">
      <w:pPr>
        <w:pStyle w:val="36"/>
        <w:rPr>
          <w:rFonts w:ascii="Times New Roman" w:hAnsi="Times New Roman" w:cs="Times New Roman"/>
          <w:b/>
          <w:bCs/>
        </w:rPr>
      </w:pPr>
    </w:p>
    <w:p w14:paraId="4F2DB75C">
      <w:pPr>
        <w:pStyle w:val="36"/>
        <w:rPr>
          <w:rFonts w:ascii="Times New Roman" w:hAnsi="Times New Roman" w:cs="Times New Roman"/>
          <w:b/>
          <w:bCs/>
        </w:rPr>
      </w:pPr>
    </w:p>
    <w:p w14:paraId="4761B666">
      <w:pPr>
        <w:pStyle w:val="36"/>
        <w:numPr>
          <w:ilvl w:val="1"/>
          <w:numId w:val="15"/>
        </w:numPr>
        <w:jc w:val="center"/>
        <w:rPr>
          <w:rFonts w:ascii="Times New Roman" w:hAnsi="Times New Roman" w:cs="Times New Roman"/>
          <w:b/>
          <w:bCs/>
          <w:sz w:val="56"/>
          <w:szCs w:val="56"/>
        </w:rPr>
      </w:pPr>
      <w:r>
        <w:rPr>
          <w:rFonts w:ascii="Times New Roman" w:hAnsi="Times New Roman" w:cs="Times New Roman"/>
          <w:b/>
          <w:bCs/>
          <w:sz w:val="56"/>
          <w:szCs w:val="56"/>
        </w:rPr>
        <w:t>Annexes</w:t>
      </w:r>
    </w:p>
    <w:p w14:paraId="51575EAD">
      <w:pPr>
        <w:rPr>
          <w:rFonts w:ascii="Times New Roman" w:hAnsi="Times New Roman" w:cs="Times New Roman"/>
        </w:rPr>
      </w:pPr>
      <w:r>
        <w:rPr>
          <w:rFonts w:ascii="Times New Roman" w:hAnsi="Times New Roman" w:cs="Times New Roman"/>
        </w:rPr>
        <w:br w:type="page"/>
      </w:r>
    </w:p>
    <w:p w14:paraId="31A5B925">
      <w:pPr>
        <w:rPr>
          <w:rFonts w:ascii="Times New Roman" w:hAnsi="Times New Roman" w:cs="Times New Roman"/>
          <w:b/>
          <w:bCs/>
        </w:rPr>
      </w:pPr>
      <w:r>
        <w:rPr>
          <w:rFonts w:ascii="Times New Roman" w:hAnsi="Times New Roman" w:cs="Times New Roman"/>
          <w:b/>
          <w:bCs/>
          <w:u w:val="single"/>
        </w:rPr>
        <w:t>Annexe 1</w:t>
      </w:r>
      <w:r>
        <w:rPr>
          <w:rFonts w:ascii="Times New Roman" w:hAnsi="Times New Roman" w:cs="Times New Roman"/>
          <w:b/>
          <w:bCs/>
        </w:rPr>
        <w:t> : Présentation de KYA</w:t>
      </w:r>
    </w:p>
    <w:p w14:paraId="3DBC7F3B">
      <w:pPr>
        <w:pStyle w:val="36"/>
        <w:numPr>
          <w:ilvl w:val="0"/>
          <w:numId w:val="26"/>
        </w:numPr>
        <w:spacing w:after="0" w:line="240" w:lineRule="auto"/>
        <w:rPr>
          <w:rFonts w:ascii="Times New Roman" w:hAnsi="Times New Roman" w:eastAsia="Times New Roman" w:cs="Times New Roman"/>
          <w:b/>
          <w:bCs/>
          <w:color w:val="FF8900"/>
          <w:sz w:val="36"/>
          <w:szCs w:val="36"/>
          <w:lang w:eastAsia="fr-FR"/>
        </w:rPr>
      </w:pPr>
      <w:r>
        <w:rPr>
          <w:rFonts w:ascii="Times New Roman" w:hAnsi="Times New Roman" w:eastAsia="Times New Roman" w:cs="Times New Roman"/>
          <w:b/>
          <w:bCs/>
          <w:color w:val="FF8900"/>
          <w:sz w:val="36"/>
          <w:szCs w:val="36"/>
          <w:lang w:eastAsia="fr-FR"/>
        </w:rPr>
        <w:t xml:space="preserve">À PROPOS </w:t>
      </w:r>
    </w:p>
    <w:p w14:paraId="0369DC85">
      <w:pPr>
        <w:pStyle w:val="36"/>
        <w:spacing w:before="100" w:beforeAutospacing="1" w:after="100" w:afterAutospacing="1" w:line="240" w:lineRule="auto"/>
        <w:jc w:val="both"/>
        <w:outlineLvl w:val="1"/>
        <w:rPr>
          <w:rFonts w:ascii="Times New Roman" w:hAnsi="Times New Roman" w:eastAsia="Times New Roman" w:cs="Times New Roman"/>
          <w:b/>
          <w:bCs/>
          <w:sz w:val="36"/>
          <w:szCs w:val="36"/>
          <w:lang w:eastAsia="fr-FR"/>
        </w:rPr>
      </w:pPr>
    </w:p>
    <w:p w14:paraId="0F3D84E1">
      <w:pPr>
        <w:pStyle w:val="36"/>
        <w:numPr>
          <w:ilvl w:val="0"/>
          <w:numId w:val="27"/>
        </w:numPr>
        <w:spacing w:before="100" w:beforeAutospacing="1" w:after="100" w:afterAutospacing="1" w:line="240" w:lineRule="auto"/>
        <w:jc w:val="both"/>
        <w:outlineLvl w:val="1"/>
        <w:rPr>
          <w:rFonts w:ascii="Times New Roman" w:hAnsi="Times New Roman" w:eastAsia="Times New Roman" w:cs="Times New Roman"/>
          <w:b/>
          <w:bCs/>
          <w:color w:val="009999"/>
          <w:sz w:val="36"/>
          <w:szCs w:val="36"/>
          <w:lang w:eastAsia="fr-FR"/>
        </w:rPr>
      </w:pPr>
      <w:r>
        <w:rPr>
          <w:rFonts w:ascii="Times New Roman" w:hAnsi="Times New Roman" w:eastAsia="Times New Roman" w:cs="Times New Roman"/>
          <w:b/>
          <w:bCs/>
          <w:color w:val="009999"/>
          <w:sz w:val="36"/>
          <w:szCs w:val="36"/>
          <w:lang w:eastAsia="fr-FR"/>
        </w:rPr>
        <w:t>Notre société</w:t>
      </w:r>
    </w:p>
    <w:p w14:paraId="461F65CF">
      <w:pPr>
        <w:spacing w:before="100" w:beforeAutospacing="1" w:after="100" w:afterAutospacing="1" w:line="240" w:lineRule="auto"/>
        <w:jc w:val="both"/>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Fondé en 2015, </w:t>
      </w:r>
      <w:r>
        <w:rPr>
          <w:rFonts w:ascii="Times New Roman" w:hAnsi="Times New Roman" w:eastAsia="Times New Roman" w:cs="Times New Roman"/>
          <w:b/>
          <w:bCs/>
          <w:sz w:val="24"/>
          <w:szCs w:val="24"/>
          <w:lang w:eastAsia="fr-FR"/>
        </w:rPr>
        <w:t>KYA-Energy Group</w:t>
      </w:r>
      <w:r>
        <w:rPr>
          <w:rFonts w:ascii="Times New Roman" w:hAnsi="Times New Roman" w:eastAsia="Times New Roman" w:cs="Times New Roman"/>
          <w:sz w:val="24"/>
          <w:szCs w:val="24"/>
          <w:lang w:eastAsia="fr-FR"/>
        </w:rPr>
        <w:t xml:space="preserve"> est un acteur majeur dans le secteur des énergies renouvelables en Afrique de l’Ouest. </w:t>
      </w:r>
    </w:p>
    <w:p w14:paraId="3D918746">
      <w:pPr>
        <w:spacing w:before="100" w:beforeAutospacing="1" w:after="100" w:afterAutospacing="1" w:line="240" w:lineRule="auto"/>
        <w:jc w:val="both"/>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Nous sommes spécialisés dans la </w:t>
      </w:r>
      <w:r>
        <w:rPr>
          <w:rFonts w:ascii="Times New Roman" w:hAnsi="Times New Roman" w:eastAsia="Times New Roman" w:cs="Times New Roman"/>
          <w:b/>
          <w:bCs/>
          <w:sz w:val="24"/>
          <w:szCs w:val="24"/>
          <w:lang w:eastAsia="fr-FR"/>
        </w:rPr>
        <w:t>conception, l’assemblage et la commercialisation de solutions énergétiques solaires innovantes</w:t>
      </w:r>
      <w:r>
        <w:rPr>
          <w:rFonts w:ascii="Times New Roman" w:hAnsi="Times New Roman" w:eastAsia="Times New Roman" w:cs="Times New Roman"/>
          <w:sz w:val="24"/>
          <w:szCs w:val="24"/>
          <w:lang w:eastAsia="fr-FR"/>
        </w:rPr>
        <w:t xml:space="preserve"> adaptées aux réalités africaines. </w:t>
      </w:r>
    </w:p>
    <w:p w14:paraId="12FF5070">
      <w:pPr>
        <w:spacing w:before="100" w:beforeAutospacing="1" w:after="100" w:afterAutospacing="1" w:line="240" w:lineRule="auto"/>
        <w:jc w:val="both"/>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Nous avons pour ambition de contribuer activement à la transition énergétique en offrant des produits et services qui allient innovation technologique, fiabilité technique et accessibilité économique.</w:t>
      </w:r>
    </w:p>
    <w:p w14:paraId="67BDA184">
      <w:pPr>
        <w:spacing w:before="100" w:beforeAutospacing="1" w:after="100" w:afterAutospacing="1" w:line="240" w:lineRule="auto"/>
        <w:jc w:val="both"/>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Notre plus grand rêve est de faire du</w:t>
      </w:r>
      <w:r>
        <w:rPr>
          <w:rFonts w:ascii="Times New Roman" w:hAnsi="Times New Roman" w:eastAsia="Times New Roman" w:cs="Times New Roman"/>
          <w:b/>
          <w:bCs/>
          <w:sz w:val="24"/>
          <w:szCs w:val="24"/>
          <w:lang w:eastAsia="fr-FR"/>
        </w:rPr>
        <w:t xml:space="preserve"> Togo, le hub technologique des énergies renouvelables pour l’Afrique</w:t>
      </w:r>
      <w:r>
        <w:rPr>
          <w:rFonts w:ascii="Times New Roman" w:hAnsi="Times New Roman" w:eastAsia="Times New Roman" w:cs="Times New Roman"/>
          <w:sz w:val="24"/>
          <w:szCs w:val="24"/>
          <w:lang w:eastAsia="fr-FR"/>
        </w:rPr>
        <w:t>, avec une expansion d’activités vers des pays à faible taux d’électrification comme ceux du Sahel, la Sierra Leone, le Libéria, la Guinée-Conakry, le Tchad, la Centrafrique et de nouveaux marchés en Côte d’Ivoire, au Ghana, etc.</w:t>
      </w:r>
    </w:p>
    <w:p w14:paraId="70EA3412">
      <w:pPr>
        <w:pStyle w:val="36"/>
        <w:numPr>
          <w:ilvl w:val="0"/>
          <w:numId w:val="27"/>
        </w:numPr>
        <w:spacing w:before="100" w:beforeAutospacing="1" w:after="100" w:afterAutospacing="1" w:line="240" w:lineRule="auto"/>
        <w:jc w:val="both"/>
        <w:outlineLvl w:val="1"/>
        <w:rPr>
          <w:rFonts w:ascii="Times New Roman" w:hAnsi="Times New Roman" w:eastAsia="Times New Roman" w:cs="Times New Roman"/>
          <w:b/>
          <w:bCs/>
          <w:color w:val="009999"/>
          <w:sz w:val="36"/>
          <w:szCs w:val="36"/>
          <w:lang w:eastAsia="fr-FR"/>
        </w:rPr>
      </w:pPr>
      <w:r>
        <w:rPr>
          <w:rFonts w:ascii="Times New Roman" w:hAnsi="Times New Roman" w:eastAsia="Times New Roman" w:cs="Times New Roman"/>
          <w:b/>
          <w:bCs/>
          <w:color w:val="009999"/>
          <w:sz w:val="36"/>
          <w:szCs w:val="36"/>
          <w:lang w:eastAsia="fr-FR"/>
        </w:rPr>
        <w:t>Notre histoire</w:t>
      </w:r>
    </w:p>
    <w:p w14:paraId="63DC7EB0">
      <w:pPr>
        <w:jc w:val="both"/>
        <w:rPr>
          <w:rFonts w:ascii="Times New Roman" w:hAnsi="Times New Roman" w:cs="Times New Roman"/>
          <w:sz w:val="24"/>
          <w:szCs w:val="24"/>
        </w:rPr>
      </w:pPr>
      <w:r>
        <w:rPr>
          <w:rFonts w:ascii="Times New Roman" w:hAnsi="Times New Roman" w:cs="Times New Roman"/>
          <w:sz w:val="24"/>
          <w:szCs w:val="24"/>
        </w:rPr>
        <w:t>Créé en juillet 2015 par le Professeur Yao K. AZOUMAH, dans un contexte de demande croissante d’énergie propre et durable, KYA-Energy Group s’est positionné depuis le début comme acteur clé dans la conception et le développement de solutions énergétiques adaptées aux besoins africains. En effet, dès sa création, l’entreprise a su évoluer pour devenir un acteur incontournable dans le domaine de l’énergie solaire et des solutions technologiques associées, au Togo et dans la sous-région ouest africaine, à travers le développement de logiciels, de groupes électrosolaires, de gestionnaires d’énergie, et par sa contribution à la réalisation de grands projets de construction de grandes centrales solaires et de renforcement de capacités des professionnels de la filière.</w:t>
      </w:r>
    </w:p>
    <w:p w14:paraId="1CF5125C">
      <w:pPr>
        <w:jc w:val="both"/>
        <w:rPr>
          <w:rFonts w:ascii="Times New Roman" w:hAnsi="Times New Roman" w:cs="Times New Roman"/>
          <w:sz w:val="24"/>
          <w:szCs w:val="24"/>
        </w:rPr>
      </w:pPr>
      <w:r>
        <w:rPr>
          <w:rFonts w:ascii="Times New Roman" w:hAnsi="Times New Roman" w:cs="Times New Roman"/>
          <w:sz w:val="24"/>
          <w:szCs w:val="24"/>
        </w:rPr>
        <w:t>Avec une forte volonté d’innovation technologique et un engagement constant en faveur du développement durable, KYA-Energy Group s’est dotée d’une expertise locale avérée et a développé des partenariats stratégiques pour offrir des solutions à haute valeur ajoutée, contribuant ainsi à l’amélioration des conditions de vie et à l’essor économique en Afrique.</w:t>
      </w:r>
    </w:p>
    <w:p w14:paraId="00CE26E5">
      <w:pPr>
        <w:jc w:val="both"/>
        <w:rPr>
          <w:rFonts w:ascii="Times New Roman" w:hAnsi="Times New Roman" w:cs="Times New Roman"/>
          <w:sz w:val="24"/>
          <w:szCs w:val="24"/>
        </w:rPr>
      </w:pPr>
      <w:r>
        <w:rPr>
          <w:rFonts w:ascii="Times New Roman" w:hAnsi="Times New Roman" w:cs="Times New Roman"/>
          <w:sz w:val="24"/>
          <w:szCs w:val="24"/>
        </w:rPr>
        <w:t>KYA-Energy Group s’est positionné stratégiquement pour fournir des solutions sur mesure pour des applications productives et surtout orientées business. Plusieurs projets ont été menés dans ce sens : de la solarisation des centres de santé, des écoles, des fermes agricoles, en passant par des sites militaires et des plateformes multifonctionnelles agricoles.</w:t>
      </w:r>
    </w:p>
    <w:p w14:paraId="3CF2A2AE">
      <w:pPr>
        <w:jc w:val="both"/>
        <w:rPr>
          <w:rFonts w:ascii="Times New Roman" w:hAnsi="Times New Roman" w:cs="Times New Roman"/>
          <w:sz w:val="24"/>
          <w:szCs w:val="24"/>
        </w:rPr>
      </w:pPr>
      <w:r>
        <w:rPr>
          <w:rFonts w:ascii="Times New Roman" w:hAnsi="Times New Roman" w:cs="Times New Roman"/>
          <w:sz w:val="24"/>
          <w:szCs w:val="24"/>
        </w:rPr>
        <w:t>De 2015 à ce jour, KYA-Energy Group a significativement impacté l’environnement socio-économique du Togo et de l’Afrique de l’ouest grâce au développement de ses produits et services, ce qui lui a valu plusieurs prix et distinctions nationales et internationales.</w:t>
      </w:r>
    </w:p>
    <w:p w14:paraId="25BC64C7">
      <w:pPr>
        <w:jc w:val="both"/>
        <w:rPr>
          <w:rFonts w:ascii="Times New Roman" w:hAnsi="Times New Roman" w:cs="Times New Roman"/>
          <w:sz w:val="24"/>
          <w:szCs w:val="24"/>
        </w:rPr>
      </w:pPr>
      <w:r>
        <w:rPr>
          <w:rFonts w:ascii="Times New Roman" w:hAnsi="Times New Roman" w:cs="Times New Roman"/>
          <w:sz w:val="24"/>
          <w:szCs w:val="24"/>
        </w:rPr>
        <w:t>Notre entreprise amorce une nouvelle décennie avec l’ambition d’aller à l’industrialisation concrète de ses produits solaires pour disposer d’une meilleure politique de coût pour le bonheur des populations africaines.</w:t>
      </w:r>
    </w:p>
    <w:p w14:paraId="4772E036">
      <w:pPr>
        <w:pStyle w:val="36"/>
        <w:numPr>
          <w:ilvl w:val="0"/>
          <w:numId w:val="27"/>
        </w:numPr>
        <w:spacing w:before="100" w:beforeAutospacing="1" w:after="100" w:afterAutospacing="1" w:line="240" w:lineRule="auto"/>
        <w:jc w:val="both"/>
        <w:outlineLvl w:val="1"/>
        <w:rPr>
          <w:rFonts w:ascii="Times New Roman" w:hAnsi="Times New Roman" w:cs="Times New Roman"/>
          <w:color w:val="FF0000"/>
          <w:sz w:val="28"/>
          <w:szCs w:val="28"/>
        </w:rPr>
      </w:pPr>
      <w:r>
        <w:rPr>
          <w:rFonts w:ascii="Times New Roman" w:hAnsi="Times New Roman" w:eastAsia="Times New Roman" w:cs="Times New Roman"/>
          <w:b/>
          <w:bCs/>
          <w:color w:val="009999"/>
          <w:sz w:val="36"/>
          <w:szCs w:val="36"/>
          <w:lang w:eastAsia="fr-FR"/>
        </w:rPr>
        <w:t>Nos impacts</w:t>
      </w:r>
    </w:p>
    <w:p w14:paraId="1D10611E">
      <w:pPr>
        <w:pStyle w:val="36"/>
        <w:spacing w:before="100" w:beforeAutospacing="1" w:after="100" w:afterAutospacing="1" w:line="240" w:lineRule="auto"/>
        <w:ind w:left="1440"/>
        <w:jc w:val="both"/>
        <w:outlineLvl w:val="1"/>
        <w:rPr>
          <w:rFonts w:ascii="Times New Roman" w:hAnsi="Times New Roman" w:cs="Times New Roman"/>
          <w:color w:val="FF0000"/>
          <w:sz w:val="28"/>
          <w:szCs w:val="28"/>
        </w:rPr>
      </w:pPr>
    </w:p>
    <w:p w14:paraId="186A8C26">
      <w:pPr>
        <w:pStyle w:val="36"/>
        <w:rPr>
          <w:rFonts w:ascii="Times New Roman" w:hAnsi="Times New Roman" w:cs="Times New Roman"/>
          <w:sz w:val="28"/>
          <w:szCs w:val="28"/>
        </w:rPr>
      </w:pPr>
    </w:p>
    <w:p w14:paraId="4A8F55E3">
      <w:pPr>
        <w:pStyle w:val="36"/>
        <w:spacing w:before="100" w:beforeAutospacing="1" w:after="100" w:afterAutospacing="1" w:line="240" w:lineRule="auto"/>
        <w:ind w:left="1440"/>
        <w:jc w:val="both"/>
        <w:outlineLvl w:val="1"/>
        <w:rPr>
          <w:rFonts w:ascii="Times New Roman" w:hAnsi="Times New Roman" w:eastAsia="Times New Roman" w:cs="Times New Roman"/>
          <w:b/>
          <w:bCs/>
          <w:color w:val="FF8900"/>
          <w:sz w:val="36"/>
          <w:szCs w:val="36"/>
          <w:lang w:eastAsia="fr-FR"/>
        </w:rPr>
      </w:pPr>
      <w:r>
        <w:rPr>
          <w:rFonts w:ascii="Times New Roman" w:hAnsi="Times New Roman" w:cs="Times New Roman"/>
        </w:rPr>
        <mc:AlternateContent>
          <mc:Choice Requires="wps">
            <w:drawing>
              <wp:anchor distT="0" distB="0" distL="114300" distR="114300" simplePos="0" relativeHeight="251669504" behindDoc="0" locked="0" layoutInCell="1" allowOverlap="1">
                <wp:simplePos x="0" y="0"/>
                <wp:positionH relativeFrom="column">
                  <wp:posOffset>4510405</wp:posOffset>
                </wp:positionH>
                <wp:positionV relativeFrom="paragraph">
                  <wp:posOffset>1326515</wp:posOffset>
                </wp:positionV>
                <wp:extent cx="1905000" cy="586740"/>
                <wp:effectExtent l="0" t="0" r="0" b="3810"/>
                <wp:wrapNone/>
                <wp:docPr id="1722424887" name="Zone de texte 62"/>
                <wp:cNvGraphicFramePr/>
                <a:graphic xmlns:a="http://schemas.openxmlformats.org/drawingml/2006/main">
                  <a:graphicData uri="http://schemas.microsoft.com/office/word/2010/wordprocessingShape">
                    <wps:wsp>
                      <wps:cNvSpPr txBox="1"/>
                      <wps:spPr>
                        <a:xfrm>
                          <a:off x="0" y="0"/>
                          <a:ext cx="1905000" cy="586740"/>
                        </a:xfrm>
                        <a:prstGeom prst="rect">
                          <a:avLst/>
                        </a:prstGeom>
                        <a:noFill/>
                        <a:ln w="6350">
                          <a:noFill/>
                        </a:ln>
                      </wps:spPr>
                      <wps:txbx>
                        <w:txbxContent>
                          <w:p w14:paraId="5010052B">
                            <w:pPr>
                              <w:spacing w:after="0"/>
                              <w:rPr>
                                <w:rFonts w:ascii="Arial Narrow" w:hAnsi="Arial Narrow"/>
                                <w:sz w:val="28"/>
                                <w:szCs w:val="28"/>
                              </w:rPr>
                            </w:pPr>
                            <w:r>
                              <w:rPr>
                                <w:rFonts w:ascii="Arial Narrow" w:hAnsi="Arial Narrow"/>
                                <w:sz w:val="28"/>
                                <w:szCs w:val="28"/>
                              </w:rPr>
                              <w:t>Nombre d’entreprises ou agences formées :</w:t>
                            </w:r>
                            <w:r>
                              <w:rPr>
                                <w:rFonts w:ascii="Arial Narrow" w:hAnsi="Arial Narrow"/>
                                <w:b/>
                                <w:bCs/>
                                <w:color w:val="FF0000"/>
                                <w:sz w:val="28"/>
                                <w:szCs w:val="28"/>
                              </w:rPr>
                              <w:t>10</w:t>
                            </w:r>
                          </w:p>
                          <w:p w14:paraId="11A331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2" o:spid="_x0000_s1026" o:spt="202" type="#_x0000_t202" style="position:absolute;left:0pt;margin-left:355.15pt;margin-top:104.45pt;height:46.2pt;width:150pt;z-index:251669504;mso-width-relative:page;mso-height-relative:page;" filled="f" stroked="f" coordsize="21600,21600" o:gfxdata="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adU0jNsAAAAMAQAADwAAAAAAAAABACAAAAAiAAAAZHJzL2Rv&#10;d25yZXYueG1sUEsBAhQAFAAAAAgAh07iQL690Rc3AgAAdAQAAA4AAAAAAAAAAQAgAAAAKgEAAGRy&#10;cy9lMm9Eb2MueG1sUEsFBgAAAAAGAAYAWQEAANMFAAAAAA==&#10;">
                <v:fill on="f" focussize="0,0"/>
                <v:stroke on="f" weight="0.5pt"/>
                <v:imagedata o:title=""/>
                <o:lock v:ext="edit" aspectratio="f"/>
                <v:textbox>
                  <w:txbxContent>
                    <w:p w14:paraId="5010052B">
                      <w:pPr>
                        <w:spacing w:after="0"/>
                        <w:rPr>
                          <w:rFonts w:ascii="Arial Narrow" w:hAnsi="Arial Narrow"/>
                          <w:sz w:val="28"/>
                          <w:szCs w:val="28"/>
                        </w:rPr>
                      </w:pPr>
                      <w:r>
                        <w:rPr>
                          <w:rFonts w:ascii="Arial Narrow" w:hAnsi="Arial Narrow"/>
                          <w:sz w:val="28"/>
                          <w:szCs w:val="28"/>
                        </w:rPr>
                        <w:t>Nombre d’entreprises ou agences formées :</w:t>
                      </w:r>
                      <w:r>
                        <w:rPr>
                          <w:rFonts w:ascii="Arial Narrow" w:hAnsi="Arial Narrow"/>
                          <w:b/>
                          <w:bCs/>
                          <w:color w:val="FF0000"/>
                          <w:sz w:val="28"/>
                          <w:szCs w:val="28"/>
                        </w:rPr>
                        <w:t>10</w:t>
                      </w:r>
                    </w:p>
                    <w:p w14:paraId="11A331F8"/>
                  </w:txbxContent>
                </v:textbox>
              </v:shape>
            </w:pict>
          </mc:Fallback>
        </mc:AlternateContent>
      </w:r>
      <w:r>
        <w:rPr>
          <w:rFonts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723265</wp:posOffset>
                </wp:positionH>
                <wp:positionV relativeFrom="paragraph">
                  <wp:posOffset>2390140</wp:posOffset>
                </wp:positionV>
                <wp:extent cx="1691640" cy="546100"/>
                <wp:effectExtent l="0" t="0" r="0" b="6350"/>
                <wp:wrapNone/>
                <wp:docPr id="1056246052" name="Zone de texte 62"/>
                <wp:cNvGraphicFramePr/>
                <a:graphic xmlns:a="http://schemas.openxmlformats.org/drawingml/2006/main">
                  <a:graphicData uri="http://schemas.microsoft.com/office/word/2010/wordprocessingShape">
                    <wps:wsp>
                      <wps:cNvSpPr txBox="1"/>
                      <wps:spPr>
                        <a:xfrm>
                          <a:off x="0" y="0"/>
                          <a:ext cx="1691640" cy="546100"/>
                        </a:xfrm>
                        <a:prstGeom prst="rect">
                          <a:avLst/>
                        </a:prstGeom>
                        <a:noFill/>
                        <a:ln w="6350">
                          <a:noFill/>
                        </a:ln>
                      </wps:spPr>
                      <wps:txbx>
                        <w:txbxContent>
                          <w:p w14:paraId="45E3BA24">
                            <w:pPr>
                              <w:spacing w:after="0"/>
                              <w:rPr>
                                <w:rFonts w:ascii="Arial Narrow" w:hAnsi="Arial Narrow"/>
                                <w:sz w:val="28"/>
                                <w:szCs w:val="28"/>
                              </w:rPr>
                            </w:pPr>
                            <w:r>
                              <w:rPr>
                                <w:rFonts w:ascii="Arial Narrow" w:hAnsi="Arial Narrow"/>
                                <w:sz w:val="28"/>
                                <w:szCs w:val="28"/>
                              </w:rPr>
                              <w:t xml:space="preserve">Nombre total d’emplois directs : </w:t>
                            </w:r>
                            <w:r>
                              <w:rPr>
                                <w:rFonts w:ascii="Arial Narrow" w:hAnsi="Arial Narrow"/>
                                <w:b/>
                                <w:bCs/>
                                <w:color w:val="FF0000"/>
                                <w:sz w:val="28"/>
                                <w:szCs w:val="28"/>
                              </w:rPr>
                              <w:t>100</w:t>
                            </w:r>
                          </w:p>
                          <w:p w14:paraId="4C68E41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2" o:spid="_x0000_s1026" o:spt="202" type="#_x0000_t202" style="position:absolute;left:0pt;margin-left:56.95pt;margin-top:188.2pt;height:43pt;width:133.2pt;z-index:251667456;mso-width-relative:page;mso-height-relative:page;" filled="f" stroked="f" coordsize="21600,21600" o:gfxdata="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n/gja3AAAAAsBAAAPAAAAAAAAAAEAIAAAACIAAABkcnMv&#10;ZG93bnJldi54bWxQSwECFAAUAAAACACHTuJAaapEKDgCAAB0BAAADgAAAAAAAAABACAAAAArAQAA&#10;ZHJzL2Uyb0RvYy54bWxQSwUGAAAAAAYABgBZAQAA1QUAAAAA&#10;">
                <v:fill on="f" focussize="0,0"/>
                <v:stroke on="f" weight="0.5pt"/>
                <v:imagedata o:title=""/>
                <o:lock v:ext="edit" aspectratio="f"/>
                <v:textbox>
                  <w:txbxContent>
                    <w:p w14:paraId="45E3BA24">
                      <w:pPr>
                        <w:spacing w:after="0"/>
                        <w:rPr>
                          <w:rFonts w:ascii="Arial Narrow" w:hAnsi="Arial Narrow"/>
                          <w:sz w:val="28"/>
                          <w:szCs w:val="28"/>
                        </w:rPr>
                      </w:pPr>
                      <w:r>
                        <w:rPr>
                          <w:rFonts w:ascii="Arial Narrow" w:hAnsi="Arial Narrow"/>
                          <w:sz w:val="28"/>
                          <w:szCs w:val="28"/>
                        </w:rPr>
                        <w:t xml:space="preserve">Nombre total d’emplois directs : </w:t>
                      </w:r>
                      <w:r>
                        <w:rPr>
                          <w:rFonts w:ascii="Arial Narrow" w:hAnsi="Arial Narrow"/>
                          <w:b/>
                          <w:bCs/>
                          <w:color w:val="FF0000"/>
                          <w:sz w:val="28"/>
                          <w:szCs w:val="28"/>
                        </w:rPr>
                        <w:t>100</w:t>
                      </w:r>
                    </w:p>
                    <w:p w14:paraId="4C68E419"/>
                  </w:txbxContent>
                </v:textbox>
              </v:shape>
            </w:pict>
          </mc:Fallback>
        </mc:AlternateContent>
      </w:r>
      <w:r>
        <w:rPr>
          <w:rFonts w:ascii="Times New Roman" w:hAnsi="Times New Roman" w:cs="Times New Roman"/>
        </w:rPr>
        <mc:AlternateContent>
          <mc:Choice Requires="wps">
            <w:drawing>
              <wp:anchor distT="0" distB="0" distL="114300" distR="114300" simplePos="0" relativeHeight="251668480" behindDoc="0" locked="0" layoutInCell="1" allowOverlap="1">
                <wp:simplePos x="0" y="0"/>
                <wp:positionH relativeFrom="column">
                  <wp:posOffset>4573905</wp:posOffset>
                </wp:positionH>
                <wp:positionV relativeFrom="paragraph">
                  <wp:posOffset>116205</wp:posOffset>
                </wp:positionV>
                <wp:extent cx="1739900" cy="546100"/>
                <wp:effectExtent l="0" t="0" r="0" b="6350"/>
                <wp:wrapNone/>
                <wp:docPr id="959940938" name="Zone de texte 62"/>
                <wp:cNvGraphicFramePr/>
                <a:graphic xmlns:a="http://schemas.openxmlformats.org/drawingml/2006/main">
                  <a:graphicData uri="http://schemas.microsoft.com/office/word/2010/wordprocessingShape">
                    <wps:wsp>
                      <wps:cNvSpPr txBox="1"/>
                      <wps:spPr>
                        <a:xfrm>
                          <a:off x="0" y="0"/>
                          <a:ext cx="1739900" cy="546100"/>
                        </a:xfrm>
                        <a:prstGeom prst="rect">
                          <a:avLst/>
                        </a:prstGeom>
                        <a:noFill/>
                        <a:ln w="6350">
                          <a:noFill/>
                        </a:ln>
                      </wps:spPr>
                      <wps:txbx>
                        <w:txbxContent>
                          <w:p w14:paraId="731CF864">
                            <w:pPr>
                              <w:spacing w:after="0"/>
                              <w:rPr>
                                <w:rFonts w:ascii="Arial Narrow" w:hAnsi="Arial Narrow"/>
                                <w:sz w:val="28"/>
                                <w:szCs w:val="28"/>
                              </w:rPr>
                            </w:pPr>
                            <w:r>
                              <w:rPr>
                                <w:rFonts w:ascii="Arial Narrow" w:hAnsi="Arial Narrow"/>
                                <w:sz w:val="28"/>
                                <w:szCs w:val="28"/>
                              </w:rPr>
                              <w:t>Nombre total d’emplois indirects :</w:t>
                            </w:r>
                            <w:r>
                              <w:rPr>
                                <w:rFonts w:ascii="Arial Narrow" w:hAnsi="Arial Narrow"/>
                                <w:b/>
                                <w:bCs/>
                                <w:color w:val="FF0000"/>
                                <w:sz w:val="28"/>
                                <w:szCs w:val="28"/>
                              </w:rPr>
                              <w:t>468</w:t>
                            </w:r>
                          </w:p>
                          <w:p w14:paraId="39721C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2" o:spid="_x0000_s1026" o:spt="202" type="#_x0000_t202" style="position:absolute;left:0pt;margin-left:360.15pt;margin-top:9.15pt;height:43pt;width:137pt;z-index:251668480;mso-width-relative:page;mso-height-relative:page;" filled="f" stroked="f" coordsize="21600,21600" o:gfxdata="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EpU79gAAAAKAQAADwAAAAAAAAABACAAAAAiAAAAZHJzL2Rvd25y&#10;ZXYueG1sUEsBAhQAFAAAAAgAh07iQBGonH83AgAAcwQAAA4AAAAAAAAAAQAgAAAAJwEAAGRycy9l&#10;Mm9Eb2MueG1sUEsFBgAAAAAGAAYAWQEAANAFAAAAAA==&#10;">
                <v:fill on="f" focussize="0,0"/>
                <v:stroke on="f" weight="0.5pt"/>
                <v:imagedata o:title=""/>
                <o:lock v:ext="edit" aspectratio="f"/>
                <v:textbox>
                  <w:txbxContent>
                    <w:p w14:paraId="731CF864">
                      <w:pPr>
                        <w:spacing w:after="0"/>
                        <w:rPr>
                          <w:rFonts w:ascii="Arial Narrow" w:hAnsi="Arial Narrow"/>
                          <w:sz w:val="28"/>
                          <w:szCs w:val="28"/>
                        </w:rPr>
                      </w:pPr>
                      <w:r>
                        <w:rPr>
                          <w:rFonts w:ascii="Arial Narrow" w:hAnsi="Arial Narrow"/>
                          <w:sz w:val="28"/>
                          <w:szCs w:val="28"/>
                        </w:rPr>
                        <w:t>Nombre total d’emplois indirects :</w:t>
                      </w:r>
                      <w:r>
                        <w:rPr>
                          <w:rFonts w:ascii="Arial Narrow" w:hAnsi="Arial Narrow"/>
                          <w:b/>
                          <w:bCs/>
                          <w:color w:val="FF0000"/>
                          <w:sz w:val="28"/>
                          <w:szCs w:val="28"/>
                        </w:rPr>
                        <w:t>468</w:t>
                      </w:r>
                    </w:p>
                    <w:p w14:paraId="39721C2D"/>
                  </w:txbxContent>
                </v:textbox>
              </v:shape>
            </w:pict>
          </mc:Fallback>
        </mc:AlternateContent>
      </w:r>
      <w:r>
        <w:rPr>
          <w:rFonts w:ascii="Times New Roman" w:hAnsi="Times New Roman" w:cs="Times New Roman"/>
        </w:rPr>
        <w:drawing>
          <wp:anchor distT="0" distB="0" distL="114300" distR="114300" simplePos="0" relativeHeight="251663360" behindDoc="1" locked="0" layoutInCell="1" allowOverlap="1">
            <wp:simplePos x="0" y="0"/>
            <wp:positionH relativeFrom="column">
              <wp:posOffset>3692525</wp:posOffset>
            </wp:positionH>
            <wp:positionV relativeFrom="paragraph">
              <wp:posOffset>1221105</wp:posOffset>
            </wp:positionV>
            <wp:extent cx="641350" cy="641350"/>
            <wp:effectExtent l="0" t="0" r="6350" b="6350"/>
            <wp:wrapNone/>
            <wp:docPr id="210357816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8167" name="Imag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41350" cy="641350"/>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61312" behindDoc="1" locked="0" layoutInCell="1" allowOverlap="1">
            <wp:simplePos x="0" y="0"/>
            <wp:positionH relativeFrom="column">
              <wp:posOffset>3710305</wp:posOffset>
            </wp:positionH>
            <wp:positionV relativeFrom="paragraph">
              <wp:posOffset>147955</wp:posOffset>
            </wp:positionV>
            <wp:extent cx="635000" cy="635000"/>
            <wp:effectExtent l="0" t="0" r="0" b="0"/>
            <wp:wrapNone/>
            <wp:docPr id="95013753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7532" name="Imag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35000" cy="635000"/>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60288" behindDoc="1" locked="0" layoutInCell="1" allowOverlap="1">
            <wp:simplePos x="0" y="0"/>
            <wp:positionH relativeFrom="column">
              <wp:posOffset>-188595</wp:posOffset>
            </wp:positionH>
            <wp:positionV relativeFrom="paragraph">
              <wp:posOffset>2371725</wp:posOffset>
            </wp:positionV>
            <wp:extent cx="590550" cy="590550"/>
            <wp:effectExtent l="0" t="0" r="0" b="0"/>
            <wp:wrapNone/>
            <wp:docPr id="98833403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4038" name="Imag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0550" cy="590550"/>
                    </a:xfrm>
                    <a:prstGeom prst="rect">
                      <a:avLst/>
                    </a:prstGeom>
                    <a:noFill/>
                    <a:ln>
                      <a:noFill/>
                    </a:ln>
                  </pic:spPr>
                </pic:pic>
              </a:graphicData>
            </a:graphic>
          </wp:anchor>
        </w:drawing>
      </w: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706755</wp:posOffset>
                </wp:positionH>
                <wp:positionV relativeFrom="paragraph">
                  <wp:posOffset>1265555</wp:posOffset>
                </wp:positionV>
                <wp:extent cx="1536700" cy="546100"/>
                <wp:effectExtent l="0" t="0" r="0" b="6350"/>
                <wp:wrapNone/>
                <wp:docPr id="499295221" name="Zone de texte 62"/>
                <wp:cNvGraphicFramePr/>
                <a:graphic xmlns:a="http://schemas.openxmlformats.org/drawingml/2006/main">
                  <a:graphicData uri="http://schemas.microsoft.com/office/word/2010/wordprocessingShape">
                    <wps:wsp>
                      <wps:cNvSpPr txBox="1"/>
                      <wps:spPr>
                        <a:xfrm>
                          <a:off x="0" y="0"/>
                          <a:ext cx="1536700" cy="546100"/>
                        </a:xfrm>
                        <a:prstGeom prst="rect">
                          <a:avLst/>
                        </a:prstGeom>
                        <a:noFill/>
                        <a:ln w="6350">
                          <a:noFill/>
                        </a:ln>
                      </wps:spPr>
                      <wps:txbx>
                        <w:txbxContent>
                          <w:p w14:paraId="13182460">
                            <w:pPr>
                              <w:spacing w:after="0"/>
                              <w:rPr>
                                <w:rFonts w:ascii="Arial Narrow" w:hAnsi="Arial Narrow"/>
                                <w:sz w:val="28"/>
                                <w:szCs w:val="28"/>
                              </w:rPr>
                            </w:pPr>
                            <w:r>
                              <w:rPr>
                                <w:rFonts w:ascii="Arial Narrow" w:hAnsi="Arial Narrow"/>
                                <w:sz w:val="28"/>
                                <w:szCs w:val="28"/>
                              </w:rPr>
                              <w:t>Quantité de CO</w:t>
                            </w:r>
                            <w:r>
                              <w:rPr>
                                <w:rFonts w:ascii="Arial Narrow" w:hAnsi="Arial Narrow"/>
                                <w:sz w:val="28"/>
                                <w:szCs w:val="28"/>
                                <w:vertAlign w:val="subscript"/>
                              </w:rPr>
                              <w:t xml:space="preserve">2 </w:t>
                            </w:r>
                            <w:r>
                              <w:rPr>
                                <w:rFonts w:ascii="Arial Narrow" w:hAnsi="Arial Narrow"/>
                                <w:sz w:val="28"/>
                                <w:szCs w:val="28"/>
                              </w:rPr>
                              <w:t xml:space="preserve">évitée : </w:t>
                            </w:r>
                            <w:r>
                              <w:rPr>
                                <w:rFonts w:ascii="Arial Narrow" w:hAnsi="Arial Narrow"/>
                                <w:b/>
                                <w:bCs/>
                                <w:color w:val="FF0000"/>
                                <w:sz w:val="28"/>
                                <w:szCs w:val="28"/>
                              </w:rPr>
                              <w:t>396 T / an</w:t>
                            </w:r>
                          </w:p>
                          <w:p w14:paraId="203840D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2" o:spid="_x0000_s1026" o:spt="202" type="#_x0000_t202" style="position:absolute;left:0pt;margin-left:55.65pt;margin-top:99.65pt;height:43pt;width:121pt;z-index:251665408;mso-width-relative:page;mso-height-relative:page;" filled="f" stroked="f" coordsize="21600,21600" o:gfxdata="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qSnGQ2gAAAAsBAAAPAAAAAAAAAAEAIAAAACIAAABkcnMvZG93&#10;bnJldi54bWxQSwECFAAUAAAACACHTuJAKmCuSDcCAABzBAAADgAAAAAAAAABACAAAAApAQAAZHJz&#10;L2Uyb0RvYy54bWxQSwUGAAAAAAYABgBZAQAA0gUAAAAA&#10;">
                <v:fill on="f" focussize="0,0"/>
                <v:stroke on="f" weight="0.5pt"/>
                <v:imagedata o:title=""/>
                <o:lock v:ext="edit" aspectratio="f"/>
                <v:textbox>
                  <w:txbxContent>
                    <w:p w14:paraId="13182460">
                      <w:pPr>
                        <w:spacing w:after="0"/>
                        <w:rPr>
                          <w:rFonts w:ascii="Arial Narrow" w:hAnsi="Arial Narrow"/>
                          <w:sz w:val="28"/>
                          <w:szCs w:val="28"/>
                        </w:rPr>
                      </w:pPr>
                      <w:r>
                        <w:rPr>
                          <w:rFonts w:ascii="Arial Narrow" w:hAnsi="Arial Narrow"/>
                          <w:sz w:val="28"/>
                          <w:szCs w:val="28"/>
                        </w:rPr>
                        <w:t>Quantité de CO</w:t>
                      </w:r>
                      <w:r>
                        <w:rPr>
                          <w:rFonts w:ascii="Arial Narrow" w:hAnsi="Arial Narrow"/>
                          <w:sz w:val="28"/>
                          <w:szCs w:val="28"/>
                          <w:vertAlign w:val="subscript"/>
                        </w:rPr>
                        <w:t xml:space="preserve">2 </w:t>
                      </w:r>
                      <w:r>
                        <w:rPr>
                          <w:rFonts w:ascii="Arial Narrow" w:hAnsi="Arial Narrow"/>
                          <w:sz w:val="28"/>
                          <w:szCs w:val="28"/>
                        </w:rPr>
                        <w:t xml:space="preserve">évitée : </w:t>
                      </w:r>
                      <w:r>
                        <w:rPr>
                          <w:rFonts w:ascii="Arial Narrow" w:hAnsi="Arial Narrow"/>
                          <w:b/>
                          <w:bCs/>
                          <w:color w:val="FF0000"/>
                          <w:sz w:val="28"/>
                          <w:szCs w:val="28"/>
                        </w:rPr>
                        <w:t>396 T / an</w:t>
                      </w:r>
                    </w:p>
                    <w:p w14:paraId="203840D5"/>
                  </w:txbxContent>
                </v:textbox>
              </v:shape>
            </w:pict>
          </mc:Fallback>
        </mc:AlternateContent>
      </w:r>
      <w:r>
        <w:rPr>
          <w:rFonts w:ascii="Times New Roman" w:hAnsi="Times New Roman" w:cs="Times New Roman"/>
        </w:rPr>
        <w:drawing>
          <wp:anchor distT="0" distB="0" distL="114300" distR="114300" simplePos="0" relativeHeight="251666432" behindDoc="1" locked="0" layoutInCell="1" allowOverlap="1">
            <wp:simplePos x="0" y="0"/>
            <wp:positionH relativeFrom="column">
              <wp:posOffset>-144145</wp:posOffset>
            </wp:positionH>
            <wp:positionV relativeFrom="paragraph">
              <wp:posOffset>1202055</wp:posOffset>
            </wp:positionV>
            <wp:extent cx="609600" cy="609600"/>
            <wp:effectExtent l="0" t="0" r="0" b="0"/>
            <wp:wrapNone/>
            <wp:docPr id="143984838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8388" name="Imag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09600" cy="609600"/>
                    </a:xfrm>
                    <a:prstGeom prst="rect">
                      <a:avLst/>
                    </a:prstGeom>
                    <a:noFill/>
                    <a:ln>
                      <a:noFill/>
                    </a:ln>
                  </pic:spPr>
                </pic:pic>
              </a:graphicData>
            </a:graphic>
          </wp:anchor>
        </w:drawing>
      </w: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725805</wp:posOffset>
                </wp:positionH>
                <wp:positionV relativeFrom="paragraph">
                  <wp:posOffset>141605</wp:posOffset>
                </wp:positionV>
                <wp:extent cx="1536700" cy="546100"/>
                <wp:effectExtent l="0" t="0" r="0" b="6350"/>
                <wp:wrapNone/>
                <wp:docPr id="2139618852" name="Zone de texte 62"/>
                <wp:cNvGraphicFramePr/>
                <a:graphic xmlns:a="http://schemas.openxmlformats.org/drawingml/2006/main">
                  <a:graphicData uri="http://schemas.microsoft.com/office/word/2010/wordprocessingShape">
                    <wps:wsp>
                      <wps:cNvSpPr txBox="1"/>
                      <wps:spPr>
                        <a:xfrm>
                          <a:off x="0" y="0"/>
                          <a:ext cx="1536700" cy="546100"/>
                        </a:xfrm>
                        <a:prstGeom prst="rect">
                          <a:avLst/>
                        </a:prstGeom>
                        <a:noFill/>
                        <a:ln w="6350">
                          <a:noFill/>
                        </a:ln>
                      </wps:spPr>
                      <wps:txbx>
                        <w:txbxContent>
                          <w:p w14:paraId="2EDC56BD">
                            <w:pPr>
                              <w:spacing w:after="0" w:line="240" w:lineRule="auto"/>
                              <w:rPr>
                                <w:rFonts w:ascii="Arial Narrow" w:hAnsi="Arial Narrow"/>
                                <w:sz w:val="28"/>
                                <w:szCs w:val="28"/>
                              </w:rPr>
                            </w:pPr>
                            <w:r>
                              <w:rPr>
                                <w:rFonts w:ascii="Arial Narrow" w:hAnsi="Arial Narrow"/>
                                <w:sz w:val="28"/>
                                <w:szCs w:val="28"/>
                              </w:rPr>
                              <w:t xml:space="preserve">Puissance cumulée installée : </w:t>
                            </w:r>
                            <w:r>
                              <w:rPr>
                                <w:rFonts w:ascii="Arial Narrow" w:hAnsi="Arial Narrow"/>
                                <w:b/>
                                <w:bCs/>
                                <w:color w:val="FF0000"/>
                                <w:sz w:val="28"/>
                                <w:szCs w:val="28"/>
                              </w:rPr>
                              <w:t>5 MWc</w:t>
                            </w:r>
                          </w:p>
                          <w:p w14:paraId="55F85C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2" o:spid="_x0000_s1026" o:spt="202" type="#_x0000_t202" style="position:absolute;left:0pt;margin-left:57.15pt;margin-top:11.15pt;height:43pt;width:121pt;z-index:251664384;mso-width-relative:page;mso-height-relative:page;" filled="f" stroked="f" coordsize="21600,21600" o:gfxdata="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7Eiu/aAAAACgEAAA8AAAAAAAAAAQAgAAAAIgAAAGRycy9k&#10;b3ducmV2LnhtbFBLAQIUABQAAAAIAIdO4kA//T16OQIAAHQEAAAOAAAAAAAAAAEAIAAAACkBAABk&#10;cnMvZTJvRG9jLnhtbFBLBQYAAAAABgAGAFkBAADUBQAAAAA=&#10;">
                <v:fill on="f" focussize="0,0"/>
                <v:stroke on="f" weight="0.5pt"/>
                <v:imagedata o:title=""/>
                <o:lock v:ext="edit" aspectratio="f"/>
                <v:textbox>
                  <w:txbxContent>
                    <w:p w14:paraId="2EDC56BD">
                      <w:pPr>
                        <w:spacing w:after="0" w:line="240" w:lineRule="auto"/>
                        <w:rPr>
                          <w:rFonts w:ascii="Arial Narrow" w:hAnsi="Arial Narrow"/>
                          <w:sz w:val="28"/>
                          <w:szCs w:val="28"/>
                        </w:rPr>
                      </w:pPr>
                      <w:r>
                        <w:rPr>
                          <w:rFonts w:ascii="Arial Narrow" w:hAnsi="Arial Narrow"/>
                          <w:sz w:val="28"/>
                          <w:szCs w:val="28"/>
                        </w:rPr>
                        <w:t xml:space="preserve">Puissance cumulée installée : </w:t>
                      </w:r>
                      <w:r>
                        <w:rPr>
                          <w:rFonts w:ascii="Arial Narrow" w:hAnsi="Arial Narrow"/>
                          <w:b/>
                          <w:bCs/>
                          <w:color w:val="FF0000"/>
                          <w:sz w:val="28"/>
                          <w:szCs w:val="28"/>
                        </w:rPr>
                        <w:t>5 MWc</w:t>
                      </w:r>
                    </w:p>
                    <w:p w14:paraId="55F85C30"/>
                  </w:txbxContent>
                </v:textbox>
              </v:shape>
            </w:pict>
          </mc:Fallback>
        </mc:AlternateContent>
      </w:r>
      <w:r>
        <w:rPr>
          <w:rFonts w:ascii="Times New Roman" w:hAnsi="Times New Roman" w:cs="Times New Roman"/>
        </w:rPr>
        <w:drawing>
          <wp:anchor distT="0" distB="0" distL="114300" distR="114300" simplePos="0" relativeHeight="251659264" behindDoc="1" locked="0" layoutInCell="1" allowOverlap="1">
            <wp:simplePos x="0" y="0"/>
            <wp:positionH relativeFrom="margin">
              <wp:posOffset>-131445</wp:posOffset>
            </wp:positionH>
            <wp:positionV relativeFrom="paragraph">
              <wp:posOffset>90805</wp:posOffset>
            </wp:positionV>
            <wp:extent cx="641350" cy="641350"/>
            <wp:effectExtent l="0" t="0" r="6350" b="0"/>
            <wp:wrapNone/>
            <wp:docPr id="167628632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86324" name="Imag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flipH="1">
                      <a:off x="0" y="0"/>
                      <a:ext cx="641350" cy="641350"/>
                    </a:xfrm>
                    <a:prstGeom prst="rect">
                      <a:avLst/>
                    </a:prstGeom>
                    <a:noFill/>
                    <a:ln>
                      <a:noFill/>
                    </a:ln>
                  </pic:spPr>
                </pic:pic>
              </a:graphicData>
            </a:graphic>
          </wp:anchor>
        </w:drawing>
      </w:r>
      <w:r>
        <w:rPr>
          <w:rFonts w:ascii="Times New Roman" w:hAnsi="Times New Roman" w:cs="Times New Roman"/>
        </w:rPr>
        <mc:AlternateContent>
          <mc:Choice Requires="wps">
            <w:drawing>
              <wp:anchor distT="0" distB="0" distL="114300" distR="114300" simplePos="0" relativeHeight="251670528" behindDoc="0" locked="0" layoutInCell="1" allowOverlap="1">
                <wp:simplePos x="0" y="0"/>
                <wp:positionH relativeFrom="column">
                  <wp:posOffset>4472305</wp:posOffset>
                </wp:positionH>
                <wp:positionV relativeFrom="paragraph">
                  <wp:posOffset>2402205</wp:posOffset>
                </wp:positionV>
                <wp:extent cx="1739900" cy="546100"/>
                <wp:effectExtent l="0" t="0" r="0" b="6350"/>
                <wp:wrapNone/>
                <wp:docPr id="1817654897" name="Zone de texte 62"/>
                <wp:cNvGraphicFramePr/>
                <a:graphic xmlns:a="http://schemas.openxmlformats.org/drawingml/2006/main">
                  <a:graphicData uri="http://schemas.microsoft.com/office/word/2010/wordprocessingShape">
                    <wps:wsp>
                      <wps:cNvSpPr txBox="1"/>
                      <wps:spPr>
                        <a:xfrm>
                          <a:off x="0" y="0"/>
                          <a:ext cx="1739900" cy="546100"/>
                        </a:xfrm>
                        <a:prstGeom prst="rect">
                          <a:avLst/>
                        </a:prstGeom>
                        <a:noFill/>
                        <a:ln w="6350">
                          <a:noFill/>
                        </a:ln>
                      </wps:spPr>
                      <wps:txbx>
                        <w:txbxContent>
                          <w:p w14:paraId="6B77AA41">
                            <w:pPr>
                              <w:spacing w:after="0"/>
                              <w:rPr>
                                <w:rFonts w:ascii="Arial Narrow" w:hAnsi="Arial Narrow"/>
                                <w:sz w:val="28"/>
                                <w:szCs w:val="28"/>
                              </w:rPr>
                            </w:pPr>
                            <w:r>
                              <w:rPr>
                                <w:rFonts w:ascii="Arial Narrow" w:hAnsi="Arial Narrow"/>
                                <w:sz w:val="28"/>
                                <w:szCs w:val="28"/>
                              </w:rPr>
                              <w:t xml:space="preserve">Nombre de personnes formées : </w:t>
                            </w:r>
                            <w:r>
                              <w:rPr>
                                <w:rFonts w:ascii="Arial Narrow" w:hAnsi="Arial Narrow"/>
                                <w:b/>
                                <w:bCs/>
                                <w:color w:val="FF0000"/>
                                <w:sz w:val="28"/>
                                <w:szCs w:val="28"/>
                              </w:rPr>
                              <w:t>3239</w:t>
                            </w:r>
                          </w:p>
                          <w:p w14:paraId="68CB795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62" o:spid="_x0000_s1026" o:spt="202" type="#_x0000_t202" style="position:absolute;left:0pt;margin-left:352.15pt;margin-top:189.15pt;height:43pt;width:137pt;z-index:251670528;mso-width-relative:page;mso-height-relative:page;" filled="f" stroked="f" coordsize="21600,21600" o:gfxdata="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1NTp/bAAAACwEAAA8AAAAAAAAAAQAgAAAAIgAAAGRycy9k&#10;b3ducmV2LnhtbFBLAQIUABQAAAAIAIdO4kAfwVzmOAIAAHQEAAAOAAAAAAAAAAEAIAAAACoBAABk&#10;cnMvZTJvRG9jLnhtbFBLBQYAAAAABgAGAFkBAADUBQAAAAA=&#10;">
                <v:fill on="f" focussize="0,0"/>
                <v:stroke on="f" weight="0.5pt"/>
                <v:imagedata o:title=""/>
                <o:lock v:ext="edit" aspectratio="f"/>
                <v:textbox>
                  <w:txbxContent>
                    <w:p w14:paraId="6B77AA41">
                      <w:pPr>
                        <w:spacing w:after="0"/>
                        <w:rPr>
                          <w:rFonts w:ascii="Arial Narrow" w:hAnsi="Arial Narrow"/>
                          <w:sz w:val="28"/>
                          <w:szCs w:val="28"/>
                        </w:rPr>
                      </w:pPr>
                      <w:r>
                        <w:rPr>
                          <w:rFonts w:ascii="Arial Narrow" w:hAnsi="Arial Narrow"/>
                          <w:sz w:val="28"/>
                          <w:szCs w:val="28"/>
                        </w:rPr>
                        <w:t xml:space="preserve">Nombre de personnes formées : </w:t>
                      </w:r>
                      <w:r>
                        <w:rPr>
                          <w:rFonts w:ascii="Arial Narrow" w:hAnsi="Arial Narrow"/>
                          <w:b/>
                          <w:bCs/>
                          <w:color w:val="FF0000"/>
                          <w:sz w:val="28"/>
                          <w:szCs w:val="28"/>
                        </w:rPr>
                        <w:t>3239</w:t>
                      </w:r>
                    </w:p>
                    <w:p w14:paraId="68CB795F"/>
                  </w:txbxContent>
                </v:textbox>
              </v:shape>
            </w:pict>
          </mc:Fallback>
        </mc:AlternateContent>
      </w:r>
      <w:r>
        <w:rPr>
          <w:rFonts w:ascii="Times New Roman" w:hAnsi="Times New Roman" w:cs="Times New Roman"/>
        </w:rPr>
        <w:drawing>
          <wp:anchor distT="0" distB="0" distL="114300" distR="114300" simplePos="0" relativeHeight="251662336" behindDoc="1" locked="0" layoutInCell="1" allowOverlap="1">
            <wp:simplePos x="0" y="0"/>
            <wp:positionH relativeFrom="column">
              <wp:posOffset>3748405</wp:posOffset>
            </wp:positionH>
            <wp:positionV relativeFrom="paragraph">
              <wp:posOffset>2440305</wp:posOffset>
            </wp:positionV>
            <wp:extent cx="524510" cy="524510"/>
            <wp:effectExtent l="0" t="0" r="8890" b="8890"/>
            <wp:wrapNone/>
            <wp:docPr id="10360241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418" name="Imag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4510" cy="524510"/>
                    </a:xfrm>
                    <a:prstGeom prst="rect">
                      <a:avLst/>
                    </a:prstGeom>
                    <a:noFill/>
                    <a:ln>
                      <a:noFill/>
                    </a:ln>
                  </pic:spPr>
                </pic:pic>
              </a:graphicData>
            </a:graphic>
          </wp:anchor>
        </w:drawing>
      </w:r>
      <w:r>
        <w:rPr>
          <w:rFonts w:ascii="Times New Roman" w:hAnsi="Times New Roman" w:cs="Times New Roman"/>
          <w:sz w:val="24"/>
          <w:szCs w:val="24"/>
        </w:rPr>
        <w:br w:type="page"/>
      </w:r>
    </w:p>
    <w:p w14:paraId="77DEB543">
      <w:pPr>
        <w:pStyle w:val="36"/>
        <w:numPr>
          <w:ilvl w:val="0"/>
          <w:numId w:val="27"/>
        </w:numPr>
        <w:spacing w:before="100" w:beforeAutospacing="1" w:after="100" w:afterAutospacing="1" w:line="240" w:lineRule="auto"/>
        <w:jc w:val="both"/>
        <w:outlineLvl w:val="1"/>
        <w:rPr>
          <w:rFonts w:ascii="Times New Roman" w:hAnsi="Times New Roman" w:eastAsia="Times New Roman" w:cs="Times New Roman"/>
          <w:b/>
          <w:bCs/>
          <w:color w:val="009999"/>
          <w:sz w:val="36"/>
          <w:szCs w:val="36"/>
          <w:lang w:eastAsia="fr-FR"/>
        </w:rPr>
      </w:pPr>
      <w:r>
        <w:rPr>
          <w:rFonts w:ascii="Times New Roman" w:hAnsi="Times New Roman" w:eastAsia="Times New Roman" w:cs="Times New Roman"/>
          <w:b/>
          <w:bCs/>
          <w:color w:val="009999"/>
          <w:sz w:val="36"/>
          <w:szCs w:val="36"/>
          <w:lang w:eastAsia="fr-FR"/>
        </w:rPr>
        <w:t xml:space="preserve">Notre certification </w:t>
      </w:r>
    </w:p>
    <w:p w14:paraId="35DCB657">
      <w:pPr>
        <w:pStyle w:val="36"/>
        <w:spacing w:after="0" w:line="240" w:lineRule="auto"/>
        <w:ind w:left="820"/>
        <w:rPr>
          <w:rFonts w:ascii="Times New Roman" w:hAnsi="Times New Roman" w:eastAsia="Times New Roman" w:cs="Times New Roman"/>
          <w:b/>
          <w:bCs/>
          <w:color w:val="FF8900"/>
          <w:sz w:val="36"/>
          <w:szCs w:val="36"/>
          <w:lang w:eastAsia="fr-FR"/>
        </w:rPr>
      </w:pPr>
    </w:p>
    <w:p w14:paraId="6F4BE9C4">
      <w:pPr>
        <w:rPr>
          <w:rFonts w:ascii="Times New Roman" w:hAnsi="Times New Roman" w:cs="Times New Roman"/>
          <w:sz w:val="24"/>
          <w:szCs w:val="24"/>
        </w:rPr>
      </w:pPr>
      <w:r>
        <w:rPr>
          <w:rFonts w:ascii="Times New Roman" w:hAnsi="Times New Roman" w:cs="Times New Roman"/>
          <w:b/>
          <w:bCs/>
          <w:sz w:val="28"/>
          <w:szCs w:val="28"/>
        </w:rPr>
        <w:drawing>
          <wp:anchor distT="0" distB="0" distL="114300" distR="114300" simplePos="0" relativeHeight="251677696" behindDoc="0" locked="0" layoutInCell="1" allowOverlap="1">
            <wp:simplePos x="0" y="0"/>
            <wp:positionH relativeFrom="margin">
              <wp:posOffset>191770</wp:posOffset>
            </wp:positionH>
            <wp:positionV relativeFrom="paragraph">
              <wp:posOffset>588645</wp:posOffset>
            </wp:positionV>
            <wp:extent cx="5524500" cy="7828915"/>
            <wp:effectExtent l="0" t="0" r="0" b="0"/>
            <wp:wrapNone/>
            <wp:docPr id="135421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1646" name="Imag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524500" cy="7828915"/>
                    </a:xfrm>
                    <a:prstGeom prst="rect">
                      <a:avLst/>
                    </a:prstGeom>
                  </pic:spPr>
                </pic:pic>
              </a:graphicData>
            </a:graphic>
          </wp:anchor>
        </w:drawing>
      </w:r>
      <w:r>
        <w:rPr>
          <w:rFonts w:ascii="Times New Roman" w:hAnsi="Times New Roman" w:eastAsia="Times New Roman" w:cs="Times New Roman"/>
          <w:sz w:val="24"/>
          <w:szCs w:val="24"/>
          <w:lang w:eastAsia="fr-FR"/>
        </w:rPr>
        <w:t xml:space="preserve">KYA-Energy Group est la </w:t>
      </w:r>
      <w:r>
        <w:rPr>
          <w:rFonts w:ascii="Times New Roman" w:hAnsi="Times New Roman" w:eastAsia="Times New Roman" w:cs="Times New Roman"/>
          <w:b/>
          <w:bCs/>
          <w:sz w:val="24"/>
          <w:szCs w:val="24"/>
          <w:lang w:eastAsia="fr-FR"/>
        </w:rPr>
        <w:t>première et unique entreprise togolaise certifiée ISO 9001 : 2015</w:t>
      </w:r>
      <w:r>
        <w:rPr>
          <w:rFonts w:ascii="Times New Roman" w:hAnsi="Times New Roman" w:eastAsia="Times New Roman" w:cs="Times New Roman"/>
          <w:sz w:val="24"/>
          <w:szCs w:val="24"/>
          <w:lang w:eastAsia="fr-FR"/>
        </w:rPr>
        <w:t xml:space="preserve"> pour la conception, l’assemblage et la commercialisation de systèmes énergétiques à base des énergies renouvelables.</w:t>
      </w:r>
    </w:p>
    <w:p w14:paraId="4E53ECF4">
      <w:pPr>
        <w:rPr>
          <w:rFonts w:ascii="Times New Roman" w:hAnsi="Times New Roman" w:cs="Times New Roman"/>
          <w:sz w:val="24"/>
          <w:szCs w:val="24"/>
        </w:rPr>
      </w:pPr>
    </w:p>
    <w:p w14:paraId="04B62416">
      <w:pPr>
        <w:rPr>
          <w:rFonts w:ascii="Times New Roman" w:hAnsi="Times New Roman" w:cs="Times New Roman"/>
          <w:b/>
          <w:bCs/>
          <w:sz w:val="28"/>
          <w:szCs w:val="28"/>
        </w:rPr>
      </w:pPr>
    </w:p>
    <w:p w14:paraId="5A93127E">
      <w:pPr>
        <w:rPr>
          <w:rFonts w:ascii="Times New Roman" w:hAnsi="Times New Roman" w:cs="Times New Roman"/>
          <w:b/>
          <w:bCs/>
          <w:sz w:val="28"/>
          <w:szCs w:val="28"/>
        </w:rPr>
      </w:pPr>
    </w:p>
    <w:p w14:paraId="573955F2">
      <w:pPr>
        <w:rPr>
          <w:rFonts w:ascii="Times New Roman" w:hAnsi="Times New Roman" w:cs="Times New Roman"/>
          <w:b/>
          <w:bCs/>
          <w:sz w:val="28"/>
          <w:szCs w:val="28"/>
        </w:rPr>
      </w:pPr>
    </w:p>
    <w:p w14:paraId="4DA30D83">
      <w:pPr>
        <w:rPr>
          <w:rFonts w:ascii="Times New Roman" w:hAnsi="Times New Roman" w:cs="Times New Roman"/>
          <w:b/>
          <w:bCs/>
          <w:sz w:val="28"/>
          <w:szCs w:val="28"/>
        </w:rPr>
      </w:pPr>
    </w:p>
    <w:p w14:paraId="034A4A50">
      <w:pPr>
        <w:rPr>
          <w:rFonts w:ascii="Times New Roman" w:hAnsi="Times New Roman" w:cs="Times New Roman"/>
          <w:b/>
          <w:bCs/>
          <w:sz w:val="28"/>
          <w:szCs w:val="28"/>
        </w:rPr>
      </w:pPr>
    </w:p>
    <w:p w14:paraId="54118BDE">
      <w:pPr>
        <w:rPr>
          <w:rFonts w:ascii="Times New Roman" w:hAnsi="Times New Roman" w:cs="Times New Roman"/>
          <w:b/>
          <w:bCs/>
          <w:sz w:val="28"/>
          <w:szCs w:val="28"/>
        </w:rPr>
      </w:pPr>
    </w:p>
    <w:p w14:paraId="402FB551">
      <w:pPr>
        <w:rPr>
          <w:rFonts w:ascii="Times New Roman" w:hAnsi="Times New Roman" w:cs="Times New Roman"/>
          <w:b/>
          <w:bCs/>
          <w:sz w:val="28"/>
          <w:szCs w:val="28"/>
        </w:rPr>
      </w:pPr>
    </w:p>
    <w:p w14:paraId="014BC3F7">
      <w:pPr>
        <w:rPr>
          <w:rFonts w:ascii="Times New Roman" w:hAnsi="Times New Roman" w:cs="Times New Roman"/>
          <w:b/>
          <w:bCs/>
          <w:sz w:val="28"/>
          <w:szCs w:val="28"/>
        </w:rPr>
      </w:pPr>
    </w:p>
    <w:p w14:paraId="52A97E8C">
      <w:pPr>
        <w:rPr>
          <w:rFonts w:ascii="Times New Roman" w:hAnsi="Times New Roman" w:cs="Times New Roman"/>
          <w:b/>
          <w:bCs/>
          <w:sz w:val="28"/>
          <w:szCs w:val="28"/>
        </w:rPr>
      </w:pPr>
    </w:p>
    <w:p w14:paraId="4B6893F5">
      <w:pPr>
        <w:rPr>
          <w:rFonts w:ascii="Times New Roman" w:hAnsi="Times New Roman" w:cs="Times New Roman"/>
          <w:b/>
          <w:bCs/>
          <w:sz w:val="28"/>
          <w:szCs w:val="28"/>
        </w:rPr>
      </w:pPr>
    </w:p>
    <w:p w14:paraId="0600EDCE">
      <w:pPr>
        <w:rPr>
          <w:rFonts w:ascii="Times New Roman" w:hAnsi="Times New Roman" w:cs="Times New Roman"/>
          <w:b/>
          <w:bCs/>
          <w:sz w:val="28"/>
          <w:szCs w:val="28"/>
        </w:rPr>
      </w:pPr>
    </w:p>
    <w:p w14:paraId="6CAFBC78">
      <w:pPr>
        <w:rPr>
          <w:rFonts w:ascii="Times New Roman" w:hAnsi="Times New Roman" w:cs="Times New Roman"/>
          <w:b/>
          <w:bCs/>
          <w:sz w:val="28"/>
          <w:szCs w:val="28"/>
        </w:rPr>
      </w:pPr>
    </w:p>
    <w:p w14:paraId="2CDE301F">
      <w:pPr>
        <w:rPr>
          <w:rFonts w:ascii="Times New Roman" w:hAnsi="Times New Roman" w:cs="Times New Roman"/>
          <w:b/>
          <w:bCs/>
          <w:sz w:val="28"/>
          <w:szCs w:val="28"/>
        </w:rPr>
      </w:pPr>
    </w:p>
    <w:p w14:paraId="62E8D7B9">
      <w:pPr>
        <w:rPr>
          <w:rFonts w:ascii="Times New Roman" w:hAnsi="Times New Roman" w:cs="Times New Roman"/>
          <w:b/>
          <w:bCs/>
          <w:sz w:val="28"/>
          <w:szCs w:val="28"/>
        </w:rPr>
      </w:pPr>
    </w:p>
    <w:p w14:paraId="19A8B278">
      <w:pPr>
        <w:tabs>
          <w:tab w:val="center" w:pos="4536"/>
          <w:tab w:val="left" w:pos="794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page">
                  <wp:align>center</wp:align>
                </wp:positionH>
                <wp:positionV relativeFrom="paragraph">
                  <wp:posOffset>176530</wp:posOffset>
                </wp:positionV>
                <wp:extent cx="3589020" cy="426720"/>
                <wp:effectExtent l="0" t="0" r="11430" b="11430"/>
                <wp:wrapTopAndBottom/>
                <wp:docPr id="655718694" name="Rectangle 1"/>
                <wp:cNvGraphicFramePr/>
                <a:graphic xmlns:a="http://schemas.openxmlformats.org/drawingml/2006/main">
                  <a:graphicData uri="http://schemas.microsoft.com/office/word/2010/wordprocessingShape">
                    <wps:wsp>
                      <wps:cNvSpPr/>
                      <wps:spPr>
                        <a:xfrm>
                          <a:off x="0" y="0"/>
                          <a:ext cx="3589020" cy="4267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143823F">
                            <w:pPr>
                              <w:jc w:val="center"/>
                              <w:rPr>
                                <w:rFonts w:ascii="Arial Narrow" w:hAnsi="Arial Narrow"/>
                                <w:b/>
                                <w:bCs/>
                                <w:color w:val="000000" w:themeColor="text1"/>
                                <w:kern w:val="24"/>
                                <w:sz w:val="40"/>
                                <w:szCs w:val="40"/>
                                <w14:textFill>
                                  <w14:solidFill>
                                    <w14:schemeClr w14:val="tx1"/>
                                  </w14:solidFill>
                                </w14:textFill>
                              </w:rPr>
                            </w:pPr>
                            <w:r>
                              <w:rPr>
                                <w:rFonts w:ascii="Arial Narrow" w:hAnsi="Arial Narrow"/>
                                <w:b/>
                                <w:bCs/>
                                <w:color w:val="000000" w:themeColor="text1"/>
                                <w:kern w:val="24"/>
                                <w:sz w:val="40"/>
                                <w:szCs w:val="40"/>
                                <w14:textFill>
                                  <w14:solidFill>
                                    <w14:schemeClr w14:val="tx1"/>
                                  </w14:solidFill>
                                </w14:textFill>
                              </w:rPr>
                              <w:t xml:space="preserve">Quelques distinctions et prix </w:t>
                            </w:r>
                          </w:p>
                        </w:txbxContent>
                      </wps:txbx>
                      <wps:bodyPr wrap="square" rtlCol="0" anchor="ctr">
                        <a:noAutofit/>
                      </wps:bodyPr>
                    </wps:wsp>
                  </a:graphicData>
                </a:graphic>
              </wp:anchor>
            </w:drawing>
          </mc:Choice>
          <mc:Fallback>
            <w:pict>
              <v:rect id="Rectangle 1" o:spid="_x0000_s1026" o:spt="1" style="position:absolute;left:0pt;margin-top:13.9pt;height:33.6pt;width:282.6pt;mso-position-horizontal:center;mso-position-horizontal-relative:page;mso-wrap-distance-bottom:0pt;mso-wrap-distance-top:0pt;z-index:251671552;v-text-anchor:middle;mso-width-relative:page;mso-height-relative:page;" fillcolor="#FFFFFF" filled="t" stroked="t" coordsize="21600,21600" o:gfxdata="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yRh+7UAAAABgEAAA8A&#10;AAAAAAAAAQAgAAAAIgAAAGRycy9kb3ducmV2LnhtbFBLAQIUABQAAAAIAIdO4kD4mQgZGwIAAF8E&#10;AAAOAAAAAAAAAAEAIAAAACMBAABkcnMvZTJvRG9jLnhtbFBLBQYAAAAABgAGAFkBAACwBQAAAAA=&#10;">
                <v:fill on="t" focussize="0,0"/>
                <v:stroke weight="1pt" color="#000000" miterlimit="8" joinstyle="miter"/>
                <v:imagedata o:title=""/>
                <o:lock v:ext="edit" aspectratio="f"/>
                <v:textbox>
                  <w:txbxContent>
                    <w:p w14:paraId="4143823F">
                      <w:pPr>
                        <w:jc w:val="center"/>
                        <w:rPr>
                          <w:rFonts w:ascii="Arial Narrow" w:hAnsi="Arial Narrow"/>
                          <w:b/>
                          <w:bCs/>
                          <w:color w:val="000000" w:themeColor="text1"/>
                          <w:kern w:val="24"/>
                          <w:sz w:val="40"/>
                          <w:szCs w:val="40"/>
                          <w14:textFill>
                            <w14:solidFill>
                              <w14:schemeClr w14:val="tx1"/>
                            </w14:solidFill>
                          </w14:textFill>
                        </w:rPr>
                      </w:pPr>
                      <w:r>
                        <w:rPr>
                          <w:rFonts w:ascii="Arial Narrow" w:hAnsi="Arial Narrow"/>
                          <w:b/>
                          <w:bCs/>
                          <w:color w:val="000000" w:themeColor="text1"/>
                          <w:kern w:val="24"/>
                          <w:sz w:val="40"/>
                          <w:szCs w:val="40"/>
                          <w14:textFill>
                            <w14:solidFill>
                              <w14:schemeClr w14:val="tx1"/>
                            </w14:solidFill>
                          </w14:textFill>
                        </w:rPr>
                        <w:t xml:space="preserve">Quelques distinctions et prix </w:t>
                      </w:r>
                    </w:p>
                  </w:txbxContent>
                </v:textbox>
                <w10:wrap type="topAndBottom"/>
              </v:rect>
            </w:pict>
          </mc:Fallback>
        </mc:AlternateContent>
      </w:r>
      <w:r>
        <w:rPr>
          <w:rFonts w:ascii="Times New Roman" w:hAnsi="Times New Roman" w:cs="Times New Roman"/>
          <w:sz w:val="24"/>
          <w:szCs w:val="24"/>
        </w:rPr>
        <w:tab/>
      </w:r>
    </w:p>
    <w:p w14:paraId="77D36C66">
      <w:pPr>
        <w:tabs>
          <w:tab w:val="center" w:pos="4536"/>
          <w:tab w:val="left" w:pos="7944"/>
        </w:tabs>
        <w:rPr>
          <w:rFonts w:ascii="Times New Roman" w:hAnsi="Times New Roman" w:cs="Times New Roman"/>
          <w:sz w:val="24"/>
          <w:szCs w:val="24"/>
        </w:rPr>
      </w:pPr>
      <w:r>
        <w:rPr>
          <w:rFonts w:ascii="Times New Roman" w:hAnsi="Times New Roman" w:cs="Times New Roman"/>
          <w:sz w:val="24"/>
          <w:szCs w:val="24"/>
        </w:rPr>
        <w:br w:type="page"/>
      </w:r>
    </w:p>
    <w:p w14:paraId="04F277D9">
      <w:pPr>
        <w:pStyle w:val="36"/>
        <w:numPr>
          <w:ilvl w:val="0"/>
          <w:numId w:val="27"/>
        </w:numPr>
        <w:spacing w:before="100" w:beforeAutospacing="1" w:after="100" w:afterAutospacing="1" w:line="240" w:lineRule="auto"/>
        <w:jc w:val="both"/>
        <w:outlineLvl w:val="1"/>
        <w:rPr>
          <w:rFonts w:ascii="Times New Roman" w:hAnsi="Times New Roman" w:eastAsia="Times New Roman" w:cs="Times New Roman"/>
          <w:b/>
          <w:bCs/>
          <w:color w:val="009999"/>
          <w:sz w:val="36"/>
          <w:szCs w:val="36"/>
          <w:lang w:eastAsia="fr-FR"/>
        </w:rPr>
      </w:pPr>
      <w:r>
        <w:rPr>
          <w:rFonts w:ascii="Times New Roman" w:hAnsi="Times New Roman" w:eastAsia="Times New Roman" w:cs="Times New Roman"/>
          <w:b/>
          <w:bCs/>
          <w:color w:val="009999"/>
          <w:sz w:val="36"/>
          <w:szCs w:val="36"/>
          <w:lang w:eastAsia="fr-FR"/>
        </w:rPr>
        <w:t>Nos prix et distinctions</w:t>
      </w:r>
    </w:p>
    <w:p w14:paraId="64EC7DCC">
      <w:pPr>
        <w:jc w:val="both"/>
        <w:rPr>
          <w:rFonts w:ascii="Times New Roman" w:hAnsi="Times New Roman" w:cs="Times New Roman"/>
          <w:sz w:val="24"/>
          <w:szCs w:val="24"/>
        </w:rPr>
      </w:pPr>
      <w:r>
        <w:rPr>
          <w:rFonts w:ascii="Times New Roman" w:hAnsi="Times New Roman" w:cs="Times New Roman"/>
          <w:sz w:val="24"/>
          <w:szCs w:val="24"/>
        </w:rPr>
        <w:t>Les efforts de KYA-Energy Group sont récompensés depuis 2018 par plusieurs prix et distinctions tant national qu’international.</w:t>
      </w:r>
      <w:r>
        <w:rPr>
          <w:rFonts w:ascii="Times New Roman" w:hAnsi="Times New Roman" w:cs="Times New Roman"/>
          <w:sz w:val="24"/>
          <w:szCs w:val="24"/>
        </w:rPr>
        <mc:AlternateContent>
          <mc:Choice Requires="wps">
            <w:drawing>
              <wp:anchor distT="0" distB="0" distL="114300" distR="114300" simplePos="0" relativeHeight="251685888" behindDoc="0" locked="0" layoutInCell="1" allowOverlap="1">
                <wp:simplePos x="0" y="0"/>
                <wp:positionH relativeFrom="margin">
                  <wp:posOffset>-414020</wp:posOffset>
                </wp:positionH>
                <wp:positionV relativeFrom="paragraph">
                  <wp:posOffset>657860</wp:posOffset>
                </wp:positionV>
                <wp:extent cx="1691640" cy="474345"/>
                <wp:effectExtent l="0" t="0" r="3810" b="1905"/>
                <wp:wrapThrough wrapText="bothSides">
                  <wp:wrapPolygon>
                    <wp:start x="0" y="0"/>
                    <wp:lineTo x="0" y="20819"/>
                    <wp:lineTo x="21405" y="20819"/>
                    <wp:lineTo x="21405" y="0"/>
                    <wp:lineTo x="0" y="0"/>
                  </wp:wrapPolygon>
                </wp:wrapThrough>
                <wp:docPr id="1133053355" name="ZoneTexte 19"/>
                <wp:cNvGraphicFramePr/>
                <a:graphic xmlns:a="http://schemas.openxmlformats.org/drawingml/2006/main">
                  <a:graphicData uri="http://schemas.microsoft.com/office/word/2010/wordprocessingShape">
                    <wps:wsp>
                      <wps:cNvSpPr txBox="1"/>
                      <wps:spPr bwMode="auto">
                        <a:xfrm>
                          <a:off x="0" y="0"/>
                          <a:ext cx="1691640" cy="474345"/>
                        </a:xfrm>
                        <a:prstGeom prst="rect">
                          <a:avLst/>
                        </a:prstGeom>
                        <a:solidFill>
                          <a:schemeClr val="bg1"/>
                        </a:solidFill>
                      </wps:spPr>
                      <wps:txbx>
                        <w:txbxContent>
                          <w:p w14:paraId="52C8B5CC">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BOAD du concours « Start-up »</w:t>
                            </w:r>
                          </w:p>
                        </w:txbxContent>
                      </wps:txbx>
                      <wps:bodyPr wrap="square" rtlCol="0">
                        <a:noAutofit/>
                      </wps:bodyPr>
                    </wps:wsp>
                  </a:graphicData>
                </a:graphic>
              </wp:anchor>
            </w:drawing>
          </mc:Choice>
          <mc:Fallback>
            <w:pict>
              <v:shape id="ZoneTexte 19" o:spid="_x0000_s1026" o:spt="202" type="#_x0000_t202" style="position:absolute;left:0pt;margin-left:-32.6pt;margin-top:51.8pt;height:37.35pt;width:133.2pt;mso-position-horizontal-relative:margin;mso-wrap-distance-left:9pt;mso-wrap-distance-right:9pt;z-index:251685888;mso-width-relative:page;mso-height-relative:page;" fillcolor="#FFFFFF [3212]" filled="t" stroked="f" coordsize="21600,21600" wrapcoords="0 0 0 20819 21405 20819 21405 0 0 0" o:gfxdata="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XATNvYAAAACwEAAA8AAAAAAAAAAQAgAAAA&#10;IgAAAGRycy9kb3ducmV2LnhtbFBLAQIUABQAAAAIAIdO4kB/KPmn0gEAAJ4DAAAOAAAAAAAAAAEA&#10;IAAAACcBAABkcnMvZTJvRG9jLnhtbFBLBQYAAAAABgAGAFkBAABrBQAAAAA=&#10;">
                <v:fill on="t" focussize="0,0"/>
                <v:stroke on="f"/>
                <v:imagedata o:title=""/>
                <o:lock v:ext="edit" aspectratio="f"/>
                <v:textbox>
                  <w:txbxContent>
                    <w:p w14:paraId="52C8B5CC">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BOAD du concours « Start-up »</w:t>
                      </w:r>
                    </w:p>
                  </w:txbxContent>
                </v:textbox>
                <w10:wrap type="through"/>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7936" behindDoc="0" locked="0" layoutInCell="1" allowOverlap="1">
                <wp:simplePos x="0" y="0"/>
                <wp:positionH relativeFrom="margin">
                  <wp:posOffset>4272280</wp:posOffset>
                </wp:positionH>
                <wp:positionV relativeFrom="paragraph">
                  <wp:posOffset>566420</wp:posOffset>
                </wp:positionV>
                <wp:extent cx="1874520" cy="617220"/>
                <wp:effectExtent l="0" t="0" r="0" b="0"/>
                <wp:wrapThrough wrapText="bothSides">
                  <wp:wrapPolygon>
                    <wp:start x="0" y="0"/>
                    <wp:lineTo x="0" y="20667"/>
                    <wp:lineTo x="21293" y="20667"/>
                    <wp:lineTo x="21293" y="0"/>
                    <wp:lineTo x="0" y="0"/>
                  </wp:wrapPolygon>
                </wp:wrapThrough>
                <wp:docPr id="1979949009" name="ZoneTexte 19"/>
                <wp:cNvGraphicFramePr/>
                <a:graphic xmlns:a="http://schemas.openxmlformats.org/drawingml/2006/main">
                  <a:graphicData uri="http://schemas.microsoft.com/office/word/2010/wordprocessingShape">
                    <wps:wsp>
                      <wps:cNvSpPr txBox="1"/>
                      <wps:spPr bwMode="auto">
                        <a:xfrm>
                          <a:off x="0" y="0"/>
                          <a:ext cx="1874520" cy="617220"/>
                        </a:xfrm>
                        <a:prstGeom prst="rect">
                          <a:avLst/>
                        </a:prstGeom>
                        <a:solidFill>
                          <a:schemeClr val="bg1"/>
                        </a:solidFill>
                      </wps:spPr>
                      <wps:txbx>
                        <w:txbxContent>
                          <w:p w14:paraId="228F0948">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Lauréat de l’USAID pour l’électrification solaire des centres de santé</w:t>
                            </w:r>
                          </w:p>
                        </w:txbxContent>
                      </wps:txbx>
                      <wps:bodyPr wrap="square" rtlCol="0">
                        <a:noAutofit/>
                      </wps:bodyPr>
                    </wps:wsp>
                  </a:graphicData>
                </a:graphic>
              </wp:anchor>
            </w:drawing>
          </mc:Choice>
          <mc:Fallback>
            <w:pict>
              <v:shape id="ZoneTexte 19" o:spid="_x0000_s1026" o:spt="202" type="#_x0000_t202" style="position:absolute;left:0pt;margin-left:336.4pt;margin-top:44.6pt;height:48.6pt;width:147.6pt;mso-position-horizontal-relative:margin;mso-wrap-distance-left:9pt;mso-wrap-distance-right:9pt;z-index:251687936;mso-width-relative:page;mso-height-relative:page;" fillcolor="#FFFFFF [3212]" filled="t" stroked="f" coordsize="21600,21600" wrapcoords="0 0 0 20667 21293 20667 21293 0 0 0" o:gfxdata="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8lmC1wAAAAoBAAAPAAAAAAAAAAEAIAAAACIA&#10;AABkcnMvZG93bnJldi54bWxQSwECFAAUAAAACACHTuJA3MYRJtEBAACeAwAADgAAAAAAAAABACAA&#10;AAAmAQAAZHJzL2Uyb0RvYy54bWxQSwUGAAAAAAYABgBZAQAAaQUAAAAA&#10;">
                <v:fill on="t" focussize="0,0"/>
                <v:stroke on="f"/>
                <v:imagedata o:title=""/>
                <o:lock v:ext="edit" aspectratio="f"/>
                <v:textbox>
                  <w:txbxContent>
                    <w:p w14:paraId="228F0948">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Lauréat de l’USAID pour l’électrification solaire des centres de santé</w:t>
                      </w:r>
                    </w:p>
                  </w:txbxContent>
                </v:textbox>
                <w10:wrap type="through"/>
              </v:shape>
            </w:pict>
          </mc:Fallback>
        </mc:AlternateContent>
      </w:r>
    </w:p>
    <w:p w14:paraId="5FA2DD44">
      <w:pPr>
        <w:rPr>
          <w:rFonts w:ascii="Times New Roman" w:hAnsi="Times New Roman" w:cs="Times New Roman"/>
          <w:sz w:val="24"/>
          <w:szCs w:val="24"/>
        </w:rPr>
      </w:pPr>
    </w:p>
    <w:p w14:paraId="060F5199">
      <w:pPr>
        <w:jc w:val="center"/>
        <w:rPr>
          <w:rFonts w:ascii="Times New Roman" w:hAnsi="Times New Roman" w:cs="Times New Roman"/>
          <w:sz w:val="24"/>
          <w:szCs w:val="24"/>
        </w:rPr>
      </w:pPr>
      <w:r>
        <w:rPr>
          <w:rFonts w:ascii="Times New Roman" w:hAnsi="Times New Roman" w:cs="Times New Roman"/>
        </w:rPr>
        <w:drawing>
          <wp:anchor distT="0" distB="0" distL="114300" distR="114300" simplePos="0" relativeHeight="251693056" behindDoc="1" locked="0" layoutInCell="1" allowOverlap="1">
            <wp:simplePos x="0" y="0"/>
            <wp:positionH relativeFrom="margin">
              <wp:posOffset>-694055</wp:posOffset>
            </wp:positionH>
            <wp:positionV relativeFrom="paragraph">
              <wp:posOffset>247650</wp:posOffset>
            </wp:positionV>
            <wp:extent cx="1908810" cy="2650490"/>
            <wp:effectExtent l="0" t="0" r="0" b="0"/>
            <wp:wrapNone/>
            <wp:docPr id="5836675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67582" name="Image 6"/>
                    <pic:cNvPicPr>
                      <a:picLocks noChangeAspect="1" noChangeArrowheads="1"/>
                    </pic:cNvPicPr>
                  </pic:nvPicPr>
                  <pic:blipFill>
                    <a:blip r:embed="rId19" cstate="print">
                      <a:extLst>
                        <a:ext uri="{28A0092B-C50C-407E-A947-70E740481C1C}">
                          <a14:useLocalDpi xmlns:a14="http://schemas.microsoft.com/office/drawing/2010/main" val="0"/>
                        </a:ext>
                      </a:extLst>
                    </a:blip>
                    <a:srcRect l="6444" t="-630" r="5605" b="9012"/>
                    <a:stretch>
                      <a:fillRect/>
                    </a:stretch>
                  </pic:blipFill>
                  <pic:spPr>
                    <a:xfrm>
                      <a:off x="0" y="0"/>
                      <a:ext cx="1908810" cy="2650490"/>
                    </a:xfrm>
                    <a:prstGeom prst="rect">
                      <a:avLst/>
                    </a:prstGeom>
                    <a:noFill/>
                    <a:ln>
                      <a:noFill/>
                    </a:ln>
                  </pic:spPr>
                </pic:pic>
              </a:graphicData>
            </a:graphic>
          </wp:anchor>
        </w:drawing>
      </w:r>
      <w:r>
        <w:rPr>
          <w:rFonts w:ascii="Times New Roman" w:hAnsi="Times New Roman" w:cs="Times New Roman"/>
          <w:sz w:val="24"/>
          <w:szCs w:val="24"/>
        </w:rPr>
        <mc:AlternateContent>
          <mc:Choice Requires="wps">
            <w:drawing>
              <wp:anchor distT="0" distB="0" distL="114300" distR="114300" simplePos="0" relativeHeight="251686912" behindDoc="0" locked="0" layoutInCell="1" allowOverlap="1">
                <wp:simplePos x="0" y="0"/>
                <wp:positionH relativeFrom="margin">
                  <wp:posOffset>1900555</wp:posOffset>
                </wp:positionH>
                <wp:positionV relativeFrom="paragraph">
                  <wp:posOffset>20320</wp:posOffset>
                </wp:positionV>
                <wp:extent cx="1965960" cy="485775"/>
                <wp:effectExtent l="0" t="0" r="0" b="9525"/>
                <wp:wrapThrough wrapText="bothSides">
                  <wp:wrapPolygon>
                    <wp:start x="0" y="0"/>
                    <wp:lineTo x="0" y="21176"/>
                    <wp:lineTo x="21349" y="21176"/>
                    <wp:lineTo x="21349" y="0"/>
                    <wp:lineTo x="0" y="0"/>
                  </wp:wrapPolygon>
                </wp:wrapThrough>
                <wp:docPr id="1421661362" name="ZoneTexte 19"/>
                <wp:cNvGraphicFramePr/>
                <a:graphic xmlns:a="http://schemas.openxmlformats.org/drawingml/2006/main">
                  <a:graphicData uri="http://schemas.microsoft.com/office/word/2010/wordprocessingShape">
                    <wps:wsp>
                      <wps:cNvSpPr txBox="1"/>
                      <wps:spPr bwMode="auto">
                        <a:xfrm>
                          <a:off x="0" y="0"/>
                          <a:ext cx="1965960" cy="485775"/>
                        </a:xfrm>
                        <a:prstGeom prst="rect">
                          <a:avLst/>
                        </a:prstGeom>
                        <a:solidFill>
                          <a:schemeClr val="bg1"/>
                        </a:solidFill>
                      </wps:spPr>
                      <wps:txbx>
                        <w:txbxContent>
                          <w:p w14:paraId="6461F92C">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 la transformation énergétique au Togo</w:t>
                            </w:r>
                          </w:p>
                        </w:txbxContent>
                      </wps:txbx>
                      <wps:bodyPr wrap="square" rtlCol="0">
                        <a:noAutofit/>
                      </wps:bodyPr>
                    </wps:wsp>
                  </a:graphicData>
                </a:graphic>
              </wp:anchor>
            </w:drawing>
          </mc:Choice>
          <mc:Fallback>
            <w:pict>
              <v:shape id="ZoneTexte 19" o:spid="_x0000_s1026" o:spt="202" type="#_x0000_t202" style="position:absolute;left:0pt;margin-left:149.65pt;margin-top:1.6pt;height:38.25pt;width:154.8pt;mso-position-horizontal-relative:margin;mso-wrap-distance-left:9pt;mso-wrap-distance-right:9pt;z-index:251686912;mso-width-relative:page;mso-height-relative:page;" fillcolor="#FFFFFF [3212]" filled="t" stroked="f" coordsize="21600,21600" wrapcoords="0 0 0 21176 21349 21176 21349 0 0 0" o:gfxdata="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RMl35NcAAAAIAQAADwAAAAAAAAABACAAAAAi&#10;AAAAZHJzL2Rvd25yZXYueG1sUEsBAhQAFAAAAAgAh07iQNOVpevSAQAAngMAAA4AAAAAAAAAAQAg&#10;AAAAJgEAAGRycy9lMm9Eb2MueG1sUEsFBgAAAAAGAAYAWQEAAGoFAAAAAA==&#10;">
                <v:fill on="t" focussize="0,0"/>
                <v:stroke on="f"/>
                <v:imagedata o:title=""/>
                <o:lock v:ext="edit" aspectratio="f"/>
                <v:textbox>
                  <w:txbxContent>
                    <w:p w14:paraId="6461F92C">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 la transformation énergétique au Togo</w:t>
                      </w:r>
                    </w:p>
                  </w:txbxContent>
                </v:textbox>
                <w10:wrap type="through"/>
              </v:shape>
            </w:pict>
          </mc:Fallback>
        </mc:AlternateContent>
      </w:r>
    </w:p>
    <w:p w14:paraId="14BA1089">
      <w:pPr>
        <w:jc w:val="cente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74624" behindDoc="0" locked="0" layoutInCell="1" allowOverlap="1">
            <wp:simplePos x="0" y="0"/>
            <wp:positionH relativeFrom="margin">
              <wp:posOffset>4249420</wp:posOffset>
            </wp:positionH>
            <wp:positionV relativeFrom="paragraph">
              <wp:posOffset>95885</wp:posOffset>
            </wp:positionV>
            <wp:extent cx="1931670" cy="2343150"/>
            <wp:effectExtent l="0" t="0" r="0" b="0"/>
            <wp:wrapNone/>
            <wp:docPr id="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4"/>
                    <pic:cNvPicPr>
                      <a:picLocks noChangeAspect="1"/>
                    </pic:cNvPicPr>
                  </pic:nvPicPr>
                  <pic:blipFill>
                    <a:blip r:embed="rId20">
                      <a:extLst>
                        <a:ext uri="{28A0092B-C50C-407E-A947-70E740481C1C}">
                          <a14:useLocalDpi xmlns:a14="http://schemas.microsoft.com/office/drawing/2010/main" val="0"/>
                        </a:ext>
                      </a:extLst>
                    </a:blip>
                    <a:srcRect l="68125" t="17811" r="926" b="16982"/>
                    <a:stretch>
                      <a:fillRect/>
                    </a:stretch>
                  </pic:blipFill>
                  <pic:spPr>
                    <a:xfrm>
                      <a:off x="0" y="0"/>
                      <a:ext cx="1931670" cy="2343150"/>
                    </a:xfrm>
                    <a:prstGeom prst="rect">
                      <a:avLst/>
                    </a:prstGeom>
                    <a:ln>
                      <a:noFill/>
                    </a:ln>
                  </pic:spPr>
                </pic:pic>
              </a:graphicData>
            </a:graphic>
          </wp:anchor>
        </w:drawing>
      </w:r>
      <w:r>
        <w:rPr>
          <w:rFonts w:ascii="Times New Roman" w:hAnsi="Times New Roman" w:cs="Times New Roman"/>
        </w:rPr>
        <w:drawing>
          <wp:anchor distT="0" distB="0" distL="114300" distR="114300" simplePos="0" relativeHeight="251692032" behindDoc="1" locked="0" layoutInCell="1" allowOverlap="1">
            <wp:simplePos x="0" y="0"/>
            <wp:positionH relativeFrom="column">
              <wp:posOffset>2042795</wp:posOffset>
            </wp:positionH>
            <wp:positionV relativeFrom="paragraph">
              <wp:posOffset>276860</wp:posOffset>
            </wp:positionV>
            <wp:extent cx="1777365" cy="2233295"/>
            <wp:effectExtent l="0" t="0" r="0" b="0"/>
            <wp:wrapNone/>
            <wp:docPr id="18861364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6404" name="Image 5"/>
                    <pic:cNvPicPr>
                      <a:picLocks noChangeAspect="1" noChangeArrowheads="1"/>
                    </pic:cNvPicPr>
                  </pic:nvPicPr>
                  <pic:blipFill>
                    <a:blip r:embed="rId21" cstate="print">
                      <a:extLst>
                        <a:ext uri="{28A0092B-C50C-407E-A947-70E740481C1C}">
                          <a14:useLocalDpi xmlns:a14="http://schemas.microsoft.com/office/drawing/2010/main" val="0"/>
                        </a:ext>
                      </a:extLst>
                    </a:blip>
                    <a:srcRect l="20506" t="23981" r="13350" b="13656"/>
                    <a:stretch>
                      <a:fillRect/>
                    </a:stretch>
                  </pic:blipFill>
                  <pic:spPr>
                    <a:xfrm>
                      <a:off x="0" y="0"/>
                      <a:ext cx="1777365" cy="2233295"/>
                    </a:xfrm>
                    <a:prstGeom prst="rect">
                      <a:avLst/>
                    </a:prstGeom>
                    <a:noFill/>
                    <a:ln>
                      <a:noFill/>
                    </a:ln>
                  </pic:spPr>
                </pic:pic>
              </a:graphicData>
            </a:graphic>
          </wp:anchor>
        </w:drawing>
      </w:r>
    </w:p>
    <w:p w14:paraId="411902DB">
      <w:pPr>
        <w:jc w:val="center"/>
        <w:rPr>
          <w:rFonts w:ascii="Times New Roman" w:hAnsi="Times New Roman" w:cs="Times New Roman"/>
          <w:sz w:val="24"/>
          <w:szCs w:val="24"/>
        </w:rPr>
      </w:pPr>
    </w:p>
    <w:p w14:paraId="778F500A">
      <w:pPr>
        <w:jc w:val="center"/>
        <w:rPr>
          <w:rFonts w:ascii="Times New Roman" w:hAnsi="Times New Roman" w:cs="Times New Roman"/>
          <w:sz w:val="24"/>
          <w:szCs w:val="24"/>
        </w:rPr>
      </w:pPr>
    </w:p>
    <w:p w14:paraId="4FFE9095">
      <w:pPr>
        <w:jc w:val="center"/>
        <w:rPr>
          <w:rFonts w:ascii="Times New Roman" w:hAnsi="Times New Roman" w:cs="Times New Roman"/>
          <w:sz w:val="24"/>
          <w:szCs w:val="24"/>
        </w:rPr>
      </w:pPr>
    </w:p>
    <w:p w14:paraId="73FD9531">
      <w:pPr>
        <w:jc w:val="center"/>
        <w:rPr>
          <w:rFonts w:ascii="Times New Roman" w:hAnsi="Times New Roman" w:cs="Times New Roman"/>
          <w:sz w:val="24"/>
          <w:szCs w:val="24"/>
        </w:rPr>
      </w:pPr>
    </w:p>
    <w:p w14:paraId="62517CAC">
      <w:pPr>
        <w:jc w:val="center"/>
        <w:rPr>
          <w:rFonts w:ascii="Times New Roman" w:hAnsi="Times New Roman" w:cs="Times New Roman"/>
          <w:sz w:val="24"/>
          <w:szCs w:val="24"/>
        </w:rPr>
      </w:pPr>
    </w:p>
    <w:p w14:paraId="6B28C6B2">
      <w:pPr>
        <w:jc w:val="center"/>
        <w:rPr>
          <w:rFonts w:ascii="Times New Roman" w:hAnsi="Times New Roman" w:cs="Times New Roman"/>
          <w:sz w:val="24"/>
          <w:szCs w:val="24"/>
        </w:rPr>
      </w:pPr>
    </w:p>
    <w:p w14:paraId="165B904E">
      <w:pPr>
        <w:jc w:val="center"/>
        <w:rPr>
          <w:rFonts w:ascii="Times New Roman" w:hAnsi="Times New Roman" w:cs="Times New Roman"/>
          <w:sz w:val="24"/>
          <w:szCs w:val="24"/>
        </w:rPr>
      </w:pPr>
    </w:p>
    <w:p w14:paraId="51BBBAB4">
      <w:pPr>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91008" behindDoc="0" locked="0" layoutInCell="1" allowOverlap="1">
                <wp:simplePos x="0" y="0"/>
                <wp:positionH relativeFrom="margin">
                  <wp:posOffset>4283710</wp:posOffset>
                </wp:positionH>
                <wp:positionV relativeFrom="paragraph">
                  <wp:posOffset>147320</wp:posOffset>
                </wp:positionV>
                <wp:extent cx="1937385" cy="817245"/>
                <wp:effectExtent l="0" t="0" r="0" b="0"/>
                <wp:wrapNone/>
                <wp:docPr id="178729878" name="ZoneTexte 6"/>
                <wp:cNvGraphicFramePr/>
                <a:graphic xmlns:a="http://schemas.openxmlformats.org/drawingml/2006/main">
                  <a:graphicData uri="http://schemas.microsoft.com/office/word/2010/wordprocessingShape">
                    <wps:wsp>
                      <wps:cNvSpPr txBox="1"/>
                      <wps:spPr bwMode="auto">
                        <a:xfrm>
                          <a:off x="0" y="0"/>
                          <a:ext cx="1937385" cy="817245"/>
                        </a:xfrm>
                        <a:prstGeom prst="rect">
                          <a:avLst/>
                        </a:prstGeom>
                        <a:noFill/>
                      </wps:spPr>
                      <wps:txbx>
                        <w:txbxContent>
                          <w:p w14:paraId="2C75ACA1">
                            <w:pPr>
                              <w:tabs>
                                <w:tab w:val="left" w:pos="7932"/>
                              </w:tabs>
                              <w:spacing w:line="256" w:lineRule="auto"/>
                              <w:jc w:val="center"/>
                              <w:rPr>
                                <w:rFonts w:ascii="Arial" w:hAnsi="Arial" w:cs="Arial"/>
                                <w:sz w:val="18"/>
                                <w:szCs w:val="18"/>
                              </w:rPr>
                            </w:pPr>
                            <w:r>
                              <w:rPr>
                                <w:rFonts w:ascii="Arial" w:hAnsi="Arial" w:cs="Arial"/>
                                <w:sz w:val="18"/>
                                <w:szCs w:val="18"/>
                              </w:rPr>
                              <w:t>KYA-Energy Group, la seule entreprise francophone parmi 9 pays lauréats de l’USAID pour l’électrification solaire des centres de santé en 2021</w:t>
                            </w:r>
                          </w:p>
                        </w:txbxContent>
                      </wps:txbx>
                      <wps:bodyPr wrap="square" rtlCol="0">
                        <a:noAutofit/>
                      </wps:bodyPr>
                    </wps:wsp>
                  </a:graphicData>
                </a:graphic>
              </wp:anchor>
            </w:drawing>
          </mc:Choice>
          <mc:Fallback>
            <w:pict>
              <v:shape id="ZoneTexte 6" o:spid="_x0000_s1026" o:spt="202" type="#_x0000_t202" style="position:absolute;left:0pt;margin-left:337.3pt;margin-top:11.6pt;height:64.35pt;width:152.55pt;mso-position-horizontal-relative:margin;z-index:251691008;mso-width-relative:page;mso-height-relative:page;" filled="f" stroked="f" coordsize="21600,21600" o:gfxdata="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RPNnvYAAAACgEAAA8AAAAAAAAAAQAgAAAAIgAAAGRycy9kb3ducmV2LnhtbFBL&#10;AQIUABQAAAAIAIdO4kDFOdrDvQEAAHMDAAAOAAAAAAAAAAEAIAAAACcBAABkcnMvZTJvRG9jLnht&#10;bFBLBQYAAAAABgAGAFkBAABWBQAAAAA=&#10;">
                <v:fill on="f" focussize="0,0"/>
                <v:stroke on="f"/>
                <v:imagedata o:title=""/>
                <o:lock v:ext="edit" aspectratio="f"/>
                <v:textbox>
                  <w:txbxContent>
                    <w:p w14:paraId="2C75ACA1">
                      <w:pPr>
                        <w:tabs>
                          <w:tab w:val="left" w:pos="7932"/>
                        </w:tabs>
                        <w:spacing w:line="256" w:lineRule="auto"/>
                        <w:jc w:val="center"/>
                        <w:rPr>
                          <w:rFonts w:ascii="Arial" w:hAnsi="Arial" w:cs="Arial"/>
                          <w:sz w:val="18"/>
                          <w:szCs w:val="18"/>
                        </w:rPr>
                      </w:pPr>
                      <w:r>
                        <w:rPr>
                          <w:rFonts w:ascii="Arial" w:hAnsi="Arial" w:cs="Arial"/>
                          <w:sz w:val="18"/>
                          <w:szCs w:val="18"/>
                        </w:rPr>
                        <w:t>KYA-Energy Group, la seule entreprise francophone parmi 9 pays lauréats de l’USAID pour l’électrification solaire des centres de santé en 2021</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9984" behindDoc="0" locked="0" layoutInCell="1" allowOverlap="1">
                <wp:simplePos x="0" y="0"/>
                <wp:positionH relativeFrom="margin">
                  <wp:posOffset>2346325</wp:posOffset>
                </wp:positionH>
                <wp:positionV relativeFrom="paragraph">
                  <wp:posOffset>147320</wp:posOffset>
                </wp:positionV>
                <wp:extent cx="1263015" cy="554355"/>
                <wp:effectExtent l="0" t="0" r="0" b="0"/>
                <wp:wrapNone/>
                <wp:docPr id="991975278" name="ZoneTexte 6"/>
                <wp:cNvGraphicFramePr/>
                <a:graphic xmlns:a="http://schemas.openxmlformats.org/drawingml/2006/main">
                  <a:graphicData uri="http://schemas.microsoft.com/office/word/2010/wordprocessingShape">
                    <wps:wsp>
                      <wps:cNvSpPr txBox="1"/>
                      <wps:spPr bwMode="auto">
                        <a:xfrm>
                          <a:off x="0" y="0"/>
                          <a:ext cx="1263015" cy="554355"/>
                        </a:xfrm>
                        <a:prstGeom prst="rect">
                          <a:avLst/>
                        </a:prstGeom>
                        <a:noFill/>
                      </wps:spPr>
                      <wps:txbx>
                        <w:txbxContent>
                          <w:p w14:paraId="79C1C856">
                            <w:pPr>
                              <w:tabs>
                                <w:tab w:val="left" w:pos="7932"/>
                              </w:tabs>
                              <w:spacing w:line="256" w:lineRule="auto"/>
                              <w:jc w:val="center"/>
                              <w:rPr>
                                <w:rFonts w:ascii="Arial" w:hAnsi="Arial" w:cs="Arial"/>
                                <w:sz w:val="18"/>
                                <w:szCs w:val="18"/>
                              </w:rPr>
                            </w:pPr>
                            <w:r>
                              <w:rPr>
                                <w:rFonts w:ascii="Arial" w:hAnsi="Arial" w:cs="Arial"/>
                                <w:sz w:val="18"/>
                                <w:szCs w:val="18"/>
                              </w:rPr>
                              <w:t>KYA-Energy Group, désigné entreprise leader 2020 au Togo</w:t>
                            </w:r>
                          </w:p>
                        </w:txbxContent>
                      </wps:txbx>
                      <wps:bodyPr wrap="square" rtlCol="0">
                        <a:noAutofit/>
                      </wps:bodyPr>
                    </wps:wsp>
                  </a:graphicData>
                </a:graphic>
              </wp:anchor>
            </w:drawing>
          </mc:Choice>
          <mc:Fallback>
            <w:pict>
              <v:shape id="ZoneTexte 6" o:spid="_x0000_s1026" o:spt="202" type="#_x0000_t202" style="position:absolute;left:0pt;margin-left:184.75pt;margin-top:11.6pt;height:43.65pt;width:99.45pt;mso-position-horizontal-relative:margin;z-index:251689984;mso-width-relative:page;mso-height-relative:page;" filled="f" stroked="f" coordsize="21600,21600" o:gfxdata="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BsYxz1wAAAAoBAAAPAAAAAAAAAAEAIAAAACIAAABkcnMvZG93bnJldi54bWxQSwEC&#10;FAAUAAAACACHTuJADGNicbwBAABzAwAADgAAAAAAAAABACAAAAAmAQAAZHJzL2Uyb0RvYy54bWxQ&#10;SwUGAAAAAAYABgBZAQAAVAUAAAAA&#10;">
                <v:fill on="f" focussize="0,0"/>
                <v:stroke on="f"/>
                <v:imagedata o:title=""/>
                <o:lock v:ext="edit" aspectratio="f"/>
                <v:textbox>
                  <w:txbxContent>
                    <w:p w14:paraId="79C1C856">
                      <w:pPr>
                        <w:tabs>
                          <w:tab w:val="left" w:pos="7932"/>
                        </w:tabs>
                        <w:spacing w:line="256" w:lineRule="auto"/>
                        <w:jc w:val="center"/>
                        <w:rPr>
                          <w:rFonts w:ascii="Arial" w:hAnsi="Arial" w:cs="Arial"/>
                          <w:sz w:val="18"/>
                          <w:szCs w:val="18"/>
                        </w:rPr>
                      </w:pPr>
                      <w:r>
                        <w:rPr>
                          <w:rFonts w:ascii="Arial" w:hAnsi="Arial" w:cs="Arial"/>
                          <w:sz w:val="18"/>
                          <w:szCs w:val="18"/>
                        </w:rPr>
                        <w:t>KYA-Energy Group, désigné entreprise leader 2020 au Togo</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8960" behindDoc="0" locked="0" layoutInCell="1" allowOverlap="1">
                <wp:simplePos x="0" y="0"/>
                <wp:positionH relativeFrom="margin">
                  <wp:posOffset>-550545</wp:posOffset>
                </wp:positionH>
                <wp:positionV relativeFrom="paragraph">
                  <wp:posOffset>247650</wp:posOffset>
                </wp:positionV>
                <wp:extent cx="1517650" cy="793750"/>
                <wp:effectExtent l="0" t="0" r="0" b="0"/>
                <wp:wrapNone/>
                <wp:docPr id="411719637" name="ZoneTexte 6"/>
                <wp:cNvGraphicFramePr/>
                <a:graphic xmlns:a="http://schemas.openxmlformats.org/drawingml/2006/main">
                  <a:graphicData uri="http://schemas.microsoft.com/office/word/2010/wordprocessingShape">
                    <wps:wsp>
                      <wps:cNvSpPr txBox="1"/>
                      <wps:spPr bwMode="auto">
                        <a:xfrm>
                          <a:off x="0" y="0"/>
                          <a:ext cx="1517650" cy="793750"/>
                        </a:xfrm>
                        <a:prstGeom prst="rect">
                          <a:avLst/>
                        </a:prstGeom>
                        <a:noFill/>
                      </wps:spPr>
                      <wps:txbx>
                        <w:txbxContent>
                          <w:p w14:paraId="46220082">
                            <w:pPr>
                              <w:tabs>
                                <w:tab w:val="left" w:pos="7932"/>
                              </w:tabs>
                              <w:spacing w:line="256" w:lineRule="auto"/>
                              <w:jc w:val="center"/>
                              <w:rPr>
                                <w:rFonts w:ascii="Arial" w:hAnsi="Arial" w:cs="Arial"/>
                                <w:sz w:val="18"/>
                                <w:szCs w:val="18"/>
                                <w:lang w:val="en-GB"/>
                              </w:rPr>
                            </w:pPr>
                            <w:r>
                              <w:rPr>
                                <w:rFonts w:ascii="Arial" w:hAnsi="Arial" w:cs="Arial"/>
                                <w:sz w:val="18"/>
                                <w:szCs w:val="18"/>
                                <w:lang w:val="en-GB"/>
                              </w:rPr>
                              <w:t xml:space="preserve">KYA-Energy Group, lauréat du concours « Start-up » </w:t>
                            </w:r>
                          </w:p>
                          <w:p w14:paraId="217A4748">
                            <w:pPr>
                              <w:tabs>
                                <w:tab w:val="left" w:pos="7932"/>
                              </w:tabs>
                              <w:spacing w:line="256" w:lineRule="auto"/>
                              <w:jc w:val="center"/>
                              <w:rPr>
                                <w:rFonts w:ascii="Arial" w:hAnsi="Arial" w:cs="Arial"/>
                                <w:sz w:val="18"/>
                                <w:szCs w:val="18"/>
                              </w:rPr>
                            </w:pPr>
                            <w:r>
                              <w:rPr>
                                <w:rFonts w:ascii="Arial" w:hAnsi="Arial" w:cs="Arial"/>
                                <w:sz w:val="18"/>
                                <w:szCs w:val="18"/>
                              </w:rPr>
                              <w:t>BOAD 2018</w:t>
                            </w:r>
                          </w:p>
                        </w:txbxContent>
                      </wps:txbx>
                      <wps:bodyPr wrap="square" rtlCol="0">
                        <a:noAutofit/>
                      </wps:bodyPr>
                    </wps:wsp>
                  </a:graphicData>
                </a:graphic>
              </wp:anchor>
            </w:drawing>
          </mc:Choice>
          <mc:Fallback>
            <w:pict>
              <v:shape id="ZoneTexte 6" o:spid="_x0000_s1026" o:spt="202" type="#_x0000_t202" style="position:absolute;left:0pt;margin-left:-43.35pt;margin-top:19.5pt;height:62.5pt;width:119.5pt;mso-position-horizontal-relative:margin;z-index:251688960;mso-width-relative:page;mso-height-relative:page;" filled="f" stroked="f" coordsize="21600,21600" o:gfxdata="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lORt1wAAAAoBAAAPAAAAAAAAAAEAIAAAACIAAABkcnMvZG93bnJldi54bWxQSwEC&#10;FAAUAAAACACHTuJAlGCF+bwBAABzAwAADgAAAAAAAAABACAAAAAmAQAAZHJzL2Uyb0RvYy54bWxQ&#10;SwUGAAAAAAYABgBZAQAAVAUAAAAA&#10;">
                <v:fill on="f" focussize="0,0"/>
                <v:stroke on="f"/>
                <v:imagedata o:title=""/>
                <o:lock v:ext="edit" aspectratio="f"/>
                <v:textbox>
                  <w:txbxContent>
                    <w:p w14:paraId="46220082">
                      <w:pPr>
                        <w:tabs>
                          <w:tab w:val="left" w:pos="7932"/>
                        </w:tabs>
                        <w:spacing w:line="256" w:lineRule="auto"/>
                        <w:jc w:val="center"/>
                        <w:rPr>
                          <w:rFonts w:ascii="Arial" w:hAnsi="Arial" w:cs="Arial"/>
                          <w:sz w:val="18"/>
                          <w:szCs w:val="18"/>
                          <w:lang w:val="en-GB"/>
                        </w:rPr>
                      </w:pPr>
                      <w:r>
                        <w:rPr>
                          <w:rFonts w:ascii="Arial" w:hAnsi="Arial" w:cs="Arial"/>
                          <w:sz w:val="18"/>
                          <w:szCs w:val="18"/>
                          <w:lang w:val="en-GB"/>
                        </w:rPr>
                        <w:t xml:space="preserve">KYA-Energy Group, lauréat du concours « Start-up » </w:t>
                      </w:r>
                    </w:p>
                    <w:p w14:paraId="217A4748">
                      <w:pPr>
                        <w:tabs>
                          <w:tab w:val="left" w:pos="7932"/>
                        </w:tabs>
                        <w:spacing w:line="256" w:lineRule="auto"/>
                        <w:jc w:val="center"/>
                        <w:rPr>
                          <w:rFonts w:ascii="Arial" w:hAnsi="Arial" w:cs="Arial"/>
                          <w:sz w:val="18"/>
                          <w:szCs w:val="18"/>
                        </w:rPr>
                      </w:pPr>
                      <w:r>
                        <w:rPr>
                          <w:rFonts w:ascii="Arial" w:hAnsi="Arial" w:cs="Arial"/>
                          <w:sz w:val="18"/>
                          <w:szCs w:val="18"/>
                        </w:rPr>
                        <w:t>BOAD 2018</w:t>
                      </w:r>
                    </w:p>
                  </w:txbxContent>
                </v:textbox>
              </v:shape>
            </w:pict>
          </mc:Fallback>
        </mc:AlternateContent>
      </w:r>
    </w:p>
    <w:p w14:paraId="29F67857">
      <w:pPr>
        <w:jc w:val="center"/>
        <w:rPr>
          <w:rFonts w:ascii="Times New Roman" w:hAnsi="Times New Roman" w:cs="Times New Roman"/>
          <w:sz w:val="24"/>
          <w:szCs w:val="24"/>
        </w:rPr>
      </w:pPr>
    </w:p>
    <w:p w14:paraId="6F735920">
      <w:pPr>
        <w:jc w:val="center"/>
        <w:rPr>
          <w:rFonts w:ascii="Times New Roman" w:hAnsi="Times New Roman" w:cs="Times New Roman"/>
          <w:sz w:val="24"/>
          <w:szCs w:val="24"/>
        </w:rPr>
      </w:pPr>
    </w:p>
    <w:p w14:paraId="372F1151">
      <w:pPr>
        <w:jc w:val="center"/>
        <w:rPr>
          <w:rFonts w:ascii="Times New Roman" w:hAnsi="Times New Roman" w:cs="Times New Roman"/>
          <w:sz w:val="24"/>
          <w:szCs w:val="24"/>
        </w:rPr>
      </w:pPr>
    </w:p>
    <w:p w14:paraId="23B83176">
      <w:pPr>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700224" behindDoc="0" locked="0" layoutInCell="1" allowOverlap="1">
                <wp:simplePos x="0" y="0"/>
                <wp:positionH relativeFrom="margin">
                  <wp:posOffset>4370705</wp:posOffset>
                </wp:positionH>
                <wp:positionV relativeFrom="paragraph">
                  <wp:posOffset>230505</wp:posOffset>
                </wp:positionV>
                <wp:extent cx="1941830" cy="822325"/>
                <wp:effectExtent l="0" t="0" r="0" b="0"/>
                <wp:wrapThrough wrapText="bothSides">
                  <wp:wrapPolygon>
                    <wp:start x="0" y="0"/>
                    <wp:lineTo x="0" y="21600"/>
                    <wp:lineTo x="21600" y="21600"/>
                    <wp:lineTo x="21600" y="0"/>
                  </wp:wrapPolygon>
                </wp:wrapThrough>
                <wp:docPr id="1031363118" name="ZoneTexte 19"/>
                <wp:cNvGraphicFramePr/>
                <a:graphic xmlns:a="http://schemas.openxmlformats.org/drawingml/2006/main">
                  <a:graphicData uri="http://schemas.microsoft.com/office/word/2010/wordprocessingShape">
                    <wps:wsp>
                      <wps:cNvSpPr txBox="1"/>
                      <wps:spPr bwMode="auto">
                        <a:xfrm>
                          <a:off x="0" y="0"/>
                          <a:ext cx="1941830" cy="822325"/>
                        </a:xfrm>
                        <a:prstGeom prst="rect">
                          <a:avLst/>
                        </a:prstGeom>
                        <a:noFill/>
                      </wps:spPr>
                      <wps:txbx>
                        <w:txbxContent>
                          <w:p w14:paraId="0E60C495">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 la valorisation de la recherche et de l’innovation TOGO TOP IMPACT 2022</w:t>
                            </w:r>
                          </w:p>
                        </w:txbxContent>
                      </wps:txbx>
                      <wps:bodyPr wrap="square" rtlCol="0">
                        <a:noAutofit/>
                      </wps:bodyPr>
                    </wps:wsp>
                  </a:graphicData>
                </a:graphic>
              </wp:anchor>
            </w:drawing>
          </mc:Choice>
          <mc:Fallback>
            <w:pict>
              <v:shape id="ZoneTexte 19" o:spid="_x0000_s1026" o:spt="202" type="#_x0000_t202" style="position:absolute;left:0pt;margin-left:344.15pt;margin-top:18.15pt;height:64.75pt;width:152.9pt;mso-position-horizontal-relative:margin;mso-wrap-distance-left:9pt;mso-wrap-distance-right:9pt;z-index:251700224;mso-width-relative:page;mso-height-relative:page;" filled="f" stroked="f" coordsize="21600,21600" wrapcoords="0 0 0 21600 21600 21600 21600 0" o:gfxdata="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pxMu72AAAAAoBAAAPAAAAAAAAAAEAIAAAACIAAABkcnMvZG93bnJldi54bWxQSwEC&#10;FAAUAAAACACHTuJA4WRszbsBAAB1AwAADgAAAAAAAAABACAAAAAnAQAAZHJzL2Uyb0RvYy54bWxQ&#10;SwUGAAAAAAYABgBZAQAAVAUAAAAA&#10;">
                <v:fill on="f" focussize="0,0"/>
                <v:stroke on="f"/>
                <v:imagedata o:title=""/>
                <o:lock v:ext="edit" aspectratio="f"/>
                <v:textbox>
                  <w:txbxContent>
                    <w:p w14:paraId="0E60C495">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 la valorisation de la recherche et de l’innovation TOGO TOP IMPACT 2022</w:t>
                      </w:r>
                    </w:p>
                  </w:txbxContent>
                </v:textbox>
                <w10:wrap type="through"/>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3840" behindDoc="0" locked="0" layoutInCell="1" allowOverlap="1">
                <wp:simplePos x="0" y="0"/>
                <wp:positionH relativeFrom="margin">
                  <wp:posOffset>2200910</wp:posOffset>
                </wp:positionH>
                <wp:positionV relativeFrom="paragraph">
                  <wp:posOffset>277495</wp:posOffset>
                </wp:positionV>
                <wp:extent cx="1941830" cy="668655"/>
                <wp:effectExtent l="0" t="0" r="1270" b="0"/>
                <wp:wrapThrough wrapText="bothSides">
                  <wp:wrapPolygon>
                    <wp:start x="0" y="0"/>
                    <wp:lineTo x="0" y="20923"/>
                    <wp:lineTo x="21402" y="20923"/>
                    <wp:lineTo x="21402" y="0"/>
                    <wp:lineTo x="0" y="0"/>
                  </wp:wrapPolygon>
                </wp:wrapThrough>
                <wp:docPr id="1600801095" name="ZoneTexte 19"/>
                <wp:cNvGraphicFramePr/>
                <a:graphic xmlns:a="http://schemas.openxmlformats.org/drawingml/2006/main">
                  <a:graphicData uri="http://schemas.microsoft.com/office/word/2010/wordprocessingShape">
                    <wps:wsp>
                      <wps:cNvSpPr txBox="1"/>
                      <wps:spPr bwMode="auto">
                        <a:xfrm>
                          <a:off x="0" y="0"/>
                          <a:ext cx="1941830" cy="668655"/>
                        </a:xfrm>
                        <a:prstGeom prst="rect">
                          <a:avLst/>
                        </a:prstGeom>
                        <a:solidFill>
                          <a:schemeClr val="bg1"/>
                        </a:solidFill>
                      </wps:spPr>
                      <wps:txbx>
                        <w:txbxContent>
                          <w:p w14:paraId="21EB8B98">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africain du mérite et de l’excellence à Kigali RWANDA</w:t>
                            </w:r>
                          </w:p>
                        </w:txbxContent>
                      </wps:txbx>
                      <wps:bodyPr wrap="square" rtlCol="0">
                        <a:noAutofit/>
                      </wps:bodyPr>
                    </wps:wsp>
                  </a:graphicData>
                </a:graphic>
              </wp:anchor>
            </w:drawing>
          </mc:Choice>
          <mc:Fallback>
            <w:pict>
              <v:shape id="ZoneTexte 19" o:spid="_x0000_s1026" o:spt="202" type="#_x0000_t202" style="position:absolute;left:0pt;margin-left:173.3pt;margin-top:21.85pt;height:52.65pt;width:152.9pt;mso-position-horizontal-relative:margin;mso-wrap-distance-left:9pt;mso-wrap-distance-right:9pt;z-index:251683840;mso-width-relative:page;mso-height-relative:page;" fillcolor="#FFFFFF [3212]" filled="t" stroked="f" coordsize="21600,21600" wrapcoords="0 0 0 20923 21402 20923 21402 0 0 0" o:gfxdata="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HR34D2AAAAAoBAAAPAAAAAAAAAAEAIAAAACIA&#10;AABkcnMvZG93bnJldi54bWxQSwECFAAUAAAACACHTuJAUcstFdABAACeAwAADgAAAAAAAAABACAA&#10;AAAnAQAAZHJzL2Uyb0RvYy54bWxQSwUGAAAAAAYABgBZAQAAaQUAAAAA&#10;">
                <v:fill on="t" focussize="0,0"/>
                <v:stroke on="f"/>
                <v:imagedata o:title=""/>
                <o:lock v:ext="edit" aspectratio="f"/>
                <v:textbox>
                  <w:txbxContent>
                    <w:p w14:paraId="21EB8B98">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africain du mérite et de l’excellence à Kigali RWANDA</w:t>
                      </w:r>
                    </w:p>
                  </w:txbxContent>
                </v:textbox>
                <w10:wrap type="through"/>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1792" behindDoc="0" locked="0" layoutInCell="1" allowOverlap="1">
                <wp:simplePos x="0" y="0"/>
                <wp:positionH relativeFrom="margin">
                  <wp:posOffset>-448310</wp:posOffset>
                </wp:positionH>
                <wp:positionV relativeFrom="paragraph">
                  <wp:posOffset>314960</wp:posOffset>
                </wp:positionV>
                <wp:extent cx="1941830" cy="668655"/>
                <wp:effectExtent l="0" t="0" r="1270" b="0"/>
                <wp:wrapThrough wrapText="bothSides">
                  <wp:wrapPolygon>
                    <wp:start x="0" y="0"/>
                    <wp:lineTo x="0" y="20923"/>
                    <wp:lineTo x="21402" y="20923"/>
                    <wp:lineTo x="21402" y="0"/>
                    <wp:lineTo x="0" y="0"/>
                  </wp:wrapPolygon>
                </wp:wrapThrough>
                <wp:docPr id="2094567020" name="ZoneTexte 19"/>
                <wp:cNvGraphicFramePr/>
                <a:graphic xmlns:a="http://schemas.openxmlformats.org/drawingml/2006/main">
                  <a:graphicData uri="http://schemas.microsoft.com/office/word/2010/wordprocessingShape">
                    <wps:wsp>
                      <wps:cNvSpPr txBox="1"/>
                      <wps:spPr bwMode="auto">
                        <a:xfrm>
                          <a:off x="0" y="0"/>
                          <a:ext cx="1941830" cy="668655"/>
                        </a:xfrm>
                        <a:prstGeom prst="rect">
                          <a:avLst/>
                        </a:prstGeom>
                        <a:solidFill>
                          <a:schemeClr val="bg1"/>
                        </a:solidFill>
                      </wps:spPr>
                      <wps:txbx>
                        <w:txbxContent>
                          <w:p w14:paraId="78E3C5C1">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Palme internationale de l’innovation énergétique au TOGO</w:t>
                            </w:r>
                          </w:p>
                        </w:txbxContent>
                      </wps:txbx>
                      <wps:bodyPr wrap="square" rtlCol="0">
                        <a:noAutofit/>
                      </wps:bodyPr>
                    </wps:wsp>
                  </a:graphicData>
                </a:graphic>
              </wp:anchor>
            </w:drawing>
          </mc:Choice>
          <mc:Fallback>
            <w:pict>
              <v:shape id="ZoneTexte 19" o:spid="_x0000_s1026" o:spt="202" type="#_x0000_t202" style="position:absolute;left:0pt;margin-left:-35.3pt;margin-top:24.8pt;height:52.65pt;width:152.9pt;mso-position-horizontal-relative:margin;mso-wrap-distance-left:9pt;mso-wrap-distance-right:9pt;z-index:251681792;mso-width-relative:page;mso-height-relative:page;" fillcolor="#FFFFFF [3212]" filled="t" stroked="f" coordsize="21600,21600" wrapcoords="0 0 0 20923 21402 20923 21402 0 0 0" o:gfxdata="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0oqfDYAAAACgEAAA8AAAAAAAAAAQAgAAAA&#10;IgAAAGRycy9kb3ducmV2LnhtbFBLAQIUABQAAAAIAIdO4kCqHw9z0gEAAJ4DAAAOAAAAAAAAAAEA&#10;IAAAACcBAABkcnMvZTJvRG9jLnhtbFBLBQYAAAAABgAGAFkBAABrBQAAAAA=&#10;">
                <v:fill on="t" focussize="0,0"/>
                <v:stroke on="f"/>
                <v:imagedata o:title=""/>
                <o:lock v:ext="edit" aspectratio="f"/>
                <v:textbox>
                  <w:txbxContent>
                    <w:p w14:paraId="78E3C5C1">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Palme internationale de l’innovation énergétique au TOGO</w:t>
                      </w:r>
                    </w:p>
                  </w:txbxContent>
                </v:textbox>
                <w10:wrap type="through"/>
              </v:shape>
            </w:pict>
          </mc:Fallback>
        </mc:AlternateContent>
      </w:r>
    </w:p>
    <w:p w14:paraId="6C4E37F5">
      <w:pPr>
        <w:jc w:val="center"/>
        <w:rPr>
          <w:rFonts w:ascii="Times New Roman" w:hAnsi="Times New Roman" w:cs="Times New Roman"/>
          <w:sz w:val="24"/>
          <w:szCs w:val="24"/>
        </w:rPr>
      </w:pPr>
    </w:p>
    <w:p w14:paraId="0FC5A5C5">
      <w:pPr>
        <w:jc w:val="center"/>
        <w:rPr>
          <w:rFonts w:ascii="Times New Roman" w:hAnsi="Times New Roman" w:cs="Times New Roman"/>
          <w:sz w:val="24"/>
          <w:szCs w:val="24"/>
        </w:rPr>
      </w:pPr>
      <w:r>
        <w:rPr>
          <w:rFonts w:ascii="Times New Roman" w:hAnsi="Times New Roman" w:cs="Times New Roman"/>
        </w:rPr>
        <w:drawing>
          <wp:anchor distT="0" distB="0" distL="114300" distR="114300" simplePos="0" relativeHeight="251694080" behindDoc="0" locked="0" layoutInCell="1" allowOverlap="1">
            <wp:simplePos x="0" y="0"/>
            <wp:positionH relativeFrom="margin">
              <wp:posOffset>-254000</wp:posOffset>
            </wp:positionH>
            <wp:positionV relativeFrom="paragraph">
              <wp:posOffset>323215</wp:posOffset>
            </wp:positionV>
            <wp:extent cx="1503045" cy="2074545"/>
            <wp:effectExtent l="0" t="0" r="1905" b="1905"/>
            <wp:wrapNone/>
            <wp:docPr id="41580959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09596" name="Image 7"/>
                    <pic:cNvPicPr>
                      <a:picLocks noChangeAspect="1" noChangeArrowheads="1"/>
                    </pic:cNvPicPr>
                  </pic:nvPicPr>
                  <pic:blipFill>
                    <a:blip r:embed="rId22" cstate="print">
                      <a:extLst>
                        <a:ext uri="{28A0092B-C50C-407E-A947-70E740481C1C}">
                          <a14:useLocalDpi xmlns:a14="http://schemas.microsoft.com/office/drawing/2010/main" val="0"/>
                        </a:ext>
                      </a:extLst>
                    </a:blip>
                    <a:srcRect l="11374" t="10239" r="14017" b="12498"/>
                    <a:stretch>
                      <a:fillRect/>
                    </a:stretch>
                  </pic:blipFill>
                  <pic:spPr>
                    <a:xfrm>
                      <a:off x="0" y="0"/>
                      <a:ext cx="1503045" cy="2074545"/>
                    </a:xfrm>
                    <a:prstGeom prst="rect">
                      <a:avLst/>
                    </a:prstGeom>
                    <a:noFill/>
                    <a:ln>
                      <a:noFill/>
                    </a:ln>
                  </pic:spPr>
                </pic:pic>
              </a:graphicData>
            </a:graphic>
          </wp:anchor>
        </w:drawing>
      </w:r>
    </w:p>
    <w:p w14:paraId="2C754278">
      <w:pPr>
        <w:jc w:val="center"/>
        <w:rPr>
          <w:rFonts w:ascii="Times New Roman" w:hAnsi="Times New Roman" w:cs="Times New Roman"/>
          <w:sz w:val="24"/>
          <w:szCs w:val="24"/>
        </w:rPr>
      </w:pPr>
      <w:r>
        <w:rPr>
          <w:rFonts w:ascii="Times New Roman" w:hAnsi="Times New Roman" w:cs="Times New Roman"/>
        </w:rPr>
        <w:drawing>
          <wp:anchor distT="0" distB="0" distL="114300" distR="114300" simplePos="0" relativeHeight="251696128" behindDoc="0" locked="0" layoutInCell="1" allowOverlap="1">
            <wp:simplePos x="0" y="0"/>
            <wp:positionH relativeFrom="margin">
              <wp:posOffset>5040630</wp:posOffset>
            </wp:positionH>
            <wp:positionV relativeFrom="paragraph">
              <wp:posOffset>160020</wp:posOffset>
            </wp:positionV>
            <wp:extent cx="854075" cy="2021840"/>
            <wp:effectExtent l="0" t="0" r="3175" b="0"/>
            <wp:wrapNone/>
            <wp:docPr id="92085260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2601" name="Image 11"/>
                    <pic:cNvPicPr>
                      <a:picLocks noChangeAspect="1" noChangeArrowheads="1"/>
                    </pic:cNvPicPr>
                  </pic:nvPicPr>
                  <pic:blipFill>
                    <a:blip r:embed="rId23" cstate="print">
                      <a:extLst>
                        <a:ext uri="{28A0092B-C50C-407E-A947-70E740481C1C}">
                          <a14:useLocalDpi xmlns:a14="http://schemas.microsoft.com/office/drawing/2010/main" val="0"/>
                        </a:ext>
                      </a:extLst>
                    </a:blip>
                    <a:srcRect l="25226" t="6540" r="25020" b="5129"/>
                    <a:stretch>
                      <a:fillRect/>
                    </a:stretch>
                  </pic:blipFill>
                  <pic:spPr>
                    <a:xfrm>
                      <a:off x="0" y="0"/>
                      <a:ext cx="854075" cy="2021840"/>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99200" behindDoc="1" locked="0" layoutInCell="1" allowOverlap="1">
            <wp:simplePos x="0" y="0"/>
            <wp:positionH relativeFrom="page">
              <wp:posOffset>3223895</wp:posOffset>
            </wp:positionH>
            <wp:positionV relativeFrom="paragraph">
              <wp:posOffset>129540</wp:posOffset>
            </wp:positionV>
            <wp:extent cx="1544955" cy="1938655"/>
            <wp:effectExtent l="0" t="0" r="0" b="4445"/>
            <wp:wrapNone/>
            <wp:docPr id="9359837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372" name="Image 12"/>
                    <pic:cNvPicPr>
                      <a:picLocks noChangeAspect="1" noChangeArrowheads="1"/>
                    </pic:cNvPicPr>
                  </pic:nvPicPr>
                  <pic:blipFill>
                    <a:blip r:embed="rId24" cstate="print">
                      <a:extLst>
                        <a:ext uri="{28A0092B-C50C-407E-A947-70E740481C1C}">
                          <a14:useLocalDpi xmlns:a14="http://schemas.microsoft.com/office/drawing/2010/main" val="0"/>
                        </a:ext>
                      </a:extLst>
                    </a:blip>
                    <a:srcRect l="24553" t="3768" r="17857"/>
                    <a:stretch>
                      <a:fillRect/>
                    </a:stretch>
                  </pic:blipFill>
                  <pic:spPr>
                    <a:xfrm>
                      <a:off x="0" y="0"/>
                      <a:ext cx="1544955" cy="1938655"/>
                    </a:xfrm>
                    <a:prstGeom prst="rect">
                      <a:avLst/>
                    </a:prstGeom>
                    <a:noFill/>
                    <a:ln>
                      <a:noFill/>
                    </a:ln>
                  </pic:spPr>
                </pic:pic>
              </a:graphicData>
            </a:graphic>
          </wp:anchor>
        </w:drawing>
      </w:r>
    </w:p>
    <w:p w14:paraId="2983CF82">
      <w:pPr>
        <w:jc w:val="center"/>
        <w:rPr>
          <w:rFonts w:ascii="Times New Roman" w:hAnsi="Times New Roman" w:cs="Times New Roman"/>
          <w:sz w:val="24"/>
          <w:szCs w:val="24"/>
        </w:rPr>
      </w:pPr>
    </w:p>
    <w:p w14:paraId="40BC86DE">
      <w:pPr>
        <w:jc w:val="center"/>
        <w:rPr>
          <w:rFonts w:ascii="Times New Roman" w:hAnsi="Times New Roman" w:cs="Times New Roman"/>
          <w:sz w:val="24"/>
          <w:szCs w:val="24"/>
        </w:rPr>
      </w:pPr>
    </w:p>
    <w:p w14:paraId="1B8EC7EB">
      <w:pPr>
        <w:jc w:val="center"/>
        <w:rPr>
          <w:rFonts w:ascii="Times New Roman" w:hAnsi="Times New Roman" w:cs="Times New Roman"/>
          <w:sz w:val="24"/>
          <w:szCs w:val="24"/>
        </w:rPr>
      </w:pPr>
    </w:p>
    <w:p w14:paraId="4F9850F8">
      <w:pPr>
        <w:jc w:val="center"/>
        <w:rPr>
          <w:rFonts w:ascii="Times New Roman" w:hAnsi="Times New Roman" w:cs="Times New Roman"/>
          <w:sz w:val="24"/>
          <w:szCs w:val="24"/>
        </w:rPr>
      </w:pPr>
    </w:p>
    <w:p w14:paraId="216728B1">
      <w:pPr>
        <w:jc w:val="center"/>
        <w:rPr>
          <w:rFonts w:ascii="Times New Roman" w:hAnsi="Times New Roman" w:cs="Times New Roman"/>
          <w:sz w:val="24"/>
          <w:szCs w:val="24"/>
        </w:rPr>
      </w:pPr>
    </w:p>
    <w:p w14:paraId="0D90C5AD">
      <w:pPr>
        <w:jc w:val="center"/>
        <w:rPr>
          <w:rFonts w:ascii="Times New Roman" w:hAnsi="Times New Roman" w:cs="Times New Roman"/>
          <w:sz w:val="24"/>
          <w:szCs w:val="24"/>
        </w:rPr>
      </w:pPr>
    </w:p>
    <w:p w14:paraId="05FC3A3E">
      <w:pPr>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701248" behindDoc="0" locked="0" layoutInCell="1" allowOverlap="1">
                <wp:simplePos x="0" y="0"/>
                <wp:positionH relativeFrom="margin">
                  <wp:posOffset>4713605</wp:posOffset>
                </wp:positionH>
                <wp:positionV relativeFrom="paragraph">
                  <wp:posOffset>173355</wp:posOffset>
                </wp:positionV>
                <wp:extent cx="1714500" cy="882650"/>
                <wp:effectExtent l="0" t="0" r="0" b="0"/>
                <wp:wrapNone/>
                <wp:docPr id="836997850" name="ZoneTexte 6"/>
                <wp:cNvGraphicFramePr/>
                <a:graphic xmlns:a="http://schemas.openxmlformats.org/drawingml/2006/main">
                  <a:graphicData uri="http://schemas.microsoft.com/office/word/2010/wordprocessingShape">
                    <wps:wsp>
                      <wps:cNvSpPr txBox="1"/>
                      <wps:spPr bwMode="auto">
                        <a:xfrm>
                          <a:off x="0" y="0"/>
                          <a:ext cx="1714500" cy="882650"/>
                        </a:xfrm>
                        <a:prstGeom prst="rect">
                          <a:avLst/>
                        </a:prstGeom>
                        <a:noFill/>
                      </wps:spPr>
                      <wps:txbx>
                        <w:txbxContent>
                          <w:p w14:paraId="3EF61184">
                            <w:pPr>
                              <w:tabs>
                                <w:tab w:val="left" w:pos="7932"/>
                              </w:tabs>
                              <w:spacing w:line="256" w:lineRule="auto"/>
                              <w:jc w:val="center"/>
                              <w:rPr>
                                <w:rFonts w:ascii="Arial" w:hAnsi="Arial" w:cs="Arial"/>
                                <w:sz w:val="18"/>
                                <w:szCs w:val="18"/>
                              </w:rPr>
                            </w:pPr>
                            <w:r>
                              <w:rPr>
                                <w:rFonts w:ascii="Arial" w:hAnsi="Arial" w:cs="Arial"/>
                                <w:sz w:val="18"/>
                                <w:szCs w:val="18"/>
                              </w:rPr>
                              <w:t>Le DG de KYA-Energy GROUP a reçu le prix de la valorisation de la recherche et de l’innovation de TOGO TOP IMPACT 2022</w:t>
                            </w:r>
                          </w:p>
                        </w:txbxContent>
                      </wps:txbx>
                      <wps:bodyPr wrap="square" rtlCol="0">
                        <a:noAutofit/>
                      </wps:bodyPr>
                    </wps:wsp>
                  </a:graphicData>
                </a:graphic>
              </wp:anchor>
            </w:drawing>
          </mc:Choice>
          <mc:Fallback>
            <w:pict>
              <v:shape id="ZoneTexte 6" o:spid="_x0000_s1026" o:spt="202" type="#_x0000_t202" style="position:absolute;left:0pt;margin-left:371.15pt;margin-top:13.65pt;height:69.5pt;width:135pt;mso-position-horizontal-relative:margin;z-index:251701248;mso-width-relative:page;mso-height-relative:page;" filled="f" stroked="f" coordsize="21600,21600" o:gfxdata="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zHPpzXAAAACwEAAA8AAAAAAAAAAQAgAAAAIgAAAGRycy9kb3ducmV2LnhtbFBLAQIU&#10;ABQAAAAIAIdO4kD1e3zwuwEAAHMDAAAOAAAAAAAAAAEAIAAAACYBAABkcnMvZTJvRG9jLnhtbFBL&#10;BQYAAAAABgAGAFkBAABTBQAAAAA=&#10;">
                <v:fill on="f" focussize="0,0"/>
                <v:stroke on="f"/>
                <v:imagedata o:title=""/>
                <o:lock v:ext="edit" aspectratio="f"/>
                <v:textbox>
                  <w:txbxContent>
                    <w:p w14:paraId="3EF61184">
                      <w:pPr>
                        <w:tabs>
                          <w:tab w:val="left" w:pos="7932"/>
                        </w:tabs>
                        <w:spacing w:line="256" w:lineRule="auto"/>
                        <w:jc w:val="center"/>
                        <w:rPr>
                          <w:rFonts w:ascii="Arial" w:hAnsi="Arial" w:cs="Arial"/>
                          <w:sz w:val="18"/>
                          <w:szCs w:val="18"/>
                        </w:rPr>
                      </w:pPr>
                      <w:r>
                        <w:rPr>
                          <w:rFonts w:ascii="Arial" w:hAnsi="Arial" w:cs="Arial"/>
                          <w:sz w:val="18"/>
                          <w:szCs w:val="18"/>
                        </w:rPr>
                        <w:t>Le DG de KYA-Energy GROUP a reçu le prix de la valorisation de la recherche et de l’innovation de TOGO TOP IMPACT 2022</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4864" behindDoc="0" locked="0" layoutInCell="1" allowOverlap="1">
                <wp:simplePos x="0" y="0"/>
                <wp:positionH relativeFrom="margin">
                  <wp:posOffset>2162810</wp:posOffset>
                </wp:positionH>
                <wp:positionV relativeFrom="paragraph">
                  <wp:posOffset>97790</wp:posOffset>
                </wp:positionV>
                <wp:extent cx="1845945" cy="640080"/>
                <wp:effectExtent l="0" t="0" r="0" b="0"/>
                <wp:wrapNone/>
                <wp:docPr id="2103392333" name="ZoneTexte 6"/>
                <wp:cNvGraphicFramePr/>
                <a:graphic xmlns:a="http://schemas.openxmlformats.org/drawingml/2006/main">
                  <a:graphicData uri="http://schemas.microsoft.com/office/word/2010/wordprocessingShape">
                    <wps:wsp>
                      <wps:cNvSpPr txBox="1"/>
                      <wps:spPr bwMode="auto">
                        <a:xfrm>
                          <a:off x="0" y="0"/>
                          <a:ext cx="1845945" cy="640080"/>
                        </a:xfrm>
                        <a:prstGeom prst="rect">
                          <a:avLst/>
                        </a:prstGeom>
                        <a:noFill/>
                      </wps:spPr>
                      <wps:txbx>
                        <w:txbxContent>
                          <w:p w14:paraId="18BA1BC1">
                            <w:pPr>
                              <w:tabs>
                                <w:tab w:val="left" w:pos="7932"/>
                              </w:tabs>
                              <w:spacing w:line="256" w:lineRule="auto"/>
                              <w:jc w:val="center"/>
                              <w:rPr>
                                <w:rFonts w:ascii="Arial" w:hAnsi="Arial" w:cs="Arial"/>
                                <w:sz w:val="18"/>
                                <w:szCs w:val="18"/>
                              </w:rPr>
                            </w:pPr>
                            <w:r>
                              <w:rPr>
                                <w:rFonts w:ascii="Arial" w:hAnsi="Arial" w:cs="Arial"/>
                                <w:sz w:val="18"/>
                                <w:szCs w:val="18"/>
                              </w:rPr>
                              <w:t>Le DG de KYA-Energy GROUP a été désigné meilleur artisan africain des énergies renouvelables en 2022 à Kigali.</w:t>
                            </w:r>
                          </w:p>
                        </w:txbxContent>
                      </wps:txbx>
                      <wps:bodyPr wrap="square" rtlCol="0">
                        <a:noAutofit/>
                      </wps:bodyPr>
                    </wps:wsp>
                  </a:graphicData>
                </a:graphic>
              </wp:anchor>
            </w:drawing>
          </mc:Choice>
          <mc:Fallback>
            <w:pict>
              <v:shape id="ZoneTexte 6" o:spid="_x0000_s1026" o:spt="202" type="#_x0000_t202" style="position:absolute;left:0pt;margin-left:170.3pt;margin-top:7.7pt;height:50.4pt;width:145.35pt;mso-position-horizontal-relative:margin;z-index:251684864;mso-width-relative:page;mso-height-relative:page;" filled="f" stroked="f" coordsize="21600,21600" o:gfxdata="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JfX4zXAAAACgEAAA8AAAAAAAAAAQAgAAAAIgAAAGRycy9kb3ducmV2LnhtbFBL&#10;AQIUABQAAAAIAIdO4kAxE4sQvgEAAHQDAAAOAAAAAAAAAAEAIAAAACYBAABkcnMvZTJvRG9jLnht&#10;bFBLBQYAAAAABgAGAFkBAABWBQAAAAA=&#10;">
                <v:fill on="f" focussize="0,0"/>
                <v:stroke on="f"/>
                <v:imagedata o:title=""/>
                <o:lock v:ext="edit" aspectratio="f"/>
                <v:textbox>
                  <w:txbxContent>
                    <w:p w14:paraId="18BA1BC1">
                      <w:pPr>
                        <w:tabs>
                          <w:tab w:val="left" w:pos="7932"/>
                        </w:tabs>
                        <w:spacing w:line="256" w:lineRule="auto"/>
                        <w:jc w:val="center"/>
                        <w:rPr>
                          <w:rFonts w:ascii="Arial" w:hAnsi="Arial" w:cs="Arial"/>
                          <w:sz w:val="18"/>
                          <w:szCs w:val="18"/>
                        </w:rPr>
                      </w:pPr>
                      <w:r>
                        <w:rPr>
                          <w:rFonts w:ascii="Arial" w:hAnsi="Arial" w:cs="Arial"/>
                          <w:sz w:val="18"/>
                          <w:szCs w:val="18"/>
                        </w:rPr>
                        <w:t>Le DG de KYA-Energy GROUP a été désigné meilleur artisan africain des énergies renouvelables en 2022 à Kigali.</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82816" behindDoc="0" locked="0" layoutInCell="1" allowOverlap="1">
                <wp:simplePos x="0" y="0"/>
                <wp:positionH relativeFrom="margin">
                  <wp:posOffset>-488315</wp:posOffset>
                </wp:positionH>
                <wp:positionV relativeFrom="paragraph">
                  <wp:posOffset>110490</wp:posOffset>
                </wp:positionV>
                <wp:extent cx="1737360" cy="693420"/>
                <wp:effectExtent l="0" t="0" r="0" b="0"/>
                <wp:wrapNone/>
                <wp:docPr id="581402219" name="ZoneTexte 6"/>
                <wp:cNvGraphicFramePr/>
                <a:graphic xmlns:a="http://schemas.openxmlformats.org/drawingml/2006/main">
                  <a:graphicData uri="http://schemas.microsoft.com/office/word/2010/wordprocessingShape">
                    <wps:wsp>
                      <wps:cNvSpPr txBox="1"/>
                      <wps:spPr bwMode="auto">
                        <a:xfrm>
                          <a:off x="0" y="0"/>
                          <a:ext cx="1737360" cy="693420"/>
                        </a:xfrm>
                        <a:prstGeom prst="rect">
                          <a:avLst/>
                        </a:prstGeom>
                        <a:noFill/>
                      </wps:spPr>
                      <wps:txbx>
                        <w:txbxContent>
                          <w:p w14:paraId="1DD03E2D">
                            <w:pPr>
                              <w:tabs>
                                <w:tab w:val="left" w:pos="7932"/>
                              </w:tabs>
                              <w:spacing w:line="256" w:lineRule="auto"/>
                              <w:jc w:val="center"/>
                              <w:rPr>
                                <w:rFonts w:ascii="Arial" w:hAnsi="Arial" w:cs="Arial"/>
                                <w:sz w:val="18"/>
                                <w:szCs w:val="18"/>
                              </w:rPr>
                            </w:pPr>
                            <w:r>
                              <w:rPr>
                                <w:rFonts w:ascii="Arial" w:hAnsi="Arial" w:cs="Arial"/>
                                <w:sz w:val="18"/>
                                <w:szCs w:val="18"/>
                              </w:rPr>
                              <w:t>KYA-Energy GROUP a été sélectionné parmi les 100 entreprises les plus dynamiques au Togo en 2022.</w:t>
                            </w:r>
                          </w:p>
                        </w:txbxContent>
                      </wps:txbx>
                      <wps:bodyPr wrap="square" rtlCol="0">
                        <a:noAutofit/>
                      </wps:bodyPr>
                    </wps:wsp>
                  </a:graphicData>
                </a:graphic>
              </wp:anchor>
            </w:drawing>
          </mc:Choice>
          <mc:Fallback>
            <w:pict>
              <v:shape id="ZoneTexte 6" o:spid="_x0000_s1026" o:spt="202" type="#_x0000_t202" style="position:absolute;left:0pt;margin-left:-38.45pt;margin-top:8.7pt;height:54.6pt;width:136.8pt;mso-position-horizontal-relative:margin;z-index:251682816;mso-width-relative:page;mso-height-relative:page;" filled="f" stroked="f" coordsize="21600,21600" o:gfxdata="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5/3NNYAAAAKAQAADwAAAAAAAAABACAAAAAiAAAAZHJzL2Rvd25yZXYueG1sUEsB&#10;AhQAFAAAAAgAh07iQGsHC5K+AQAAcwMAAA4AAAAAAAAAAQAgAAAAJQEAAGRycy9lMm9Eb2MueG1s&#10;UEsFBgAAAAAGAAYAWQEAAFUFAAAAAA==&#10;">
                <v:fill on="f" focussize="0,0"/>
                <v:stroke on="f"/>
                <v:imagedata o:title=""/>
                <o:lock v:ext="edit" aspectratio="f"/>
                <v:textbox>
                  <w:txbxContent>
                    <w:p w14:paraId="1DD03E2D">
                      <w:pPr>
                        <w:tabs>
                          <w:tab w:val="left" w:pos="7932"/>
                        </w:tabs>
                        <w:spacing w:line="256" w:lineRule="auto"/>
                        <w:jc w:val="center"/>
                        <w:rPr>
                          <w:rFonts w:ascii="Arial" w:hAnsi="Arial" w:cs="Arial"/>
                          <w:sz w:val="18"/>
                          <w:szCs w:val="18"/>
                        </w:rPr>
                      </w:pPr>
                      <w:r>
                        <w:rPr>
                          <w:rFonts w:ascii="Arial" w:hAnsi="Arial" w:cs="Arial"/>
                          <w:sz w:val="18"/>
                          <w:szCs w:val="18"/>
                        </w:rPr>
                        <w:t>KYA-Energy GROUP a été sélectionné parmi les 100 entreprises les plus dynamiques au Togo en 2022.</w:t>
                      </w:r>
                    </w:p>
                  </w:txbxContent>
                </v:textbox>
              </v:shape>
            </w:pict>
          </mc:Fallback>
        </mc:AlternateContent>
      </w:r>
    </w:p>
    <w:p w14:paraId="38531F6F">
      <w:pPr>
        <w:jc w:val="center"/>
        <w:rPr>
          <w:rFonts w:ascii="Times New Roman" w:hAnsi="Times New Roman" w:cs="Times New Roman"/>
          <w:sz w:val="24"/>
          <w:szCs w:val="24"/>
        </w:rPr>
      </w:pPr>
    </w:p>
    <w:p w14:paraId="67E9C707">
      <w:pPr>
        <w:jc w:val="center"/>
        <w:rPr>
          <w:rFonts w:ascii="Times New Roman" w:hAnsi="Times New Roman" w:cs="Times New Roman"/>
          <w:sz w:val="24"/>
          <w:szCs w:val="24"/>
        </w:rPr>
      </w:pPr>
    </w:p>
    <w:p w14:paraId="0E85525B">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705344" behindDoc="0" locked="0" layoutInCell="1" allowOverlap="1">
                <wp:simplePos x="0" y="0"/>
                <wp:positionH relativeFrom="column">
                  <wp:posOffset>4387850</wp:posOffset>
                </wp:positionH>
                <wp:positionV relativeFrom="paragraph">
                  <wp:posOffset>-29210</wp:posOffset>
                </wp:positionV>
                <wp:extent cx="1737360" cy="461645"/>
                <wp:effectExtent l="0" t="0" r="0" b="0"/>
                <wp:wrapNone/>
                <wp:docPr id="318442604" name="ZoneTexte 5"/>
                <wp:cNvGraphicFramePr/>
                <a:graphic xmlns:a="http://schemas.openxmlformats.org/drawingml/2006/main">
                  <a:graphicData uri="http://schemas.microsoft.com/office/word/2010/wordprocessingShape">
                    <wps:wsp>
                      <wps:cNvSpPr txBox="1"/>
                      <wps:spPr bwMode="auto">
                        <a:xfrm>
                          <a:off x="0" y="0"/>
                          <a:ext cx="1737360" cy="461645"/>
                        </a:xfrm>
                        <a:prstGeom prst="rect">
                          <a:avLst/>
                        </a:prstGeom>
                        <a:solidFill>
                          <a:schemeClr val="bg1"/>
                        </a:solidFill>
                      </wps:spPr>
                      <wps:txbx>
                        <w:txbxContent>
                          <w:p w14:paraId="3D883CF8">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 xml:space="preserve">Prix du Global entrepreneur awards </w:t>
                            </w:r>
                          </w:p>
                        </w:txbxContent>
                      </wps:txbx>
                      <wps:bodyPr wrap="square" rtlCol="0">
                        <a:spAutoFit/>
                      </wps:bodyPr>
                    </wps:wsp>
                  </a:graphicData>
                </a:graphic>
              </wp:anchor>
            </w:drawing>
          </mc:Choice>
          <mc:Fallback>
            <w:pict>
              <v:shape id="ZoneTexte 5" o:spid="_x0000_s1026" o:spt="202" type="#_x0000_t202" style="position:absolute;left:0pt;margin-left:345.5pt;margin-top:-2.3pt;height:36.35pt;width:136.8pt;z-index:251705344;mso-width-relative:page;mso-height-relative:page;" fillcolor="#FFFFFF [3212]" filled="t" stroked="f" coordsize="21600,21600" o:gfxdata="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BN1JNYAAAAJAQAADwAAAAAAAAABACAAAAAi&#10;AAAAZHJzL2Rvd25yZXYueG1sUEsBAhQAFAAAAAgAh07iQNvmEtnTAQAAnAMAAA4AAAAAAAAAAQAg&#10;AAAAJQEAAGRycy9lMm9Eb2MueG1sUEsFBgAAAAAGAAYAWQEAAGoFAAAAAA==&#10;">
                <v:fill on="t" focussize="0,0"/>
                <v:stroke on="f"/>
                <v:imagedata o:title=""/>
                <o:lock v:ext="edit" aspectratio="f"/>
                <v:textbox style="mso-fit-shape-to-text:t;">
                  <w:txbxContent>
                    <w:p w14:paraId="3D883CF8">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 xml:space="preserve">Prix du Global entrepreneur awards </w:t>
                      </w:r>
                    </w:p>
                  </w:txbxContent>
                </v:textbox>
              </v:shape>
            </w:pict>
          </mc:Fallback>
        </mc:AlternateContent>
      </w:r>
      <w:r>
        <w:rPr>
          <w:rFonts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margin">
                  <wp:posOffset>-625475</wp:posOffset>
                </wp:positionH>
                <wp:positionV relativeFrom="paragraph">
                  <wp:posOffset>12065</wp:posOffset>
                </wp:positionV>
                <wp:extent cx="2021840" cy="525780"/>
                <wp:effectExtent l="0" t="0" r="0" b="7620"/>
                <wp:wrapThrough wrapText="bothSides">
                  <wp:wrapPolygon>
                    <wp:start x="0" y="0"/>
                    <wp:lineTo x="0" y="21130"/>
                    <wp:lineTo x="21369" y="21130"/>
                    <wp:lineTo x="21369" y="0"/>
                    <wp:lineTo x="0" y="0"/>
                  </wp:wrapPolygon>
                </wp:wrapThrough>
                <wp:docPr id="20" name="ZoneTexte 19"/>
                <wp:cNvGraphicFramePr/>
                <a:graphic xmlns:a="http://schemas.openxmlformats.org/drawingml/2006/main">
                  <a:graphicData uri="http://schemas.microsoft.com/office/word/2010/wordprocessingShape">
                    <wps:wsp>
                      <wps:cNvSpPr txBox="1"/>
                      <wps:spPr bwMode="auto">
                        <a:xfrm>
                          <a:off x="0" y="0"/>
                          <a:ext cx="2021840" cy="525780"/>
                        </a:xfrm>
                        <a:prstGeom prst="rect">
                          <a:avLst/>
                        </a:prstGeom>
                        <a:solidFill>
                          <a:schemeClr val="bg1"/>
                        </a:solidFill>
                      </wps:spPr>
                      <wps:txbx>
                        <w:txbxContent>
                          <w:p w14:paraId="116FB13B">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Grand Prix Général Mathieu Kérékou en 2023</w:t>
                            </w:r>
                          </w:p>
                        </w:txbxContent>
                      </wps:txbx>
                      <wps:bodyPr wrap="square" rtlCol="0">
                        <a:noAutofit/>
                      </wps:bodyPr>
                    </wps:wsp>
                  </a:graphicData>
                </a:graphic>
              </wp:anchor>
            </w:drawing>
          </mc:Choice>
          <mc:Fallback>
            <w:pict>
              <v:shape id="ZoneTexte 19" o:spid="_x0000_s1026" o:spt="202" type="#_x0000_t202" style="position:absolute;left:0pt;margin-left:-49.25pt;margin-top:0.95pt;height:41.4pt;width:159.2pt;mso-position-horizontal-relative:margin;mso-wrap-distance-left:9pt;mso-wrap-distance-right:9pt;z-index:251673600;mso-width-relative:page;mso-height-relative:page;" fillcolor="#FFFFFF [3212]" filled="t" stroked="f" coordsize="21600,21600" wrapcoords="0 0 0 21130 21369 21130 21369 0 0 0" o:gfxdata="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3rYcXdYAAAAIAQAADwAAAAAAAAABACAAAAAiAAAAZHJz&#10;L2Rvd25yZXYueG1sUEsBAhQAFAAAAAgAh07iQPGzLY7NAQAAlgMAAA4AAAAAAAAAAQAgAAAAJQEA&#10;AGRycy9lMm9Eb2MueG1sUEsFBgAAAAAGAAYAWQEAAGQFAAAAAA==&#10;">
                <v:fill on="t" focussize="0,0"/>
                <v:stroke on="f"/>
                <v:imagedata o:title=""/>
                <o:lock v:ext="edit" aspectratio="f"/>
                <v:textbox>
                  <w:txbxContent>
                    <w:p w14:paraId="116FB13B">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Grand Prix Général Mathieu Kérékou en 2023</w:t>
                      </w:r>
                    </w:p>
                  </w:txbxContent>
                </v:textbox>
                <w10:wrap type="through"/>
              </v:shape>
            </w:pict>
          </mc:Fallback>
        </mc:AlternateContent>
      </w:r>
      <w:r>
        <w:rPr>
          <w:rFonts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76672" behindDoc="0" locked="0" layoutInCell="1" allowOverlap="1">
                <wp:simplePos x="0" y="0"/>
                <wp:positionH relativeFrom="column">
                  <wp:posOffset>2154555</wp:posOffset>
                </wp:positionH>
                <wp:positionV relativeFrom="paragraph">
                  <wp:posOffset>-5080</wp:posOffset>
                </wp:positionV>
                <wp:extent cx="1737360" cy="461645"/>
                <wp:effectExtent l="0" t="0" r="0" b="0"/>
                <wp:wrapNone/>
                <wp:docPr id="6" name="ZoneTexte 5"/>
                <wp:cNvGraphicFramePr/>
                <a:graphic xmlns:a="http://schemas.openxmlformats.org/drawingml/2006/main">
                  <a:graphicData uri="http://schemas.microsoft.com/office/word/2010/wordprocessingShape">
                    <wps:wsp>
                      <wps:cNvSpPr txBox="1"/>
                      <wps:spPr bwMode="auto">
                        <a:xfrm>
                          <a:off x="0" y="0"/>
                          <a:ext cx="1737360" cy="461645"/>
                        </a:xfrm>
                        <a:prstGeom prst="rect">
                          <a:avLst/>
                        </a:prstGeom>
                        <a:solidFill>
                          <a:schemeClr val="bg1"/>
                        </a:solidFill>
                      </wps:spPr>
                      <wps:txbx>
                        <w:txbxContent>
                          <w:p w14:paraId="5C6A59F5">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des bâtisseurs de l’économie africaine en 2023</w:t>
                            </w:r>
                          </w:p>
                        </w:txbxContent>
                      </wps:txbx>
                      <wps:bodyPr wrap="square" rtlCol="0">
                        <a:spAutoFit/>
                      </wps:bodyPr>
                    </wps:wsp>
                  </a:graphicData>
                </a:graphic>
              </wp:anchor>
            </w:drawing>
          </mc:Choice>
          <mc:Fallback>
            <w:pict>
              <v:shape id="ZoneTexte 5" o:spid="_x0000_s1026" o:spt="202" type="#_x0000_t202" style="position:absolute;left:0pt;margin-left:169.65pt;margin-top:-0.4pt;height:36.35pt;width:136.8pt;z-index:251676672;mso-width-relative:page;mso-height-relative:page;" fillcolor="#FFFFFF [3212]" filled="t" stroked="f" coordsize="21600,21600" o:gfxdata="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10yJ7WAAAACAEAAA8AAAAAAAAAAQAgAAAAIgAAAGRycy9k&#10;b3ducmV2LnhtbFBLAQIUABQAAAAIAIdO4kDc1B98ywEAAJQDAAAOAAAAAAAAAAEAIAAAACUBAABk&#10;cnMvZTJvRG9jLnhtbFBLBQYAAAAABgAGAFkBAABiBQAAAAA=&#10;">
                <v:fill on="t" focussize="0,0"/>
                <v:stroke on="f"/>
                <v:imagedata o:title=""/>
                <o:lock v:ext="edit" aspectratio="f"/>
                <v:textbox style="mso-fit-shape-to-text:t;">
                  <w:txbxContent>
                    <w:p w14:paraId="5C6A59F5">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des bâtisseurs de l’économie africaine en 2023</w:t>
                      </w:r>
                    </w:p>
                  </w:txbxContent>
                </v:textbox>
              </v:shape>
            </w:pict>
          </mc:Fallback>
        </mc:AlternateContent>
      </w:r>
    </w:p>
    <w:p w14:paraId="2BB5155F">
      <w:pPr>
        <w:jc w:val="center"/>
        <w:rPr>
          <w:rFonts w:ascii="Times New Roman" w:hAnsi="Times New Roman" w:cs="Times New Roman"/>
          <w:sz w:val="24"/>
          <w:szCs w:val="24"/>
        </w:rPr>
      </w:pPr>
    </w:p>
    <w:p w14:paraId="5D01ACB6">
      <w:pPr>
        <w:jc w:val="center"/>
        <w:rPr>
          <w:rFonts w:ascii="Times New Roman" w:hAnsi="Times New Roman" w:cs="Times New Roman"/>
          <w:sz w:val="24"/>
          <w:szCs w:val="24"/>
        </w:rPr>
      </w:pPr>
      <w:r>
        <w:rPr>
          <w:rFonts w:ascii="Times New Roman" w:hAnsi="Times New Roman" w:cs="Times New Roman"/>
        </w:rPr>
        <w:drawing>
          <wp:anchor distT="0" distB="0" distL="114300" distR="114300" simplePos="0" relativeHeight="251680768" behindDoc="1" locked="0" layoutInCell="1" allowOverlap="1">
            <wp:simplePos x="0" y="0"/>
            <wp:positionH relativeFrom="column">
              <wp:posOffset>-733425</wp:posOffset>
            </wp:positionH>
            <wp:positionV relativeFrom="paragraph">
              <wp:posOffset>238125</wp:posOffset>
            </wp:positionV>
            <wp:extent cx="2329815" cy="1456055"/>
            <wp:effectExtent l="0" t="0" r="0" b="0"/>
            <wp:wrapNone/>
            <wp:docPr id="655078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78622" name="Image 1"/>
                    <pic:cNvPicPr>
                      <a:picLocks noChangeAspect="1" noChangeArrowheads="1"/>
                    </pic:cNvPicPr>
                  </pic:nvPicPr>
                  <pic:blipFill>
                    <a:blip r:embed="rId25" cstate="print">
                      <a:extLst>
                        <a:ext uri="{28A0092B-C50C-407E-A947-70E740481C1C}">
                          <a14:useLocalDpi xmlns:a14="http://schemas.microsoft.com/office/drawing/2010/main" val="0"/>
                        </a:ext>
                      </a:extLst>
                    </a:blip>
                    <a:srcRect l="5017" t="17385" r="6689" b="9063"/>
                    <a:stretch>
                      <a:fillRect/>
                    </a:stretch>
                  </pic:blipFill>
                  <pic:spPr>
                    <a:xfrm>
                      <a:off x="0" y="0"/>
                      <a:ext cx="2329613" cy="1456008"/>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95104" behindDoc="1" locked="0" layoutInCell="1" allowOverlap="1">
            <wp:simplePos x="0" y="0"/>
            <wp:positionH relativeFrom="column">
              <wp:posOffset>2774315</wp:posOffset>
            </wp:positionH>
            <wp:positionV relativeFrom="paragraph">
              <wp:posOffset>196850</wp:posOffset>
            </wp:positionV>
            <wp:extent cx="528320" cy="1575435"/>
            <wp:effectExtent l="190500" t="190500" r="195580" b="196215"/>
            <wp:wrapTight wrapText="bothSides">
              <wp:wrapPolygon>
                <wp:start x="1558" y="-2612"/>
                <wp:lineTo x="-7788" y="-2089"/>
                <wp:lineTo x="-7788" y="20895"/>
                <wp:lineTo x="-3894" y="22984"/>
                <wp:lineTo x="1558" y="24029"/>
                <wp:lineTo x="19471" y="24029"/>
                <wp:lineTo x="24923" y="22984"/>
                <wp:lineTo x="28817" y="19067"/>
                <wp:lineTo x="28038" y="1828"/>
                <wp:lineTo x="19471" y="-2089"/>
                <wp:lineTo x="18692" y="-2612"/>
                <wp:lineTo x="1558" y="-2612"/>
              </wp:wrapPolygon>
            </wp:wrapTight>
            <wp:docPr id="78102022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0225" name="Image 8"/>
                    <pic:cNvPicPr>
                      <a:picLocks noChangeAspect="1" noChangeArrowheads="1"/>
                    </pic:cNvPicPr>
                  </pic:nvPicPr>
                  <pic:blipFill>
                    <a:blip r:embed="rId26" cstate="print">
                      <a:extLst>
                        <a:ext uri="{28A0092B-C50C-407E-A947-70E740481C1C}">
                          <a14:useLocalDpi xmlns:a14="http://schemas.microsoft.com/office/drawing/2010/main" val="0"/>
                        </a:ext>
                      </a:extLst>
                    </a:blip>
                    <a:srcRect l="36111" t="10429" r="29266" b="4252"/>
                    <a:stretch>
                      <a:fillRect/>
                    </a:stretch>
                  </pic:blipFill>
                  <pic:spPr>
                    <a:xfrm>
                      <a:off x="0" y="0"/>
                      <a:ext cx="528320" cy="1575435"/>
                    </a:xfrm>
                    <a:prstGeom prst="rect">
                      <a:avLst/>
                    </a:prstGeom>
                    <a:ln>
                      <a:noFill/>
                    </a:ln>
                    <a:effectLst>
                      <a:outerShdw blurRad="190500" algn="tl" rotWithShape="0">
                        <a:srgbClr val="000000">
                          <a:alpha val="70000"/>
                        </a:srgbClr>
                      </a:outerShdw>
                    </a:effectLst>
                  </pic:spPr>
                </pic:pic>
              </a:graphicData>
            </a:graphic>
          </wp:anchor>
        </w:drawing>
      </w:r>
      <w:r>
        <w:rPr>
          <w:rFonts w:ascii="Times New Roman" w:hAnsi="Times New Roman" w:cs="Times New Roman"/>
        </w:rPr>
        <w:drawing>
          <wp:anchor distT="0" distB="0" distL="114300" distR="114300" simplePos="0" relativeHeight="251678720" behindDoc="1" locked="0" layoutInCell="1" allowOverlap="1">
            <wp:simplePos x="0" y="0"/>
            <wp:positionH relativeFrom="margin">
              <wp:posOffset>4517390</wp:posOffset>
            </wp:positionH>
            <wp:positionV relativeFrom="paragraph">
              <wp:posOffset>6350</wp:posOffset>
            </wp:positionV>
            <wp:extent cx="1492250" cy="1990090"/>
            <wp:effectExtent l="0" t="0" r="0" b="0"/>
            <wp:wrapNone/>
            <wp:docPr id="7978739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73983" name="Imag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492345" cy="1989935"/>
                    </a:xfrm>
                    <a:prstGeom prst="rect">
                      <a:avLst/>
                    </a:prstGeom>
                    <a:noFill/>
                    <a:ln>
                      <a:noFill/>
                    </a:ln>
                  </pic:spPr>
                </pic:pic>
              </a:graphicData>
            </a:graphic>
          </wp:anchor>
        </w:drawing>
      </w:r>
    </w:p>
    <w:p w14:paraId="244B9BBC">
      <w:pPr>
        <w:jc w:val="center"/>
        <w:rPr>
          <w:rFonts w:ascii="Times New Roman" w:hAnsi="Times New Roman" w:cs="Times New Roman"/>
          <w:sz w:val="24"/>
          <w:szCs w:val="24"/>
        </w:rPr>
      </w:pPr>
    </w:p>
    <w:p w14:paraId="03A23811">
      <w:pPr>
        <w:tabs>
          <w:tab w:val="left" w:pos="2961"/>
        </w:tabs>
        <w:rPr>
          <w:rFonts w:ascii="Times New Roman" w:hAnsi="Times New Roman" w:cs="Times New Roman"/>
          <w:sz w:val="24"/>
          <w:szCs w:val="24"/>
        </w:rPr>
      </w:pPr>
      <w:r>
        <w:rPr>
          <w:rFonts w:ascii="Times New Roman" w:hAnsi="Times New Roman" w:cs="Times New Roman"/>
          <w:sz w:val="24"/>
          <w:szCs w:val="24"/>
        </w:rPr>
        <w:tab/>
      </w:r>
    </w:p>
    <w:p w14:paraId="014DA392">
      <w:pPr>
        <w:jc w:val="center"/>
        <w:rPr>
          <w:rFonts w:ascii="Times New Roman" w:hAnsi="Times New Roman" w:cs="Times New Roman"/>
          <w:sz w:val="24"/>
          <w:szCs w:val="24"/>
        </w:rPr>
      </w:pPr>
    </w:p>
    <w:p w14:paraId="1A88BEC8">
      <w:pPr>
        <w:jc w:val="center"/>
        <w:rPr>
          <w:rFonts w:ascii="Times New Roman" w:hAnsi="Times New Roman" w:cs="Times New Roman"/>
          <w:sz w:val="24"/>
          <w:szCs w:val="24"/>
        </w:rPr>
      </w:pPr>
    </w:p>
    <w:p w14:paraId="0B0BAE9D">
      <w:pPr>
        <w:jc w:val="center"/>
        <w:rPr>
          <w:rFonts w:ascii="Times New Roman" w:hAnsi="Times New Roman" w:cs="Times New Roman"/>
          <w:sz w:val="24"/>
          <w:szCs w:val="24"/>
        </w:rPr>
      </w:pPr>
    </w:p>
    <w:p w14:paraId="5A36859A">
      <w:pPr>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2576" behindDoc="0" locked="0" layoutInCell="1" allowOverlap="1">
                <wp:simplePos x="0" y="0"/>
                <wp:positionH relativeFrom="margin">
                  <wp:posOffset>-621030</wp:posOffset>
                </wp:positionH>
                <wp:positionV relativeFrom="paragraph">
                  <wp:posOffset>179705</wp:posOffset>
                </wp:positionV>
                <wp:extent cx="2450465" cy="950595"/>
                <wp:effectExtent l="0" t="0" r="0" b="0"/>
                <wp:wrapNone/>
                <wp:docPr id="7" name="ZoneTexte 6"/>
                <wp:cNvGraphicFramePr/>
                <a:graphic xmlns:a="http://schemas.openxmlformats.org/drawingml/2006/main">
                  <a:graphicData uri="http://schemas.microsoft.com/office/word/2010/wordprocessingShape">
                    <wps:wsp>
                      <wps:cNvSpPr txBox="1"/>
                      <wps:spPr bwMode="auto">
                        <a:xfrm>
                          <a:off x="0" y="0"/>
                          <a:ext cx="2450465" cy="950595"/>
                        </a:xfrm>
                        <a:prstGeom prst="rect">
                          <a:avLst/>
                        </a:prstGeom>
                        <a:noFill/>
                      </wps:spPr>
                      <wps:txbx>
                        <w:txbxContent>
                          <w:p w14:paraId="553B992E">
                            <w:pPr>
                              <w:tabs>
                                <w:tab w:val="left" w:pos="7932"/>
                              </w:tabs>
                              <w:spacing w:line="256" w:lineRule="auto"/>
                              <w:jc w:val="center"/>
                              <w:rPr>
                                <w:rFonts w:ascii="Arial" w:hAnsi="Arial" w:cs="Arial"/>
                                <w:sz w:val="18"/>
                                <w:szCs w:val="18"/>
                              </w:rPr>
                            </w:pPr>
                            <w:r>
                              <w:rPr>
                                <w:rFonts w:ascii="Arial" w:hAnsi="Arial" w:cs="Arial"/>
                                <w:sz w:val="18"/>
                                <w:szCs w:val="18"/>
                              </w:rPr>
                              <w:t xml:space="preserve">Le DG de </w:t>
                            </w:r>
                            <w:r>
                              <w:rPr>
                                <w:rFonts w:ascii="Arial" w:hAnsi="Arial" w:cs="Arial"/>
                                <w:b/>
                                <w:bCs/>
                                <w:sz w:val="18"/>
                                <w:szCs w:val="18"/>
                              </w:rPr>
                              <w:t>KYA-Energy Group</w:t>
                            </w:r>
                            <w:r>
                              <w:rPr>
                                <w:rFonts w:ascii="Arial" w:hAnsi="Arial" w:cs="Arial"/>
                                <w:sz w:val="18"/>
                                <w:szCs w:val="18"/>
                              </w:rPr>
                              <w:t xml:space="preserve">, a reçu de la part de l’ONG </w:t>
                            </w:r>
                            <w:r>
                              <w:rPr>
                                <w:rFonts w:ascii="Arial" w:hAnsi="Arial" w:cs="Arial"/>
                                <w:b/>
                                <w:bCs/>
                                <w:sz w:val="18"/>
                                <w:szCs w:val="18"/>
                              </w:rPr>
                              <w:t>ETOILE D’AFRIK</w:t>
                            </w:r>
                            <w:r>
                              <w:rPr>
                                <w:rFonts w:ascii="Arial" w:hAnsi="Arial" w:cs="Arial"/>
                                <w:sz w:val="18"/>
                                <w:szCs w:val="18"/>
                              </w:rPr>
                              <w:t xml:space="preserve"> le Grand Prix Général Mathieu KÉRÉKOU de Meilleur Acteur de développement eu égard à son amour du travail bien fait et à ses actions qui concourent au développement</w:t>
                            </w:r>
                          </w:p>
                        </w:txbxContent>
                      </wps:txbx>
                      <wps:bodyPr wrap="square" rtlCol="0">
                        <a:noAutofit/>
                      </wps:bodyPr>
                    </wps:wsp>
                  </a:graphicData>
                </a:graphic>
              </wp:anchor>
            </w:drawing>
          </mc:Choice>
          <mc:Fallback>
            <w:pict>
              <v:shape id="ZoneTexte 6" o:spid="_x0000_s1026" o:spt="202" type="#_x0000_t202" style="position:absolute;left:0pt;margin-left:-48.9pt;margin-top:14.15pt;height:74.85pt;width:192.95pt;mso-position-horizontal-relative:margin;z-index:251672576;mso-width-relative:page;mso-height-relative:page;" filled="f" stroked="f" coordsize="21600,21600" o:gfxdata="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DI749gAAAAKAQAADwAAAAAAAAABACAAAAAiAAAAZHJzL2Rvd25yZXYueG1sUEsBAhQAFAAA&#10;AAgAh07iQKLrlAW2AQAAawMAAA4AAAAAAAAAAQAgAAAAJwEAAGRycy9lMm9Eb2MueG1sUEsFBgAA&#10;AAAGAAYAWQEAAE8FAAAAAA==&#10;">
                <v:fill on="f" focussize="0,0"/>
                <v:stroke on="f"/>
                <v:imagedata o:title=""/>
                <o:lock v:ext="edit" aspectratio="f"/>
                <v:textbox>
                  <w:txbxContent>
                    <w:p w14:paraId="553B992E">
                      <w:pPr>
                        <w:tabs>
                          <w:tab w:val="left" w:pos="7932"/>
                        </w:tabs>
                        <w:spacing w:line="256" w:lineRule="auto"/>
                        <w:jc w:val="center"/>
                        <w:rPr>
                          <w:rFonts w:ascii="Arial" w:hAnsi="Arial" w:cs="Arial"/>
                          <w:sz w:val="18"/>
                          <w:szCs w:val="18"/>
                        </w:rPr>
                      </w:pPr>
                      <w:r>
                        <w:rPr>
                          <w:rFonts w:ascii="Arial" w:hAnsi="Arial" w:cs="Arial"/>
                          <w:sz w:val="18"/>
                          <w:szCs w:val="18"/>
                        </w:rPr>
                        <w:t xml:space="preserve">Le DG de </w:t>
                      </w:r>
                      <w:r>
                        <w:rPr>
                          <w:rFonts w:ascii="Arial" w:hAnsi="Arial" w:cs="Arial"/>
                          <w:b/>
                          <w:bCs/>
                          <w:sz w:val="18"/>
                          <w:szCs w:val="18"/>
                        </w:rPr>
                        <w:t>KYA-Energy Group</w:t>
                      </w:r>
                      <w:r>
                        <w:rPr>
                          <w:rFonts w:ascii="Arial" w:hAnsi="Arial" w:cs="Arial"/>
                          <w:sz w:val="18"/>
                          <w:szCs w:val="18"/>
                        </w:rPr>
                        <w:t xml:space="preserve">, a reçu de la part de l’ONG </w:t>
                      </w:r>
                      <w:r>
                        <w:rPr>
                          <w:rFonts w:ascii="Arial" w:hAnsi="Arial" w:cs="Arial"/>
                          <w:b/>
                          <w:bCs/>
                          <w:sz w:val="18"/>
                          <w:szCs w:val="18"/>
                        </w:rPr>
                        <w:t>ETOILE D’AFRIK</w:t>
                      </w:r>
                      <w:r>
                        <w:rPr>
                          <w:rFonts w:ascii="Arial" w:hAnsi="Arial" w:cs="Arial"/>
                          <w:sz w:val="18"/>
                          <w:szCs w:val="18"/>
                        </w:rPr>
                        <w:t xml:space="preserve"> le Grand Prix Général Mathieu KÉRÉKOU de Meilleur Acteur de développement eu égard à son amour du travail bien fait et à ses actions qui concourent au développement</w:t>
                      </w:r>
                    </w:p>
                  </w:txbxContent>
                </v:textbox>
              </v:shape>
            </w:pict>
          </mc:Fallback>
        </mc:AlternateContent>
      </w:r>
    </w:p>
    <w:p w14:paraId="78B04EDA">
      <w:pPr>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706368" behindDoc="0" locked="0" layoutInCell="1" allowOverlap="1">
                <wp:simplePos x="0" y="0"/>
                <wp:positionH relativeFrom="column">
                  <wp:posOffset>4292600</wp:posOffset>
                </wp:positionH>
                <wp:positionV relativeFrom="paragraph">
                  <wp:posOffset>51435</wp:posOffset>
                </wp:positionV>
                <wp:extent cx="1977390" cy="831215"/>
                <wp:effectExtent l="0" t="0" r="0" b="0"/>
                <wp:wrapNone/>
                <wp:docPr id="448778182" name="ZoneTexte 15"/>
                <wp:cNvGraphicFramePr/>
                <a:graphic xmlns:a="http://schemas.openxmlformats.org/drawingml/2006/main">
                  <a:graphicData uri="http://schemas.microsoft.com/office/word/2010/wordprocessingShape">
                    <wps:wsp>
                      <wps:cNvSpPr txBox="1"/>
                      <wps:spPr bwMode="auto">
                        <a:xfrm>
                          <a:off x="0" y="0"/>
                          <a:ext cx="1977390" cy="830997"/>
                        </a:xfrm>
                        <a:prstGeom prst="rect">
                          <a:avLst/>
                        </a:prstGeom>
                        <a:noFill/>
                      </wps:spPr>
                      <wps:txbx>
                        <w:txbxContent>
                          <w:p w14:paraId="71172757">
                            <w:pPr>
                              <w:kinsoku w:val="0"/>
                              <w:overflowPunct w:val="0"/>
                              <w:jc w:val="center"/>
                              <w:textAlignment w:val="baseline"/>
                              <w:rPr>
                                <w:rFonts w:ascii="Arial" w:hAnsi="Arial" w:cs="Arial"/>
                                <w:kern w:val="24"/>
                                <w:sz w:val="18"/>
                                <w:szCs w:val="18"/>
                              </w:rPr>
                            </w:pPr>
                            <w:r>
                              <w:rPr>
                                <w:rFonts w:ascii="Arial" w:hAnsi="Arial" w:cs="Arial"/>
                                <w:sz w:val="18"/>
                                <w:szCs w:val="18"/>
                              </w:rPr>
                              <w:t xml:space="preserve">Le DG de </w:t>
                            </w:r>
                            <w:r>
                              <w:rPr>
                                <w:rFonts w:ascii="Arial" w:hAnsi="Arial" w:cs="Arial"/>
                                <w:b/>
                                <w:bCs/>
                                <w:sz w:val="18"/>
                                <w:szCs w:val="18"/>
                              </w:rPr>
                              <w:t>KYA-Energy Group</w:t>
                            </w:r>
                            <w:r>
                              <w:rPr>
                                <w:rFonts w:ascii="Arial" w:hAnsi="Arial" w:cs="Arial"/>
                                <w:kern w:val="24"/>
                                <w:sz w:val="18"/>
                                <w:szCs w:val="18"/>
                              </w:rPr>
                              <w:t xml:space="preserve"> a été nominé au global entrepreneur awards. </w:t>
                            </w:r>
                          </w:p>
                        </w:txbxContent>
                      </wps:txbx>
                      <wps:bodyPr wrap="square" rtlCol="0">
                        <a:spAutoFit/>
                      </wps:bodyPr>
                    </wps:wsp>
                  </a:graphicData>
                </a:graphic>
              </wp:anchor>
            </w:drawing>
          </mc:Choice>
          <mc:Fallback>
            <w:pict>
              <v:shape id="ZoneTexte 15" o:spid="_x0000_s1026" o:spt="202" type="#_x0000_t202" style="position:absolute;left:0pt;margin-left:338pt;margin-top:4.05pt;height:65.45pt;width:155.7pt;z-index:251706368;mso-width-relative:page;mso-height-relative:page;" filled="f" stroked="f" coordsize="21600,21600" o:gfxdata="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GNVfbXAAAACQEAAA8AAAAAAAAAAQAgAAAAIgAAAGRycy9kb3ducmV2LnhtbFBL&#10;AQIUABQAAAAIAIdO4kBD3AnUvgEAAHQDAAAOAAAAAAAAAAEAIAAAACYBAABkcnMvZTJvRG9jLnht&#10;bFBLBQYAAAAABgAGAFkBAABWBQAAAAA=&#10;">
                <v:fill on="f" focussize="0,0"/>
                <v:stroke on="f"/>
                <v:imagedata o:title=""/>
                <o:lock v:ext="edit" aspectratio="f"/>
                <v:textbox style="mso-fit-shape-to-text:t;">
                  <w:txbxContent>
                    <w:p w14:paraId="71172757">
                      <w:pPr>
                        <w:kinsoku w:val="0"/>
                        <w:overflowPunct w:val="0"/>
                        <w:jc w:val="center"/>
                        <w:textAlignment w:val="baseline"/>
                        <w:rPr>
                          <w:rFonts w:ascii="Arial" w:hAnsi="Arial" w:cs="Arial"/>
                          <w:kern w:val="24"/>
                          <w:sz w:val="18"/>
                          <w:szCs w:val="18"/>
                        </w:rPr>
                      </w:pPr>
                      <w:r>
                        <w:rPr>
                          <w:rFonts w:ascii="Arial" w:hAnsi="Arial" w:cs="Arial"/>
                          <w:sz w:val="18"/>
                          <w:szCs w:val="18"/>
                        </w:rPr>
                        <w:t xml:space="preserve">Le DG de </w:t>
                      </w:r>
                      <w:r>
                        <w:rPr>
                          <w:rFonts w:ascii="Arial" w:hAnsi="Arial" w:cs="Arial"/>
                          <w:b/>
                          <w:bCs/>
                          <w:sz w:val="18"/>
                          <w:szCs w:val="18"/>
                        </w:rPr>
                        <w:t>KYA-Energy Group</w:t>
                      </w:r>
                      <w:r>
                        <w:rPr>
                          <w:rFonts w:ascii="Arial" w:hAnsi="Arial" w:cs="Arial"/>
                          <w:kern w:val="24"/>
                          <w:sz w:val="18"/>
                          <w:szCs w:val="18"/>
                        </w:rPr>
                        <w:t xml:space="preserve"> a été nominé au global entrepreneur awards. </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5648" behindDoc="0" locked="0" layoutInCell="1" allowOverlap="1">
                <wp:simplePos x="0" y="0"/>
                <wp:positionH relativeFrom="column">
                  <wp:posOffset>2072640</wp:posOffset>
                </wp:positionH>
                <wp:positionV relativeFrom="paragraph">
                  <wp:posOffset>38735</wp:posOffset>
                </wp:positionV>
                <wp:extent cx="1977390" cy="831215"/>
                <wp:effectExtent l="0" t="0" r="0" b="0"/>
                <wp:wrapNone/>
                <wp:docPr id="16" name="ZoneTexte 15"/>
                <wp:cNvGraphicFramePr/>
                <a:graphic xmlns:a="http://schemas.openxmlformats.org/drawingml/2006/main">
                  <a:graphicData uri="http://schemas.microsoft.com/office/word/2010/wordprocessingShape">
                    <wps:wsp>
                      <wps:cNvSpPr txBox="1"/>
                      <wps:spPr bwMode="auto">
                        <a:xfrm>
                          <a:off x="0" y="0"/>
                          <a:ext cx="1977390" cy="830997"/>
                        </a:xfrm>
                        <a:prstGeom prst="rect">
                          <a:avLst/>
                        </a:prstGeom>
                        <a:noFill/>
                      </wps:spPr>
                      <wps:txbx>
                        <w:txbxContent>
                          <w:p w14:paraId="4DDB7057">
                            <w:pPr>
                              <w:kinsoku w:val="0"/>
                              <w:overflowPunct w:val="0"/>
                              <w:jc w:val="center"/>
                              <w:textAlignment w:val="baseline"/>
                              <w:rPr>
                                <w:rFonts w:ascii="Arial" w:hAnsi="Arial" w:cs="Arial"/>
                                <w:kern w:val="24"/>
                                <w:sz w:val="18"/>
                                <w:szCs w:val="18"/>
                              </w:rPr>
                            </w:pPr>
                            <w:r>
                              <w:rPr>
                                <w:rFonts w:ascii="Arial" w:hAnsi="Arial" w:cs="Arial"/>
                                <w:kern w:val="24"/>
                                <w:sz w:val="18"/>
                                <w:szCs w:val="18"/>
                              </w:rPr>
                              <w:t xml:space="preserve">Pour sa réussite entrepreneuriale et la contribution de KYA-Energy Group à l’essor économique du Togo et de l’Afrique. </w:t>
                            </w:r>
                          </w:p>
                        </w:txbxContent>
                      </wps:txbx>
                      <wps:bodyPr wrap="square" rtlCol="0">
                        <a:spAutoFit/>
                      </wps:bodyPr>
                    </wps:wsp>
                  </a:graphicData>
                </a:graphic>
              </wp:anchor>
            </w:drawing>
          </mc:Choice>
          <mc:Fallback>
            <w:pict>
              <v:shape id="ZoneTexte 15" o:spid="_x0000_s1026" o:spt="202" type="#_x0000_t202" style="position:absolute;left:0pt;margin-left:163.2pt;margin-top:3.05pt;height:65.45pt;width:155.7pt;z-index:251675648;mso-width-relative:page;mso-height-relative:page;" filled="f" stroked="f" coordsize="21600,21600" o:gfxdata="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vXpD9YAAAAJAQAADwAAAAAAAAABACAAAAAiAAAAZHJzL2Rvd25yZXYueG1sUEsBAhQAFAAA&#10;AAgAh07iQDsxRoy4AQAAbQMAAA4AAAAAAAAAAQAgAAAAJQEAAGRycy9lMm9Eb2MueG1sUEsFBgAA&#10;AAAGAAYAWQEAAE8FAAAAAA==&#10;">
                <v:fill on="f" focussize="0,0"/>
                <v:stroke on="f"/>
                <v:imagedata o:title=""/>
                <o:lock v:ext="edit" aspectratio="f"/>
                <v:textbox style="mso-fit-shape-to-text:t;">
                  <w:txbxContent>
                    <w:p w14:paraId="4DDB7057">
                      <w:pPr>
                        <w:kinsoku w:val="0"/>
                        <w:overflowPunct w:val="0"/>
                        <w:jc w:val="center"/>
                        <w:textAlignment w:val="baseline"/>
                        <w:rPr>
                          <w:rFonts w:ascii="Arial" w:hAnsi="Arial" w:cs="Arial"/>
                          <w:kern w:val="24"/>
                          <w:sz w:val="18"/>
                          <w:szCs w:val="18"/>
                        </w:rPr>
                      </w:pPr>
                      <w:r>
                        <w:rPr>
                          <w:rFonts w:ascii="Arial" w:hAnsi="Arial" w:cs="Arial"/>
                          <w:kern w:val="24"/>
                          <w:sz w:val="18"/>
                          <w:szCs w:val="18"/>
                        </w:rPr>
                        <w:t xml:space="preserve">Pour sa réussite entrepreneuriale et la contribution de KYA-Energy Group à l’essor économique du Togo et de l’Afrique. </w:t>
                      </w:r>
                    </w:p>
                  </w:txbxContent>
                </v:textbox>
              </v:shape>
            </w:pict>
          </mc:Fallback>
        </mc:AlternateContent>
      </w:r>
    </w:p>
    <w:p w14:paraId="1ECE0AEA">
      <w:pPr>
        <w:rPr>
          <w:rFonts w:ascii="Times New Roman" w:hAnsi="Times New Roman" w:cs="Times New Roman"/>
          <w:sz w:val="24"/>
          <w:szCs w:val="24"/>
        </w:rPr>
      </w:pPr>
    </w:p>
    <w:p w14:paraId="61858773">
      <w:pPr>
        <w:jc w:val="center"/>
        <w:rPr>
          <w:rFonts w:ascii="Times New Roman" w:hAnsi="Times New Roman" w:cs="Times New Roman"/>
          <w:sz w:val="24"/>
          <w:szCs w:val="24"/>
        </w:rPr>
      </w:pPr>
    </w:p>
    <w:p w14:paraId="5AAA3BD0">
      <w:pPr>
        <w:jc w:val="center"/>
        <w:rPr>
          <w:rFonts w:ascii="Times New Roman" w:hAnsi="Times New Roman" w:cs="Times New Roman"/>
          <w:sz w:val="24"/>
          <w:szCs w:val="24"/>
        </w:rPr>
      </w:pPr>
    </w:p>
    <w:p w14:paraId="4FC59020">
      <w:pPr>
        <w:rPr>
          <w:rFonts w:ascii="Times New Roman" w:hAnsi="Times New Roman" w:cs="Times New Roman"/>
          <w:b/>
          <w:bCs/>
        </w:rPr>
      </w:pPr>
    </w:p>
    <w:p w14:paraId="6936F53D">
      <w:pPr>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702272" behindDoc="0" locked="0" layoutInCell="1" allowOverlap="1">
                <wp:simplePos x="0" y="0"/>
                <wp:positionH relativeFrom="margin">
                  <wp:posOffset>-594995</wp:posOffset>
                </wp:positionH>
                <wp:positionV relativeFrom="paragraph">
                  <wp:posOffset>410210</wp:posOffset>
                </wp:positionV>
                <wp:extent cx="2021840" cy="607060"/>
                <wp:effectExtent l="0" t="0" r="0" b="0"/>
                <wp:wrapThrough wrapText="bothSides">
                  <wp:wrapPolygon>
                    <wp:start x="0" y="0"/>
                    <wp:lineTo x="0" y="21600"/>
                    <wp:lineTo x="21600" y="21600"/>
                    <wp:lineTo x="21600" y="0"/>
                  </wp:wrapPolygon>
                </wp:wrapThrough>
                <wp:docPr id="996402862" name="ZoneTexte 19"/>
                <wp:cNvGraphicFramePr/>
                <a:graphic xmlns:a="http://schemas.openxmlformats.org/drawingml/2006/main">
                  <a:graphicData uri="http://schemas.microsoft.com/office/word/2010/wordprocessingShape">
                    <wps:wsp>
                      <wps:cNvSpPr txBox="1"/>
                      <wps:spPr bwMode="auto">
                        <a:xfrm>
                          <a:off x="0" y="0"/>
                          <a:ext cx="2021840" cy="607060"/>
                        </a:xfrm>
                        <a:prstGeom prst="rect">
                          <a:avLst/>
                        </a:prstGeom>
                        <a:noFill/>
                      </wps:spPr>
                      <wps:txbx>
                        <w:txbxContent>
                          <w:p w14:paraId="0046162A">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du meilleur partenaire en 2023 avec HITECH</w:t>
                            </w:r>
                          </w:p>
                        </w:txbxContent>
                      </wps:txbx>
                      <wps:bodyPr wrap="square" rtlCol="0">
                        <a:noAutofit/>
                      </wps:bodyPr>
                    </wps:wsp>
                  </a:graphicData>
                </a:graphic>
              </wp:anchor>
            </w:drawing>
          </mc:Choice>
          <mc:Fallback>
            <w:pict>
              <v:shape id="ZoneTexte 19" o:spid="_x0000_s1026" o:spt="202" type="#_x0000_t202" style="position:absolute;left:0pt;margin-left:-46.85pt;margin-top:32.3pt;height:47.8pt;width:159.2pt;mso-position-horizontal-relative:margin;mso-wrap-distance-left:9pt;mso-wrap-distance-right:9pt;z-index:251702272;mso-width-relative:page;mso-height-relative:page;" filled="f" stroked="f" coordsize="21600,21600" wrapcoords="0 0 0 21600 21600 21600 21600 0" o:gfxdata="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ZKhLtcAAAAKAQAADwAAAAAAAAABACAAAAAiAAAAZHJzL2Rvd25yZXYueG1sUEsB&#10;AhQAFAAAAAgAh07iQKJdNHy9AQAAdAMAAA4AAAAAAAAAAQAgAAAAJgEAAGRycy9lMm9Eb2MueG1s&#10;UEsFBgAAAAAGAAYAWQEAAFUFAAAAAA==&#10;">
                <v:fill on="f" focussize="0,0"/>
                <v:stroke on="f"/>
                <v:imagedata o:title=""/>
                <o:lock v:ext="edit" aspectratio="f"/>
                <v:textbox>
                  <w:txbxContent>
                    <w:p w14:paraId="0046162A">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du meilleur partenaire en 2023 avec HITECH</w:t>
                      </w:r>
                    </w:p>
                  </w:txbxContent>
                </v:textbox>
                <w10:wrap type="through"/>
              </v:shape>
            </w:pict>
          </mc:Fallback>
        </mc:AlternateContent>
      </w:r>
    </w:p>
    <w:p w14:paraId="7C6B0849">
      <w:pPr>
        <w:rPr>
          <w:rFonts w:ascii="Times New Roman" w:hAnsi="Times New Roman" w:cs="Times New Roman"/>
          <w:b/>
          <w:bCs/>
        </w:rPr>
      </w:pPr>
      <w:r>
        <w:rPr>
          <w:rFonts w:ascii="Times New Roman" w:hAnsi="Times New Roman" w:cs="Times New Roman"/>
          <w:sz w:val="24"/>
          <w:szCs w:val="24"/>
        </w:rPr>
        <mc:AlternateContent>
          <mc:Choice Requires="wps">
            <w:drawing>
              <wp:anchor distT="0" distB="0" distL="114300" distR="114300" simplePos="0" relativeHeight="251704320" behindDoc="0" locked="0" layoutInCell="1" allowOverlap="1">
                <wp:simplePos x="0" y="0"/>
                <wp:positionH relativeFrom="margin">
                  <wp:posOffset>4363720</wp:posOffset>
                </wp:positionH>
                <wp:positionV relativeFrom="paragraph">
                  <wp:posOffset>7620</wp:posOffset>
                </wp:positionV>
                <wp:extent cx="2069465" cy="836930"/>
                <wp:effectExtent l="0" t="0" r="6985" b="1270"/>
                <wp:wrapThrough wrapText="bothSides">
                  <wp:wrapPolygon>
                    <wp:start x="0" y="0"/>
                    <wp:lineTo x="0" y="21141"/>
                    <wp:lineTo x="21474" y="21141"/>
                    <wp:lineTo x="21474" y="0"/>
                    <wp:lineTo x="0" y="0"/>
                  </wp:wrapPolygon>
                </wp:wrapThrough>
                <wp:docPr id="687158188" name="ZoneTexte 19"/>
                <wp:cNvGraphicFramePr/>
                <a:graphic xmlns:a="http://schemas.openxmlformats.org/drawingml/2006/main">
                  <a:graphicData uri="http://schemas.microsoft.com/office/word/2010/wordprocessingShape">
                    <wps:wsp>
                      <wps:cNvSpPr txBox="1"/>
                      <wps:spPr bwMode="auto">
                        <a:xfrm>
                          <a:off x="0" y="0"/>
                          <a:ext cx="2069465" cy="836930"/>
                        </a:xfrm>
                        <a:prstGeom prst="rect">
                          <a:avLst/>
                        </a:prstGeom>
                        <a:solidFill>
                          <a:schemeClr val="bg1"/>
                        </a:solidFill>
                      </wps:spPr>
                      <wps:txbx>
                        <w:txbxContent>
                          <w:p w14:paraId="22B50236">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 l’installation des minicentrales les plus propres de l’année 2024 à Abidjan en côte d’ivoire</w:t>
                            </w:r>
                          </w:p>
                        </w:txbxContent>
                      </wps:txbx>
                      <wps:bodyPr wrap="square" rtlCol="0">
                        <a:noAutofit/>
                      </wps:bodyPr>
                    </wps:wsp>
                  </a:graphicData>
                </a:graphic>
              </wp:anchor>
            </w:drawing>
          </mc:Choice>
          <mc:Fallback>
            <w:pict>
              <v:shape id="ZoneTexte 19" o:spid="_x0000_s1026" o:spt="202" type="#_x0000_t202" style="position:absolute;left:0pt;margin-left:343.6pt;margin-top:0.6pt;height:65.9pt;width:162.95pt;mso-position-horizontal-relative:margin;mso-wrap-distance-left:9pt;mso-wrap-distance-right:9pt;z-index:251704320;mso-width-relative:page;mso-height-relative:page;" fillcolor="#FFFFFF [3212]" filled="t" stroked="f" coordsize="21600,21600" wrapcoords="0 0 0 21141 21474 21141 21474 0 0 0" o:gfxdata="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QIEndcAAAAKAQAADwAAAAAAAAABACAA&#10;AAAiAAAAZHJzL2Rvd25yZXYueG1sUEsBAhQAFAAAAAgAh07iQOm1yeLVAQAAnQMAAA4AAAAAAAAA&#10;AQAgAAAAJgEAAGRycy9lMm9Eb2MueG1sUEsFBgAAAAAGAAYAWQEAAG0FAAAAAA==&#10;">
                <v:fill on="t" focussize="0,0"/>
                <v:stroke on="f"/>
                <v:imagedata o:title=""/>
                <o:lock v:ext="edit" aspectratio="f"/>
                <v:textbox>
                  <w:txbxContent>
                    <w:p w14:paraId="22B50236">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Prix de l’installation des minicentrales les plus propres de l’année 2024 à Abidjan en côte d’ivoire</w:t>
                      </w:r>
                    </w:p>
                  </w:txbxContent>
                </v:textbox>
                <w10:wrap type="through"/>
              </v:shape>
            </w:pict>
          </mc:Fallback>
        </mc:AlternateContent>
      </w:r>
      <w:r>
        <w:rPr>
          <w:rFonts w:ascii="Times New Roman" w:hAnsi="Times New Roman" w:cs="Times New Roman"/>
          <w:sz w:val="24"/>
          <w:szCs w:val="24"/>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127635</wp:posOffset>
                </wp:positionV>
                <wp:extent cx="2021840" cy="644525"/>
                <wp:effectExtent l="0" t="0" r="0" b="3175"/>
                <wp:wrapThrough wrapText="bothSides">
                  <wp:wrapPolygon>
                    <wp:start x="0" y="0"/>
                    <wp:lineTo x="0" y="21068"/>
                    <wp:lineTo x="21369" y="21068"/>
                    <wp:lineTo x="21369" y="0"/>
                    <wp:lineTo x="0" y="0"/>
                  </wp:wrapPolygon>
                </wp:wrapThrough>
                <wp:docPr id="980842528" name="ZoneTexte 19"/>
                <wp:cNvGraphicFramePr/>
                <a:graphic xmlns:a="http://schemas.openxmlformats.org/drawingml/2006/main">
                  <a:graphicData uri="http://schemas.microsoft.com/office/word/2010/wordprocessingShape">
                    <wps:wsp>
                      <wps:cNvSpPr txBox="1"/>
                      <wps:spPr bwMode="auto">
                        <a:xfrm>
                          <a:off x="0" y="0"/>
                          <a:ext cx="2021840" cy="644525"/>
                        </a:xfrm>
                        <a:prstGeom prst="rect">
                          <a:avLst/>
                        </a:prstGeom>
                        <a:solidFill>
                          <a:schemeClr val="bg1"/>
                        </a:solidFill>
                      </wps:spPr>
                      <wps:txbx>
                        <w:txbxContent>
                          <w:p w14:paraId="6D9FBE9B">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 xml:space="preserve">Prix de l’idée lumineuse de l’année 2024 à la foire TOGO 2000 </w:t>
                            </w:r>
                          </w:p>
                        </w:txbxContent>
                      </wps:txbx>
                      <wps:bodyPr wrap="square" rtlCol="0">
                        <a:noAutofit/>
                      </wps:bodyPr>
                    </wps:wsp>
                  </a:graphicData>
                </a:graphic>
              </wp:anchor>
            </w:drawing>
          </mc:Choice>
          <mc:Fallback>
            <w:pict>
              <v:shape id="ZoneTexte 19" o:spid="_x0000_s1026" o:spt="202" type="#_x0000_t202" style="position:absolute;left:0pt;margin-top:10.05pt;height:50.75pt;width:159.2pt;mso-position-horizontal:center;mso-position-horizontal-relative:margin;mso-wrap-distance-left:9pt;mso-wrap-distance-right:9pt;z-index:251703296;mso-width-relative:page;mso-height-relative:page;" fillcolor="#FFFFFF [3212]" filled="t" stroked="f" coordsize="21600,21600" wrapcoords="0 0 0 21068 21369 21068 21369 0 0 0" o:gfxdata="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c2UOddUAAAAHAQAADwAAAAAAAAABACAAAAAiAAAA&#10;ZHJzL2Rvd25yZXYueG1sUEsBAhQAFAAAAAgAh07iQGPEIH3RAQAAnQMAAA4AAAAAAAAAAQAgAAAA&#10;JAEAAGRycy9lMm9Eb2MueG1sUEsFBgAAAAAGAAYAWQEAAGcFAAAAAA==&#10;">
                <v:fill on="t" focussize="0,0"/>
                <v:stroke on="f"/>
                <v:imagedata o:title=""/>
                <o:lock v:ext="edit" aspectratio="f"/>
                <v:textbox>
                  <w:txbxContent>
                    <w:p w14:paraId="6D9FBE9B">
                      <w:pPr>
                        <w:kinsoku w:val="0"/>
                        <w:overflowPunct w:val="0"/>
                        <w:spacing w:after="0" w:line="240" w:lineRule="auto"/>
                        <w:jc w:val="center"/>
                        <w:textAlignment w:val="baseline"/>
                        <w:rPr>
                          <w:rFonts w:ascii="Arial Black" w:hAnsi="Arial Black" w:cs="Arial"/>
                          <w:b/>
                          <w:bCs/>
                          <w:color w:val="000000" w:themeColor="text1"/>
                          <w:kern w:val="24"/>
                          <w14:textFill>
                            <w14:solidFill>
                              <w14:schemeClr w14:val="tx1"/>
                            </w14:solidFill>
                          </w14:textFill>
                        </w:rPr>
                      </w:pPr>
                      <w:r>
                        <w:rPr>
                          <w:rFonts w:ascii="Arial Black" w:hAnsi="Arial Black" w:cs="Arial"/>
                          <w:b/>
                          <w:bCs/>
                          <w:color w:val="000000" w:themeColor="text1"/>
                          <w:kern w:val="24"/>
                          <w:sz w:val="20"/>
                          <w:szCs w:val="20"/>
                          <w14:textFill>
                            <w14:solidFill>
                              <w14:schemeClr w14:val="tx1"/>
                            </w14:solidFill>
                          </w14:textFill>
                        </w:rPr>
                        <w:t xml:space="preserve">Prix de l’idée lumineuse de l’année 2024 à la foire TOGO 2000 </w:t>
                      </w:r>
                    </w:p>
                  </w:txbxContent>
                </v:textbox>
                <w10:wrap type="through"/>
              </v:shape>
            </w:pict>
          </mc:Fallback>
        </mc:AlternateContent>
      </w:r>
      <w:r>
        <w:rPr>
          <w:rFonts w:ascii="Times New Roman" w:hAnsi="Times New Roman" w:cs="Times New Roman"/>
        </w:rPr>
        <w:drawing>
          <wp:anchor distT="0" distB="0" distL="114300" distR="114300" simplePos="0" relativeHeight="251679744" behindDoc="1" locked="0" layoutInCell="1" allowOverlap="1">
            <wp:simplePos x="0" y="0"/>
            <wp:positionH relativeFrom="margin">
              <wp:posOffset>4541520</wp:posOffset>
            </wp:positionH>
            <wp:positionV relativeFrom="paragraph">
              <wp:posOffset>907415</wp:posOffset>
            </wp:positionV>
            <wp:extent cx="1727835" cy="2012315"/>
            <wp:effectExtent l="0" t="0" r="0" b="0"/>
            <wp:wrapNone/>
            <wp:docPr id="12059535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3589" name="Image 2"/>
                    <pic:cNvPicPr>
                      <a:picLocks noChangeAspect="1" noChangeArrowheads="1"/>
                    </pic:cNvPicPr>
                  </pic:nvPicPr>
                  <pic:blipFill>
                    <a:blip r:embed="rId28" cstate="print">
                      <a:extLst>
                        <a:ext uri="{28A0092B-C50C-407E-A947-70E740481C1C}">
                          <a14:useLocalDpi xmlns:a14="http://schemas.microsoft.com/office/drawing/2010/main" val="0"/>
                        </a:ext>
                      </a:extLst>
                    </a:blip>
                    <a:srcRect l="22384" t="7534" r="18070"/>
                    <a:stretch>
                      <a:fillRect/>
                    </a:stretch>
                  </pic:blipFill>
                  <pic:spPr>
                    <a:xfrm>
                      <a:off x="0" y="0"/>
                      <a:ext cx="1727797" cy="2012308"/>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97152" behindDoc="1" locked="0" layoutInCell="1" allowOverlap="1">
            <wp:simplePos x="0" y="0"/>
            <wp:positionH relativeFrom="page">
              <wp:posOffset>2850515</wp:posOffset>
            </wp:positionH>
            <wp:positionV relativeFrom="paragraph">
              <wp:posOffset>916305</wp:posOffset>
            </wp:positionV>
            <wp:extent cx="1720215" cy="2051050"/>
            <wp:effectExtent l="0" t="0" r="0" b="0"/>
            <wp:wrapNone/>
            <wp:docPr id="18219688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8823" name="Image 10"/>
                    <pic:cNvPicPr>
                      <a:picLocks noChangeAspect="1" noChangeArrowheads="1"/>
                    </pic:cNvPicPr>
                  </pic:nvPicPr>
                  <pic:blipFill>
                    <a:blip r:embed="rId29" cstate="print">
                      <a:extLst>
                        <a:ext uri="{28A0092B-C50C-407E-A947-70E740481C1C}">
                          <a14:useLocalDpi xmlns:a14="http://schemas.microsoft.com/office/drawing/2010/main" val="0"/>
                        </a:ext>
                      </a:extLst>
                    </a:blip>
                    <a:srcRect l="26701" t="12889" r="18517"/>
                    <a:stretch>
                      <a:fillRect/>
                    </a:stretch>
                  </pic:blipFill>
                  <pic:spPr>
                    <a:xfrm>
                      <a:off x="0" y="0"/>
                      <a:ext cx="1720215" cy="2051087"/>
                    </a:xfrm>
                    <a:prstGeom prst="rect">
                      <a:avLst/>
                    </a:prstGeom>
                    <a:noFill/>
                    <a:ln>
                      <a:noFill/>
                    </a:ln>
                  </pic:spPr>
                </pic:pic>
              </a:graphicData>
            </a:graphic>
          </wp:anchor>
        </w:drawing>
      </w:r>
      <w:r>
        <w:rPr>
          <w:rFonts w:ascii="Times New Roman" w:hAnsi="Times New Roman" w:cs="Times New Roman"/>
        </w:rPr>
        <w:drawing>
          <wp:anchor distT="0" distB="0" distL="114300" distR="114300" simplePos="0" relativeHeight="251698176" behindDoc="1" locked="0" layoutInCell="1" allowOverlap="1">
            <wp:simplePos x="0" y="0"/>
            <wp:positionH relativeFrom="margin">
              <wp:align>left</wp:align>
            </wp:positionH>
            <wp:positionV relativeFrom="paragraph">
              <wp:posOffset>842010</wp:posOffset>
            </wp:positionV>
            <wp:extent cx="784860" cy="2045970"/>
            <wp:effectExtent l="0" t="0" r="0" b="0"/>
            <wp:wrapNone/>
            <wp:docPr id="10749263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2637" name="Image 9"/>
                    <pic:cNvPicPr>
                      <a:picLocks noChangeAspect="1" noChangeArrowheads="1"/>
                    </pic:cNvPicPr>
                  </pic:nvPicPr>
                  <pic:blipFill>
                    <a:blip r:embed="rId30" cstate="print">
                      <a:extLst>
                        <a:ext uri="{28A0092B-C50C-407E-A947-70E740481C1C}">
                          <a14:useLocalDpi xmlns:a14="http://schemas.microsoft.com/office/drawing/2010/main" val="0"/>
                        </a:ext>
                      </a:extLst>
                    </a:blip>
                    <a:srcRect l="34064" t="7977" r="39463"/>
                    <a:stretch>
                      <a:fillRect/>
                    </a:stretch>
                  </pic:blipFill>
                  <pic:spPr>
                    <a:xfrm>
                      <a:off x="0" y="0"/>
                      <a:ext cx="784746" cy="2046239"/>
                    </a:xfrm>
                    <a:prstGeom prst="rect">
                      <a:avLst/>
                    </a:prstGeom>
                    <a:noFill/>
                    <a:ln>
                      <a:noFill/>
                    </a:ln>
                  </pic:spPr>
                </pic:pic>
              </a:graphicData>
            </a:graphic>
          </wp:anchor>
        </w:drawing>
      </w:r>
    </w:p>
    <w:p w14:paraId="3129E4A3">
      <w:pPr>
        <w:rPr>
          <w:rFonts w:ascii="Times New Roman" w:hAnsi="Times New Roman" w:cs="Times New Roman"/>
          <w:b/>
          <w:bCs/>
        </w:rPr>
      </w:pPr>
    </w:p>
    <w:p w14:paraId="2F350E78">
      <w:pPr>
        <w:rPr>
          <w:rFonts w:ascii="Times New Roman" w:hAnsi="Times New Roman" w:cs="Times New Roman"/>
          <w:b/>
          <w:bCs/>
        </w:rPr>
      </w:pPr>
    </w:p>
    <w:p w14:paraId="2178CF7D">
      <w:pPr>
        <w:rPr>
          <w:rFonts w:ascii="Times New Roman" w:hAnsi="Times New Roman" w:cs="Times New Roman"/>
          <w:b/>
          <w:bCs/>
        </w:rPr>
      </w:pPr>
    </w:p>
    <w:p w14:paraId="32BCA33C">
      <w:pPr>
        <w:rPr>
          <w:rFonts w:ascii="Times New Roman" w:hAnsi="Times New Roman" w:cs="Times New Roman"/>
          <w:b/>
          <w:bCs/>
        </w:rPr>
      </w:pPr>
    </w:p>
    <w:p w14:paraId="09CF10D0">
      <w:pPr>
        <w:rPr>
          <w:rFonts w:ascii="Times New Roman" w:hAnsi="Times New Roman" w:cs="Times New Roman"/>
          <w:b/>
          <w:bCs/>
        </w:rPr>
      </w:pPr>
    </w:p>
    <w:p w14:paraId="67C4B122">
      <w:pPr>
        <w:rPr>
          <w:rFonts w:ascii="Times New Roman" w:hAnsi="Times New Roman" w:cs="Times New Roman"/>
          <w:b/>
          <w:bCs/>
        </w:rPr>
      </w:pPr>
    </w:p>
    <w:p w14:paraId="7FCC60AE">
      <w:pPr>
        <w:rPr>
          <w:rFonts w:ascii="Times New Roman" w:hAnsi="Times New Roman" w:cs="Times New Roman"/>
          <w:b/>
          <w:bCs/>
        </w:rPr>
      </w:pPr>
    </w:p>
    <w:p w14:paraId="5EA5F2AA">
      <w:pPr>
        <w:rPr>
          <w:rFonts w:ascii="Times New Roman" w:hAnsi="Times New Roman" w:cs="Times New Roman"/>
          <w:b/>
          <w:bCs/>
        </w:rPr>
      </w:pPr>
    </w:p>
    <w:p w14:paraId="1F5B3C8D">
      <w:pPr>
        <w:rPr>
          <w:rFonts w:ascii="Times New Roman" w:hAnsi="Times New Roman" w:cs="Times New Roman"/>
          <w:b/>
          <w:bCs/>
        </w:rPr>
      </w:pPr>
    </w:p>
    <w:p w14:paraId="0A2EAA11">
      <w:pPr>
        <w:rPr>
          <w:rFonts w:ascii="Times New Roman" w:hAnsi="Times New Roman" w:cs="Times New Roman"/>
          <w:b/>
          <w:bCs/>
        </w:rPr>
      </w:pPr>
      <w:r>
        <w:rPr>
          <w:rFonts w:ascii="Times New Roman" w:hAnsi="Times New Roman" w:cs="Times New Roman"/>
          <w:sz w:val="24"/>
          <w:szCs w:val="24"/>
        </w:rPr>
        <mc:AlternateContent>
          <mc:Choice Requires="wps">
            <w:drawing>
              <wp:anchor distT="0" distB="0" distL="114300" distR="114300" simplePos="0" relativeHeight="251709440" behindDoc="0" locked="0" layoutInCell="1" allowOverlap="1">
                <wp:simplePos x="0" y="0"/>
                <wp:positionH relativeFrom="margin">
                  <wp:posOffset>-283845</wp:posOffset>
                </wp:positionH>
                <wp:positionV relativeFrom="paragraph">
                  <wp:posOffset>228600</wp:posOffset>
                </wp:positionV>
                <wp:extent cx="1737360" cy="1060450"/>
                <wp:effectExtent l="0" t="0" r="0" b="0"/>
                <wp:wrapNone/>
                <wp:docPr id="971356739" name="ZoneTexte 6"/>
                <wp:cNvGraphicFramePr/>
                <a:graphic xmlns:a="http://schemas.openxmlformats.org/drawingml/2006/main">
                  <a:graphicData uri="http://schemas.microsoft.com/office/word/2010/wordprocessingShape">
                    <wps:wsp>
                      <wps:cNvSpPr txBox="1"/>
                      <wps:spPr bwMode="auto">
                        <a:xfrm>
                          <a:off x="0" y="0"/>
                          <a:ext cx="1737360" cy="1060450"/>
                        </a:xfrm>
                        <a:prstGeom prst="rect">
                          <a:avLst/>
                        </a:prstGeom>
                        <a:noFill/>
                      </wps:spPr>
                      <wps:txbx>
                        <w:txbxContent>
                          <w:p w14:paraId="18B7D472">
                            <w:pPr>
                              <w:tabs>
                                <w:tab w:val="left" w:pos="7932"/>
                              </w:tabs>
                              <w:spacing w:line="256" w:lineRule="auto"/>
                              <w:jc w:val="center"/>
                              <w:rPr>
                                <w:rFonts w:ascii="Arial" w:hAnsi="Arial" w:cs="Arial"/>
                                <w:sz w:val="18"/>
                                <w:szCs w:val="18"/>
                              </w:rPr>
                            </w:pPr>
                            <w:r>
                              <w:rPr>
                                <w:rFonts w:ascii="Arial" w:hAnsi="Arial" w:cs="Arial"/>
                                <w:sz w:val="18"/>
                                <w:szCs w:val="18"/>
                              </w:rPr>
                              <w:t>KYA-Energy GROUP a été reconnu comme meilleur partenaire en 2023 par Hitech (entreprise chinoise spécialisée en fabrication des batterie et lampadaires solaires), à Lomé.</w:t>
                            </w:r>
                          </w:p>
                        </w:txbxContent>
                      </wps:txbx>
                      <wps:bodyPr wrap="square" rtlCol="0">
                        <a:noAutofit/>
                      </wps:bodyPr>
                    </wps:wsp>
                  </a:graphicData>
                </a:graphic>
              </wp:anchor>
            </w:drawing>
          </mc:Choice>
          <mc:Fallback>
            <w:pict>
              <v:shape id="ZoneTexte 6" o:spid="_x0000_s1026" o:spt="202" type="#_x0000_t202" style="position:absolute;left:0pt;margin-left:-22.35pt;margin-top:18pt;height:83.5pt;width:136.8pt;mso-position-horizontal-relative:margin;z-index:251709440;mso-width-relative:page;mso-height-relative:page;" filled="f" stroked="f" coordsize="21600,21600" o:gfxdata="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6I+1e2AAAAAoBAAAPAAAAAAAAAAEAIAAAACIAAABkcnMvZG93bnJldi54bWxQ&#10;SwECFAAUAAAACACHTuJA/IqqR74BAAB0AwAADgAAAAAAAAABACAAAAAnAQAAZHJzL2Uyb0RvYy54&#10;bWxQSwUGAAAAAAYABgBZAQAAVwUAAAAA&#10;">
                <v:fill on="f" focussize="0,0"/>
                <v:stroke on="f"/>
                <v:imagedata o:title=""/>
                <o:lock v:ext="edit" aspectratio="f"/>
                <v:textbox>
                  <w:txbxContent>
                    <w:p w14:paraId="18B7D472">
                      <w:pPr>
                        <w:tabs>
                          <w:tab w:val="left" w:pos="7932"/>
                        </w:tabs>
                        <w:spacing w:line="256" w:lineRule="auto"/>
                        <w:jc w:val="center"/>
                        <w:rPr>
                          <w:rFonts w:ascii="Arial" w:hAnsi="Arial" w:cs="Arial"/>
                          <w:sz w:val="18"/>
                          <w:szCs w:val="18"/>
                        </w:rPr>
                      </w:pPr>
                      <w:r>
                        <w:rPr>
                          <w:rFonts w:ascii="Arial" w:hAnsi="Arial" w:cs="Arial"/>
                          <w:sz w:val="18"/>
                          <w:szCs w:val="18"/>
                        </w:rPr>
                        <w:t>KYA-Energy GROUP a été reconnu comme meilleur partenaire en 2023 par Hitech (entreprise chinoise spécialisée en fabrication des batterie et lampadaires solaires), à Lomé.</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707392" behindDoc="0" locked="0" layoutInCell="1" allowOverlap="1">
                <wp:simplePos x="0" y="0"/>
                <wp:positionH relativeFrom="margin">
                  <wp:align>center</wp:align>
                </wp:positionH>
                <wp:positionV relativeFrom="paragraph">
                  <wp:posOffset>248920</wp:posOffset>
                </wp:positionV>
                <wp:extent cx="1737360" cy="640080"/>
                <wp:effectExtent l="0" t="0" r="0" b="0"/>
                <wp:wrapNone/>
                <wp:docPr id="228463975" name="ZoneTexte 6"/>
                <wp:cNvGraphicFramePr/>
                <a:graphic xmlns:a="http://schemas.openxmlformats.org/drawingml/2006/main">
                  <a:graphicData uri="http://schemas.microsoft.com/office/word/2010/wordprocessingShape">
                    <wps:wsp>
                      <wps:cNvSpPr txBox="1"/>
                      <wps:spPr bwMode="auto">
                        <a:xfrm>
                          <a:off x="0" y="0"/>
                          <a:ext cx="1737360" cy="640080"/>
                        </a:xfrm>
                        <a:prstGeom prst="rect">
                          <a:avLst/>
                        </a:prstGeom>
                        <a:noFill/>
                      </wps:spPr>
                      <wps:txbx>
                        <w:txbxContent>
                          <w:p w14:paraId="30640C24">
                            <w:pPr>
                              <w:tabs>
                                <w:tab w:val="left" w:pos="7932"/>
                              </w:tabs>
                              <w:spacing w:line="256" w:lineRule="auto"/>
                              <w:jc w:val="center"/>
                              <w:rPr>
                                <w:rFonts w:ascii="Arial" w:hAnsi="Arial" w:cs="Arial"/>
                                <w:sz w:val="18"/>
                                <w:szCs w:val="18"/>
                              </w:rPr>
                            </w:pPr>
                            <w:r>
                              <w:rPr>
                                <w:rFonts w:ascii="Arial" w:hAnsi="Arial" w:cs="Arial"/>
                                <w:sz w:val="18"/>
                                <w:szCs w:val="18"/>
                              </w:rPr>
                              <w:t>KYA-Energy GROUP a reçu le prix de l’idée lumineuse de l’année par CETEF en 2024, à Lomé.</w:t>
                            </w:r>
                          </w:p>
                        </w:txbxContent>
                      </wps:txbx>
                      <wps:bodyPr wrap="square" rtlCol="0">
                        <a:noAutofit/>
                      </wps:bodyPr>
                    </wps:wsp>
                  </a:graphicData>
                </a:graphic>
              </wp:anchor>
            </w:drawing>
          </mc:Choice>
          <mc:Fallback>
            <w:pict>
              <v:shape id="ZoneTexte 6" o:spid="_x0000_s1026" o:spt="202" type="#_x0000_t202" style="position:absolute;left:0pt;margin-top:19.6pt;height:50.4pt;width:136.8pt;mso-position-horizontal:center;mso-position-horizontal-relative:margin;z-index:251707392;mso-width-relative:page;mso-height-relative:page;" filled="f" stroked="f" coordsize="21600,21600" o:gfxdata="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g2JtXVAAAABwEAAA8AAAAAAAAAAQAgAAAAIgAAAGRycy9kb3ducmV2LnhtbFBLAQIU&#10;ABQAAAAIAIdO4kC991e3vQEAAHMDAAAOAAAAAAAAAAEAIAAAACQBAABkcnMvZTJvRG9jLnhtbFBL&#10;BQYAAAAABgAGAFkBAABTBQAAAAA=&#10;">
                <v:fill on="f" focussize="0,0"/>
                <v:stroke on="f"/>
                <v:imagedata o:title=""/>
                <o:lock v:ext="edit" aspectratio="f"/>
                <v:textbox>
                  <w:txbxContent>
                    <w:p w14:paraId="30640C24">
                      <w:pPr>
                        <w:tabs>
                          <w:tab w:val="left" w:pos="7932"/>
                        </w:tabs>
                        <w:spacing w:line="256" w:lineRule="auto"/>
                        <w:jc w:val="center"/>
                        <w:rPr>
                          <w:rFonts w:ascii="Arial" w:hAnsi="Arial" w:cs="Arial"/>
                          <w:sz w:val="18"/>
                          <w:szCs w:val="18"/>
                        </w:rPr>
                      </w:pPr>
                      <w:r>
                        <w:rPr>
                          <w:rFonts w:ascii="Arial" w:hAnsi="Arial" w:cs="Arial"/>
                          <w:sz w:val="18"/>
                          <w:szCs w:val="18"/>
                        </w:rPr>
                        <w:t>KYA-Energy GROUP a reçu le prix de l’idée lumineuse de l’année par CETEF en 2024, à Lomé.</w:t>
                      </w:r>
                    </w:p>
                  </w:txbxContent>
                </v:textbox>
              </v:shape>
            </w:pict>
          </mc:Fallback>
        </mc:AlternateContent>
      </w:r>
    </w:p>
    <w:p w14:paraId="3B3F1489">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Pr>
          <w:rFonts w:ascii="Times New Roman" w:hAnsi="Times New Roman" w:cs="Times New Roman"/>
          <w:sz w:val="24"/>
          <w:szCs w:val="24"/>
        </w:rPr>
        <mc:AlternateContent>
          <mc:Choice Requires="wps">
            <w:drawing>
              <wp:anchor distT="0" distB="0" distL="114300" distR="114300" simplePos="0" relativeHeight="251708416" behindDoc="0" locked="0" layoutInCell="1" allowOverlap="1">
                <wp:simplePos x="0" y="0"/>
                <wp:positionH relativeFrom="margin">
                  <wp:posOffset>4402455</wp:posOffset>
                </wp:positionH>
                <wp:positionV relativeFrom="paragraph">
                  <wp:posOffset>36195</wp:posOffset>
                </wp:positionV>
                <wp:extent cx="1737360" cy="933450"/>
                <wp:effectExtent l="0" t="0" r="0" b="0"/>
                <wp:wrapNone/>
                <wp:docPr id="1240444400" name="ZoneTexte 6"/>
                <wp:cNvGraphicFramePr/>
                <a:graphic xmlns:a="http://schemas.openxmlformats.org/drawingml/2006/main">
                  <a:graphicData uri="http://schemas.microsoft.com/office/word/2010/wordprocessingShape">
                    <wps:wsp>
                      <wps:cNvSpPr txBox="1"/>
                      <wps:spPr bwMode="auto">
                        <a:xfrm>
                          <a:off x="0" y="0"/>
                          <a:ext cx="1737360" cy="933450"/>
                        </a:xfrm>
                        <a:prstGeom prst="rect">
                          <a:avLst/>
                        </a:prstGeom>
                        <a:noFill/>
                      </wps:spPr>
                      <wps:txbx>
                        <w:txbxContent>
                          <w:p w14:paraId="763FD199">
                            <w:pPr>
                              <w:tabs>
                                <w:tab w:val="left" w:pos="7932"/>
                              </w:tabs>
                              <w:spacing w:line="256" w:lineRule="auto"/>
                              <w:jc w:val="center"/>
                              <w:rPr>
                                <w:rFonts w:ascii="Arial" w:hAnsi="Arial" w:cs="Arial"/>
                                <w:sz w:val="18"/>
                                <w:szCs w:val="18"/>
                              </w:rPr>
                            </w:pPr>
                            <w:r>
                              <w:rPr>
                                <w:rFonts w:ascii="Arial" w:hAnsi="Arial" w:cs="Arial"/>
                                <w:sz w:val="18"/>
                                <w:szCs w:val="18"/>
                              </w:rPr>
                              <w:t>KYA-Energy GROUP a reçu le prix de la CEDEAO pour la meilleure entreprise sous-régionale de l’installation des minicentrales les plus propres en 2024, à Abidjan.</w:t>
                            </w:r>
                          </w:p>
                        </w:txbxContent>
                      </wps:txbx>
                      <wps:bodyPr wrap="square" rtlCol="0">
                        <a:noAutofit/>
                      </wps:bodyPr>
                    </wps:wsp>
                  </a:graphicData>
                </a:graphic>
              </wp:anchor>
            </w:drawing>
          </mc:Choice>
          <mc:Fallback>
            <w:pict>
              <v:shape id="ZoneTexte 6" o:spid="_x0000_s1026" o:spt="202" type="#_x0000_t202" style="position:absolute;left:0pt;margin-left:346.65pt;margin-top:2.85pt;height:73.5pt;width:136.8pt;mso-position-horizontal-relative:margin;z-index:251708416;mso-width-relative:page;mso-height-relative:page;" filled="f" stroked="f" coordsize="21600,21600" o:gfxdata="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h7M8+1wAAAAkBAAAPAAAAAAAAAAEAIAAAACIAAABkcnMvZG93bnJldi54bWxQSwEC&#10;FAAUAAAACACHTuJAYCPHM7wBAAB0AwAADgAAAAAAAAABACAAAAAmAQAAZHJzL2Uyb0RvYy54bWxQ&#10;SwUGAAAAAAYABgBZAQAAVAUAAAAA&#10;">
                <v:fill on="f" focussize="0,0"/>
                <v:stroke on="f"/>
                <v:imagedata o:title=""/>
                <o:lock v:ext="edit" aspectratio="f"/>
                <v:textbox>
                  <w:txbxContent>
                    <w:p w14:paraId="763FD199">
                      <w:pPr>
                        <w:tabs>
                          <w:tab w:val="left" w:pos="7932"/>
                        </w:tabs>
                        <w:spacing w:line="256" w:lineRule="auto"/>
                        <w:jc w:val="center"/>
                        <w:rPr>
                          <w:rFonts w:ascii="Arial" w:hAnsi="Arial" w:cs="Arial"/>
                          <w:sz w:val="18"/>
                          <w:szCs w:val="18"/>
                        </w:rPr>
                      </w:pPr>
                      <w:r>
                        <w:rPr>
                          <w:rFonts w:ascii="Arial" w:hAnsi="Arial" w:cs="Arial"/>
                          <w:sz w:val="18"/>
                          <w:szCs w:val="18"/>
                        </w:rPr>
                        <w:t>KYA-Energy GROUP a reçu le prix de la CEDEAO pour la meilleure entreprise sous-régionale de l’installation des minicentrales les plus propres en 2024, à Abidjan.</w:t>
                      </w:r>
                    </w:p>
                  </w:txbxContent>
                </v:textbox>
              </v:shape>
            </w:pict>
          </mc:Fallback>
        </mc:AlternateContent>
      </w:r>
      <w:r>
        <w:rPr>
          <w:rFonts w:ascii="Times New Roman" w:hAnsi="Times New Roman" w:eastAsia="Times New Roman" w:cs="Times New Roman"/>
          <w:sz w:val="24"/>
          <w:szCs w:val="24"/>
          <w:lang w:eastAsia="fr-FR"/>
        </w:rPr>
        <w:br w:type="page"/>
      </w:r>
    </w:p>
    <w:p w14:paraId="7E0394BF">
      <w:pPr>
        <w:pStyle w:val="36"/>
        <w:numPr>
          <w:ilvl w:val="0"/>
          <w:numId w:val="27"/>
        </w:numPr>
        <w:spacing w:before="100" w:beforeAutospacing="1" w:after="100" w:afterAutospacing="1" w:line="240" w:lineRule="auto"/>
        <w:jc w:val="both"/>
        <w:outlineLvl w:val="1"/>
        <w:rPr>
          <w:rFonts w:ascii="Times New Roman" w:hAnsi="Times New Roman" w:eastAsia="Times New Roman" w:cs="Times New Roman"/>
          <w:b/>
          <w:bCs/>
          <w:color w:val="009999"/>
          <w:sz w:val="36"/>
          <w:szCs w:val="36"/>
          <w:lang w:eastAsia="fr-FR"/>
        </w:rPr>
      </w:pPr>
      <w:r>
        <w:rPr>
          <w:rFonts w:ascii="Times New Roman" w:hAnsi="Times New Roman" w:eastAsia="Times New Roman" w:cs="Times New Roman"/>
          <w:b/>
          <w:bCs/>
          <w:color w:val="009999"/>
          <w:sz w:val="36"/>
          <w:szCs w:val="36"/>
          <w:lang w:eastAsia="fr-FR"/>
        </w:rPr>
        <w:t xml:space="preserve">Pourquoi KYA ? </w:t>
      </w:r>
    </w:p>
    <w:p w14:paraId="6A6E6071">
      <w:pPr>
        <w:jc w:val="both"/>
        <w:rPr>
          <w:rFonts w:ascii="Times New Roman" w:hAnsi="Times New Roman" w:cs="Times New Roman"/>
          <w:b/>
          <w:bCs/>
          <w:sz w:val="24"/>
          <w:szCs w:val="24"/>
        </w:rPr>
      </w:pPr>
      <w:r>
        <w:rPr>
          <w:rFonts w:ascii="Times New Roman" w:hAnsi="Times New Roman" w:cs="Times New Roman"/>
          <w:sz w:val="24"/>
          <w:szCs w:val="24"/>
        </w:rPr>
        <w:t xml:space="preserve">Lorsqu’on a eu à souffrir soi-même des questions énergétiques dans son enfance et dans sa jeunesse, lorsqu’on voit autour de soi, beaucoup de gens souffrir pour les questions énergétiques, lorsqu’on a vécu et on vit encore dans des pays où le délestage est un sport favori, freinant au passage le développement économique, lorsqu’on devient expert en génie énergétique avec une spécialisation dans le solaire et l’efficacité énergétique, on a qu’une seule envie, c’est de ne plus dormir jusqu’à ce que des solutions énergétiques durables et accessibles à tout le monde soient trouvées. </w:t>
      </w:r>
      <w:r>
        <w:rPr>
          <w:rFonts w:ascii="Times New Roman" w:hAnsi="Times New Roman" w:cs="Times New Roman"/>
          <w:b/>
          <w:bCs/>
          <w:sz w:val="24"/>
          <w:szCs w:val="24"/>
        </w:rPr>
        <w:t>C’est le sentiment du Prof. Yao AZOUMAH, fondateur et directeur général de KYA-Energy Group.</w:t>
      </w:r>
    </w:p>
    <w:p w14:paraId="2776AF09">
      <w:pPr>
        <w:jc w:val="both"/>
        <w:rPr>
          <w:rFonts w:ascii="Times New Roman" w:hAnsi="Times New Roman" w:cs="Times New Roman"/>
          <w:sz w:val="24"/>
          <w:szCs w:val="24"/>
        </w:rPr>
      </w:pPr>
      <w:r>
        <w:rPr>
          <w:rFonts w:ascii="Times New Roman" w:hAnsi="Times New Roman" w:cs="Times New Roman"/>
          <w:sz w:val="24"/>
          <w:szCs w:val="24"/>
        </w:rPr>
        <w:t>En effet, après ses études de Master et de Doctorat en sciences pour l’ingénieur (spécialisation en solaire et efficacité énergétique), en France, et après avoir fait une carrière de chercheur postdoctoral au sein du prestigieux centre de la technologie de l’énergie du CANMET (CETC-Varennes) au Canada, le Professeur Yao AZOUMAH est rentré en Afrique en 2007 pour partager son savoir-faire avec le continent dans le domaine du génie énergétique. Il a pendant plus d’une dizaine d’années servi le continent en tant que chercheur et enseignant (à 2iE au Burkina Faso, à ESMER au Bénin, à l’UL au Togo, à PAUWES en Algérie, à KNUST au Ghana, etc.). Il a ainsi œuvré à la formation des ingénieurs énergéticiens de plusieurs pays et au développement d’activités de recherches pointues et orientées vers les solutions solaires fiables et durables pour le milieu rural en particulier.</w:t>
      </w:r>
    </w:p>
    <w:p w14:paraId="0F25B9E6">
      <w:pPr>
        <w:jc w:val="both"/>
        <w:rPr>
          <w:rFonts w:ascii="Times New Roman" w:hAnsi="Times New Roman" w:cs="Times New Roman"/>
          <w:sz w:val="24"/>
          <w:szCs w:val="24"/>
        </w:rPr>
      </w:pPr>
      <w:r>
        <w:rPr>
          <w:rFonts w:ascii="Times New Roman" w:hAnsi="Times New Roman" w:cs="Times New Roman"/>
          <w:sz w:val="24"/>
          <w:szCs w:val="24"/>
        </w:rPr>
        <w:t>Convaincu que l’impact de ses œuvres était limité et cantonné préférentiellement dans la communauté scientifique, le Professeur Yao AZOUMAH, avait estimé qu’il devrait donner plus de visibilités et d’impacts socio-économiques à ses résultats de recherche en les valorisant au travers d’une entreprise qui offrira aux populations africaines des solutions innovantes et plus adaptées à leurs besoins.</w:t>
      </w:r>
    </w:p>
    <w:p w14:paraId="355966ED">
      <w:pPr>
        <w:jc w:val="both"/>
        <w:rPr>
          <w:rFonts w:ascii="Times New Roman" w:hAnsi="Times New Roman" w:cs="Times New Roman"/>
          <w:sz w:val="24"/>
          <w:szCs w:val="24"/>
        </w:rPr>
      </w:pPr>
      <w:r>
        <w:rPr>
          <w:rFonts w:ascii="Times New Roman" w:hAnsi="Times New Roman" w:cs="Times New Roman"/>
          <w:sz w:val="24"/>
          <w:szCs w:val="24"/>
        </w:rPr>
        <w:t xml:space="preserve">Il décida alors de quitter partiellement le monde académique et de franchir le pas en direction du monde entrepreneurial en juillet 2015 avec la création de KYA-Energy Group. </w:t>
      </w:r>
    </w:p>
    <w:p w14:paraId="41CE58AE">
      <w:pPr>
        <w:jc w:val="both"/>
        <w:rPr>
          <w:rFonts w:ascii="Times New Roman" w:hAnsi="Times New Roman" w:cs="Times New Roman"/>
          <w:sz w:val="24"/>
          <w:szCs w:val="24"/>
        </w:rPr>
      </w:pPr>
      <w:r>
        <w:rPr>
          <w:rFonts w:ascii="Times New Roman" w:hAnsi="Times New Roman" w:cs="Times New Roman"/>
          <w:sz w:val="24"/>
          <w:szCs w:val="24"/>
        </w:rPr>
        <w:t xml:space="preserve">Il a toujours cru depuis le début, qu’avec KYA, non seulement l’impact académique et scientifique sera maintenu grâce à la cellule de recherche et développement créée au sein de l’entreprise, mais surtout l’impact de ses solutions énergétiques envers une plus grande frange de la population africaine sera plus perceptible et notable. </w:t>
      </w:r>
    </w:p>
    <w:p w14:paraId="242CE919">
      <w:pPr>
        <w:jc w:val="both"/>
        <w:rPr>
          <w:rFonts w:ascii="Times New Roman" w:hAnsi="Times New Roman" w:cs="Times New Roman"/>
          <w:sz w:val="24"/>
          <w:szCs w:val="24"/>
        </w:rPr>
      </w:pPr>
      <w:r>
        <w:rPr>
          <w:rFonts w:ascii="Times New Roman" w:hAnsi="Times New Roman" w:cs="Times New Roman"/>
          <w:sz w:val="24"/>
          <w:szCs w:val="24"/>
        </w:rPr>
        <w:t>Après dix années de développement de KYA, les faits lui donnent plutôt raison et nous croyons que l’impact et le rayonnement de KYA dépasseront, dans les années à venir, toutes les attentes.</w:t>
      </w:r>
    </w:p>
    <w:p w14:paraId="69F72E69">
      <w:pPr>
        <w:jc w:val="both"/>
        <w:rPr>
          <w:rFonts w:ascii="Times New Roman" w:hAnsi="Times New Roman" w:cs="Times New Roman"/>
          <w:sz w:val="24"/>
          <w:szCs w:val="24"/>
        </w:rPr>
      </w:pPr>
    </w:p>
    <w:p w14:paraId="4ABC532D">
      <w:pPr>
        <w:jc w:val="both"/>
        <w:rPr>
          <w:rFonts w:ascii="Times New Roman" w:hAnsi="Times New Roman" w:cs="Times New Roman"/>
          <w:sz w:val="24"/>
          <w:szCs w:val="24"/>
        </w:rPr>
      </w:pPr>
    </w:p>
    <w:p w14:paraId="35CFC7CE">
      <w:pPr>
        <w:rPr>
          <w:rFonts w:ascii="Times New Roman" w:hAnsi="Times New Roman" w:cs="Times New Roman"/>
          <w:sz w:val="24"/>
          <w:szCs w:val="24"/>
        </w:rPr>
      </w:pPr>
      <w:r>
        <w:rPr>
          <w:rFonts w:ascii="Times New Roman" w:hAnsi="Times New Roman" w:cs="Times New Roman"/>
          <w:sz w:val="24"/>
          <w:szCs w:val="24"/>
        </w:rPr>
        <w:br w:type="page"/>
      </w:r>
    </w:p>
    <w:p w14:paraId="7F30F73C">
      <w:pPr>
        <w:pStyle w:val="36"/>
        <w:numPr>
          <w:ilvl w:val="0"/>
          <w:numId w:val="27"/>
        </w:numPr>
        <w:spacing w:before="100" w:beforeAutospacing="1" w:after="100" w:afterAutospacing="1" w:line="240" w:lineRule="auto"/>
        <w:jc w:val="both"/>
        <w:outlineLvl w:val="1"/>
        <w:rPr>
          <w:rFonts w:ascii="Times New Roman" w:hAnsi="Times New Roman" w:cs="Times New Roman"/>
          <w:b/>
          <w:bCs/>
          <w:color w:val="009999"/>
          <w:sz w:val="36"/>
          <w:szCs w:val="36"/>
        </w:rPr>
      </w:pPr>
      <w:bookmarkStart w:id="1" w:name="_Hlk190730915"/>
      <w:r>
        <w:rPr>
          <w:rFonts w:ascii="Times New Roman" w:hAnsi="Times New Roman" w:cs="Times New Roman"/>
          <w:b/>
          <w:bCs/>
          <w:color w:val="009999"/>
          <w:sz w:val="36"/>
          <w:szCs w:val="36"/>
        </w:rPr>
        <w:t xml:space="preserve">Notre vision, mission et nos valeurs </w:t>
      </w:r>
      <w:bookmarkEnd w:id="1"/>
    </w:p>
    <w:p w14:paraId="1489AAFE">
      <w:pPr>
        <w:jc w:val="center"/>
        <w:rPr>
          <w:rFonts w:ascii="Times New Roman" w:hAnsi="Times New Roman" w:cs="Times New Roman"/>
          <w:b/>
          <w:bCs/>
          <w:sz w:val="24"/>
          <w:szCs w:val="24"/>
          <w:highlight w:val="yellow"/>
        </w:rPr>
      </w:pPr>
      <w:r>
        <w:rPr>
          <w:rFonts w:ascii="Times New Roman" w:hAnsi="Times New Roman" w:cs="Times New Roman"/>
        </w:rPr>
        <w:drawing>
          <wp:inline distT="0" distB="0" distL="0" distR="0">
            <wp:extent cx="4619625" cy="2573655"/>
            <wp:effectExtent l="0" t="0" r="0" b="0"/>
            <wp:docPr id="69728089" name="Image 22" descr="Recherche et développement : Kya Energy Group signe un partenariat avec 2IE  - Togo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8089" name="Image 22" descr="Recherche et développement : Kya Energy Group signe un partenariat avec 2IE  - Togo First"/>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a:xfrm flipH="1">
                      <a:off x="0" y="0"/>
                      <a:ext cx="4626343" cy="2577473"/>
                    </a:xfrm>
                    <a:prstGeom prst="rect">
                      <a:avLst/>
                    </a:prstGeom>
                    <a:noFill/>
                    <a:ln>
                      <a:noFill/>
                    </a:ln>
                  </pic:spPr>
                </pic:pic>
              </a:graphicData>
            </a:graphic>
          </wp:inline>
        </w:drawing>
      </w:r>
    </w:p>
    <w:p w14:paraId="00717EDC">
      <w:pPr>
        <w:rPr>
          <w:rFonts w:ascii="Times New Roman" w:hAnsi="Times New Roman" w:cs="Times New Roman"/>
          <w:b/>
          <w:bCs/>
          <w:sz w:val="24"/>
          <w:szCs w:val="24"/>
          <w:highlight w:val="yellow"/>
        </w:rPr>
      </w:pPr>
    </w:p>
    <w:tbl>
      <w:tblPr>
        <w:tblStyle w:val="4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1"/>
        <w:gridCol w:w="3021"/>
      </w:tblGrid>
      <w:tr w14:paraId="61BE9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right w:val="single" w:color="169B86" w:sz="24" w:space="0"/>
            </w:tcBorders>
          </w:tcPr>
          <w:p w14:paraId="1D1C7453">
            <w:pPr>
              <w:spacing w:after="0" w:line="240" w:lineRule="auto"/>
              <w:jc w:val="center"/>
              <w:rPr>
                <w:rFonts w:ascii="Times New Roman" w:hAnsi="Times New Roman" w:cs="Times New Roman"/>
                <w:b/>
                <w:bCs/>
                <w:color w:val="ED7D31" w:themeColor="accent2"/>
                <w:sz w:val="32"/>
                <w:szCs w:val="32"/>
                <w:lang w:val="fr-FR"/>
                <w14:textFill>
                  <w14:solidFill>
                    <w14:schemeClr w14:val="accent2"/>
                  </w14:solidFill>
                </w14:textFill>
              </w:rPr>
            </w:pPr>
            <w:r>
              <w:rPr>
                <w:rFonts w:ascii="Times New Roman" w:hAnsi="Times New Roman" w:cs="Times New Roman"/>
                <w:b/>
                <w:bCs/>
                <w:color w:val="ED7D31" w:themeColor="accent2"/>
                <w:sz w:val="32"/>
                <w:szCs w:val="32"/>
                <w:lang w:val="fr-FR"/>
                <w14:textFill>
                  <w14:solidFill>
                    <w14:schemeClr w14:val="accent2"/>
                  </w14:solidFill>
                </w14:textFill>
              </w:rPr>
              <w:t>Notre vision</w:t>
            </w:r>
          </w:p>
        </w:tc>
        <w:tc>
          <w:tcPr>
            <w:tcW w:w="3021" w:type="dxa"/>
            <w:tcBorders>
              <w:left w:val="single" w:color="169B86" w:sz="24" w:space="0"/>
              <w:right w:val="single" w:color="169B86" w:sz="24" w:space="0"/>
            </w:tcBorders>
          </w:tcPr>
          <w:p w14:paraId="67A742AF">
            <w:pPr>
              <w:spacing w:after="0" w:line="240" w:lineRule="auto"/>
              <w:jc w:val="center"/>
              <w:rPr>
                <w:rFonts w:ascii="Times New Roman" w:hAnsi="Times New Roman" w:cs="Times New Roman"/>
                <w:b/>
                <w:bCs/>
                <w:color w:val="ED7D31" w:themeColor="accent2"/>
                <w:sz w:val="32"/>
                <w:szCs w:val="32"/>
                <w:lang w:val="fr-FR"/>
                <w14:textFill>
                  <w14:solidFill>
                    <w14:schemeClr w14:val="accent2"/>
                  </w14:solidFill>
                </w14:textFill>
              </w:rPr>
            </w:pPr>
            <w:r>
              <w:rPr>
                <w:rFonts w:ascii="Times New Roman" w:hAnsi="Times New Roman" w:cs="Times New Roman"/>
                <w:b/>
                <w:bCs/>
                <w:color w:val="ED7D31" w:themeColor="accent2"/>
                <w:sz w:val="32"/>
                <w:szCs w:val="32"/>
                <w:lang w:val="fr-FR"/>
                <w14:textFill>
                  <w14:solidFill>
                    <w14:schemeClr w14:val="accent2"/>
                  </w14:solidFill>
                </w14:textFill>
              </w:rPr>
              <w:t>Notre mission</w:t>
            </w:r>
          </w:p>
        </w:tc>
        <w:tc>
          <w:tcPr>
            <w:tcW w:w="3021" w:type="dxa"/>
            <w:tcBorders>
              <w:left w:val="single" w:color="169B86" w:sz="24" w:space="0"/>
            </w:tcBorders>
          </w:tcPr>
          <w:p w14:paraId="16B61133">
            <w:pPr>
              <w:spacing w:after="0" w:line="240" w:lineRule="auto"/>
              <w:jc w:val="center"/>
              <w:rPr>
                <w:rFonts w:ascii="Times New Roman" w:hAnsi="Times New Roman" w:cs="Times New Roman"/>
                <w:b/>
                <w:bCs/>
                <w:color w:val="ED7D31" w:themeColor="accent2"/>
                <w:sz w:val="32"/>
                <w:szCs w:val="32"/>
                <w:lang w:val="fr-FR"/>
                <w14:textFill>
                  <w14:solidFill>
                    <w14:schemeClr w14:val="accent2"/>
                  </w14:solidFill>
                </w14:textFill>
              </w:rPr>
            </w:pPr>
            <w:r>
              <w:rPr>
                <w:rFonts w:ascii="Times New Roman" w:hAnsi="Times New Roman" w:cs="Times New Roman"/>
                <w:b/>
                <w:bCs/>
                <w:color w:val="ED7D31" w:themeColor="accent2"/>
                <w:sz w:val="32"/>
                <w:szCs w:val="32"/>
                <w:lang w:val="fr-FR"/>
                <w14:textFill>
                  <w14:solidFill>
                    <w14:schemeClr w14:val="accent2"/>
                  </w14:solidFill>
                </w14:textFill>
              </w:rPr>
              <w:t>Nos valeurs</w:t>
            </w:r>
          </w:p>
        </w:tc>
      </w:tr>
      <w:tr w14:paraId="62A7F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7" w:hRule="atLeast"/>
        </w:trPr>
        <w:tc>
          <w:tcPr>
            <w:tcW w:w="3020" w:type="dxa"/>
            <w:tcBorders>
              <w:right w:val="single" w:color="169B86" w:sz="24" w:space="0"/>
            </w:tcBorders>
          </w:tcPr>
          <w:p w14:paraId="67A4CAA4">
            <w:pPr>
              <w:spacing w:after="0" w:line="240" w:lineRule="auto"/>
              <w:jc w:val="center"/>
              <w:rPr>
                <w:rFonts w:ascii="Times New Roman" w:hAnsi="Times New Roman" w:cs="Times New Roman"/>
                <w:b/>
                <w:bCs/>
                <w:sz w:val="24"/>
                <w:szCs w:val="24"/>
                <w:highlight w:val="yellow"/>
                <w:lang w:val="fr-FR"/>
              </w:rPr>
            </w:pPr>
            <w:r>
              <w:rPr>
                <w:rFonts w:ascii="Times New Roman" w:hAnsi="Times New Roman" w:cs="Times New Roman"/>
                <w:b/>
                <w:bCs/>
                <w:sz w:val="24"/>
                <w:szCs w:val="24"/>
                <w:lang w:val="en-US"/>
              </w:rPr>
              <w:drawing>
                <wp:inline distT="0" distB="0" distL="0" distR="0">
                  <wp:extent cx="700405" cy="495300"/>
                  <wp:effectExtent l="0" t="0" r="4445" b="0"/>
                  <wp:docPr id="145665759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57598" name="Image 14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flipH="1">
                            <a:off x="0" y="0"/>
                            <a:ext cx="707417" cy="499967"/>
                          </a:xfrm>
                          <a:prstGeom prst="rect">
                            <a:avLst/>
                          </a:prstGeom>
                        </pic:spPr>
                      </pic:pic>
                    </a:graphicData>
                  </a:graphic>
                </wp:inline>
              </w:drawing>
            </w:r>
          </w:p>
        </w:tc>
        <w:tc>
          <w:tcPr>
            <w:tcW w:w="3021" w:type="dxa"/>
            <w:tcBorders>
              <w:left w:val="single" w:color="169B86" w:sz="24" w:space="0"/>
              <w:right w:val="single" w:color="169B86" w:sz="24" w:space="0"/>
            </w:tcBorders>
          </w:tcPr>
          <w:p w14:paraId="37FEEBF7">
            <w:pPr>
              <w:spacing w:after="0" w:line="240" w:lineRule="auto"/>
              <w:jc w:val="center"/>
              <w:rPr>
                <w:rFonts w:ascii="Times New Roman" w:hAnsi="Times New Roman" w:cs="Times New Roman"/>
                <w:b/>
                <w:bCs/>
                <w:sz w:val="24"/>
                <w:szCs w:val="24"/>
                <w:highlight w:val="yellow"/>
                <w:lang w:val="fr-FR"/>
              </w:rPr>
            </w:pPr>
            <w:r>
              <w:rPr>
                <w:rFonts w:ascii="Times New Roman" w:hAnsi="Times New Roman" w:cs="Times New Roman"/>
                <w:b/>
                <w:bCs/>
                <w:sz w:val="24"/>
                <w:szCs w:val="24"/>
                <w:lang w:val="en-US"/>
              </w:rPr>
              <w:drawing>
                <wp:inline distT="0" distB="0" distL="0" distR="0">
                  <wp:extent cx="714375" cy="714375"/>
                  <wp:effectExtent l="0" t="0" r="9525" b="9525"/>
                  <wp:docPr id="646724655"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24655" name="Image 14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4576" cy="714576"/>
                          </a:xfrm>
                          <a:prstGeom prst="rect">
                            <a:avLst/>
                          </a:prstGeom>
                        </pic:spPr>
                      </pic:pic>
                    </a:graphicData>
                  </a:graphic>
                </wp:inline>
              </w:drawing>
            </w:r>
          </w:p>
        </w:tc>
        <w:tc>
          <w:tcPr>
            <w:tcW w:w="3021" w:type="dxa"/>
            <w:tcBorders>
              <w:left w:val="single" w:color="169B86" w:sz="24" w:space="0"/>
            </w:tcBorders>
          </w:tcPr>
          <w:p w14:paraId="49AF3C45">
            <w:pPr>
              <w:spacing w:after="0" w:line="240" w:lineRule="auto"/>
              <w:jc w:val="center"/>
              <w:rPr>
                <w:rFonts w:ascii="Times New Roman" w:hAnsi="Times New Roman" w:cs="Times New Roman"/>
                <w:b/>
                <w:bCs/>
                <w:sz w:val="24"/>
                <w:szCs w:val="24"/>
                <w:highlight w:val="yellow"/>
                <w:lang w:val="fr-FR"/>
              </w:rPr>
            </w:pPr>
            <w:r>
              <w:rPr>
                <w:rFonts w:ascii="Times New Roman" w:hAnsi="Times New Roman" w:cs="Times New Roman"/>
                <w:b/>
                <w:bCs/>
                <w:sz w:val="24"/>
                <w:szCs w:val="24"/>
                <w:lang w:val="en-US"/>
              </w:rPr>
              <w:drawing>
                <wp:inline distT="0" distB="0" distL="0" distR="0">
                  <wp:extent cx="655320" cy="604520"/>
                  <wp:effectExtent l="0" t="0" r="0" b="5080"/>
                  <wp:docPr id="1824027212"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7212" name="Image 150"/>
                          <pic:cNvPicPr>
                            <a:picLocks noChangeAspect="1"/>
                          </pic:cNvPicPr>
                        </pic:nvPicPr>
                        <pic:blipFill>
                          <a:blip r:embed="rId34" cstate="print">
                            <a:extLst>
                              <a:ext uri="{28A0092B-C50C-407E-A947-70E740481C1C}">
                                <a14:useLocalDpi xmlns:a14="http://schemas.microsoft.com/office/drawing/2010/main" val="0"/>
                              </a:ext>
                            </a:extLst>
                          </a:blip>
                          <a:srcRect b="14645"/>
                          <a:stretch>
                            <a:fillRect/>
                          </a:stretch>
                        </pic:blipFill>
                        <pic:spPr>
                          <a:xfrm>
                            <a:off x="0" y="0"/>
                            <a:ext cx="655721" cy="604601"/>
                          </a:xfrm>
                          <a:prstGeom prst="rect">
                            <a:avLst/>
                          </a:prstGeom>
                          <a:ln>
                            <a:noFill/>
                          </a:ln>
                        </pic:spPr>
                      </pic:pic>
                    </a:graphicData>
                  </a:graphic>
                </wp:inline>
              </w:drawing>
            </w:r>
          </w:p>
        </w:tc>
      </w:tr>
      <w:tr w14:paraId="60B53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right w:val="single" w:color="169B86" w:sz="24" w:space="0"/>
            </w:tcBorders>
            <w:vAlign w:val="center"/>
          </w:tcPr>
          <w:p w14:paraId="61F73DF1">
            <w:pPr>
              <w:spacing w:after="0" w:line="240" w:lineRule="auto"/>
              <w:jc w:val="both"/>
              <w:rPr>
                <w:rFonts w:ascii="Times New Roman" w:hAnsi="Times New Roman" w:cs="Times New Roman"/>
                <w:sz w:val="24"/>
                <w:szCs w:val="24"/>
                <w:lang w:val="fr-FR"/>
              </w:rPr>
            </w:pPr>
            <w:r>
              <w:rPr>
                <w:rFonts w:ascii="Times New Roman" w:hAnsi="Times New Roman" w:cs="Times New Roman"/>
                <w:color w:val="000000" w:themeColor="text1"/>
                <w:sz w:val="24"/>
                <w:szCs w:val="24"/>
                <w:lang w:val="fr-FR" w:eastAsia="fr-FR"/>
                <w14:textFill>
                  <w14:solidFill>
                    <w14:schemeClr w14:val="tx1"/>
                  </w14:solidFill>
                </w14:textFill>
              </w:rPr>
              <w:t>Démocratiser l’accès à l’énergie durable</w:t>
            </w:r>
          </w:p>
        </w:tc>
        <w:tc>
          <w:tcPr>
            <w:tcW w:w="3021" w:type="dxa"/>
            <w:tcBorders>
              <w:left w:val="single" w:color="169B86" w:sz="24" w:space="0"/>
              <w:right w:val="single" w:color="169B86" w:sz="24" w:space="0"/>
            </w:tcBorders>
            <w:vAlign w:val="center"/>
          </w:tcPr>
          <w:p w14:paraId="651039A4">
            <w:pPr>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Transformer, de façon innovante, des ressources énergétiques renouvelables pour produire de l’énergie propre, fiable et abordable à tous.</w:t>
            </w:r>
          </w:p>
        </w:tc>
        <w:tc>
          <w:tcPr>
            <w:tcW w:w="3021" w:type="dxa"/>
            <w:tcBorders>
              <w:left w:val="single" w:color="169B86" w:sz="24" w:space="0"/>
            </w:tcBorders>
            <w:vAlign w:val="center"/>
          </w:tcPr>
          <w:p w14:paraId="3A80226B">
            <w:pPr>
              <w:spacing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Professionnalisme, Rigueur, Esprit d’équipe, Ecoute du client, Intégrité, Transparence, Equité et Innovation.</w:t>
            </w:r>
          </w:p>
        </w:tc>
      </w:tr>
    </w:tbl>
    <w:p w14:paraId="22AD91E3">
      <w:pPr>
        <w:rPr>
          <w:rFonts w:ascii="Times New Roman" w:hAnsi="Times New Roman" w:cs="Times New Roman"/>
          <w:b/>
          <w:bCs/>
        </w:rPr>
      </w:pPr>
    </w:p>
    <w:p w14:paraId="77C27FB0">
      <w:pPr>
        <w:rPr>
          <w:rFonts w:ascii="Times New Roman" w:hAnsi="Times New Roman" w:cs="Times New Roman"/>
        </w:rPr>
      </w:pPr>
    </w:p>
    <w:p w14:paraId="7BA9750D">
      <w:pPr>
        <w:rPr>
          <w:rFonts w:ascii="Times New Roman" w:hAnsi="Times New Roman" w:cs="Times New Roman"/>
        </w:rPr>
      </w:pPr>
    </w:p>
    <w:p w14:paraId="2EFC6624">
      <w:pPr>
        <w:rPr>
          <w:rFonts w:ascii="Times New Roman" w:hAnsi="Times New Roman" w:cs="Times New Roman"/>
        </w:rPr>
      </w:pPr>
    </w:p>
    <w:p w14:paraId="650A833B">
      <w:pPr>
        <w:rPr>
          <w:rFonts w:ascii="Times New Roman" w:hAnsi="Times New Roman" w:cs="Times New Roman"/>
        </w:rPr>
      </w:pPr>
    </w:p>
    <w:sectPr>
      <w:footerReference r:id="rId9"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C7E33">
    <w:pPr>
      <w:pStyle w:val="19"/>
      <w:jc w:val="right"/>
    </w:pPr>
    <w:sdt>
      <w:sdtPr>
        <w:id w:val="-468823607"/>
        <w:docPartObj>
          <w:docPartGallery w:val="AutoText"/>
        </w:docPartObj>
      </w:sdtPr>
      <w:sdtContent>
        <w:r>
          <w:fldChar w:fldCharType="begin"/>
        </w:r>
        <w:r>
          <w:instrText xml:space="preserve">PAGE   \* MERGEFORMAT</w:instrText>
        </w:r>
        <w:r>
          <w:fldChar w:fldCharType="separate"/>
        </w:r>
        <w:r>
          <w:t>15</w:t>
        </w:r>
        <w:r>
          <w:fldChar w:fldCharType="end"/>
        </w:r>
      </w:sdtContent>
    </w:sdt>
    <w:r>
      <w:t>/18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F4745">
    <w:pPr>
      <w:pStyle w:val="19"/>
      <w:jc w:val="right"/>
    </w:pPr>
  </w:p>
  <w:p w14:paraId="2CFE0A12">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B01AD">
    <w:pPr>
      <w:pStyle w:val="19"/>
      <w:jc w:val="right"/>
    </w:pPr>
    <w:r>
      <w:rPr>
        <w:color w:val="4472C4" w:themeColor="accent1"/>
        <w:sz w:val="20"/>
        <w:szCs w:val="20"/>
        <w14:textFill>
          <w14:solidFill>
            <w14:schemeClr w14:val="accent1"/>
          </w14:solidFill>
        </w14:textFill>
      </w:rPr>
      <w:t xml:space="preserve">p. </w:t>
    </w:r>
    <w:r>
      <w:rPr>
        <w:color w:val="4472C4" w:themeColor="accent1"/>
        <w:sz w:val="20"/>
        <w:szCs w:val="20"/>
        <w14:textFill>
          <w14:solidFill>
            <w14:schemeClr w14:val="accent1"/>
          </w14:solidFill>
        </w14:textFill>
      </w:rPr>
      <w:fldChar w:fldCharType="begin"/>
    </w:r>
    <w:r>
      <w:rPr>
        <w:color w:val="4472C4" w:themeColor="accent1"/>
        <w:sz w:val="20"/>
        <w:szCs w:val="20"/>
        <w14:textFill>
          <w14:solidFill>
            <w14:schemeClr w14:val="accent1"/>
          </w14:solidFill>
        </w14:textFill>
      </w:rPr>
      <w:instrText xml:space="preserve">PAGE  \* Arabic</w:instrText>
    </w:r>
    <w:r>
      <w:rPr>
        <w:color w:val="4472C4" w:themeColor="accent1"/>
        <w:sz w:val="20"/>
        <w:szCs w:val="20"/>
        <w14:textFill>
          <w14:solidFill>
            <w14:schemeClr w14:val="accent1"/>
          </w14:solidFill>
        </w14:textFill>
      </w:rPr>
      <w:fldChar w:fldCharType="separate"/>
    </w:r>
    <w:r>
      <w:rPr>
        <w:color w:val="4472C4" w:themeColor="accent1"/>
        <w:sz w:val="20"/>
        <w:szCs w:val="20"/>
        <w14:textFill>
          <w14:solidFill>
            <w14:schemeClr w14:val="accent1"/>
          </w14:solidFill>
        </w14:textFill>
      </w:rPr>
      <w:t>1</w:t>
    </w:r>
    <w:r>
      <w:rPr>
        <w:color w:val="4472C4" w:themeColor="accent1"/>
        <w:sz w:val="20"/>
        <w:szCs w:val="20"/>
        <w14:textFill>
          <w14:solidFill>
            <w14:schemeClr w14:val="accent1"/>
          </w14:solidFill>
        </w14:textFill>
      </w:rPr>
      <w:fldChar w:fldCharType="end"/>
    </w:r>
  </w:p>
  <w:p w14:paraId="0B3CE12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EDCE">
    <w:pPr>
      <w:pStyle w:val="20"/>
    </w:pPr>
    <w:r>
      <w:drawing>
        <wp:anchor distT="0" distB="0" distL="114300" distR="114300" simplePos="0" relativeHeight="251659264" behindDoc="0" locked="0" layoutInCell="1" allowOverlap="1">
          <wp:simplePos x="0" y="0"/>
          <wp:positionH relativeFrom="margin">
            <wp:posOffset>73025</wp:posOffset>
          </wp:positionH>
          <wp:positionV relativeFrom="paragraph">
            <wp:posOffset>-250190</wp:posOffset>
          </wp:positionV>
          <wp:extent cx="468630" cy="521335"/>
          <wp:effectExtent l="0" t="0" r="7620" b="0"/>
          <wp:wrapNone/>
          <wp:docPr id="1027216094" name="Image 102721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16094" name="Image 102721609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76191" cy="529102"/>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33241">
    <w:pPr>
      <w:pStyle w:val="20"/>
      <w:jc w:val="center"/>
    </w:pPr>
    <w:r>
      <w:rPr>
        <w:lang w:eastAsia="fr-FR"/>
      </w:rPr>
      <w:drawing>
        <wp:inline distT="0" distB="0" distL="0" distR="0">
          <wp:extent cx="838200" cy="933450"/>
          <wp:effectExtent l="0" t="0" r="0" b="0"/>
          <wp:docPr id="1243088684" name="Image 124308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88684" name="Image 12430886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38200" cy="9334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922B6D"/>
    <w:multiLevelType w:val="multilevel"/>
    <w:tmpl w:val="0E922B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F6368D"/>
    <w:multiLevelType w:val="multilevel"/>
    <w:tmpl w:val="0EF6368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52859C5"/>
    <w:multiLevelType w:val="multilevel"/>
    <w:tmpl w:val="152859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A51F2F"/>
    <w:multiLevelType w:val="multilevel"/>
    <w:tmpl w:val="15A51F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1B62D8"/>
    <w:multiLevelType w:val="multilevel"/>
    <w:tmpl w:val="1C1B62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FD576ED"/>
    <w:multiLevelType w:val="multilevel"/>
    <w:tmpl w:val="1FD576ED"/>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90B468B"/>
    <w:multiLevelType w:val="multilevel"/>
    <w:tmpl w:val="290B46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94035FD"/>
    <w:multiLevelType w:val="multilevel"/>
    <w:tmpl w:val="294035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AC04D49"/>
    <w:multiLevelType w:val="multilevel"/>
    <w:tmpl w:val="2AC04D4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1A675D5"/>
    <w:multiLevelType w:val="multilevel"/>
    <w:tmpl w:val="31A675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62410C"/>
    <w:multiLevelType w:val="multilevel"/>
    <w:tmpl w:val="3562410C"/>
    <w:lvl w:ilvl="0" w:tentative="0">
      <w:start w:val="1"/>
      <w:numFmt w:val="decimal"/>
      <w:lvlText w:val="%1."/>
      <w:lvlJc w:val="left"/>
      <w:pPr>
        <w:ind w:left="786" w:hanging="360"/>
      </w:pPr>
    </w:lvl>
    <w:lvl w:ilvl="1" w:tentative="0">
      <w:start w:val="1"/>
      <w:numFmt w:val="lowerLetter"/>
      <w:lvlText w:val="%2."/>
      <w:lvlJc w:val="left"/>
      <w:pPr>
        <w:ind w:left="2508" w:hanging="360"/>
      </w:pPr>
    </w:lvl>
    <w:lvl w:ilvl="2" w:tentative="0">
      <w:start w:val="1"/>
      <w:numFmt w:val="lowerRoman"/>
      <w:lvlText w:val="%3."/>
      <w:lvlJc w:val="right"/>
      <w:pPr>
        <w:ind w:left="3228" w:hanging="180"/>
      </w:pPr>
    </w:lvl>
    <w:lvl w:ilvl="3" w:tentative="0">
      <w:start w:val="1"/>
      <w:numFmt w:val="decimal"/>
      <w:lvlText w:val="%4."/>
      <w:lvlJc w:val="left"/>
      <w:pPr>
        <w:ind w:left="3948" w:hanging="360"/>
      </w:pPr>
    </w:lvl>
    <w:lvl w:ilvl="4" w:tentative="0">
      <w:start w:val="1"/>
      <w:numFmt w:val="lowerLetter"/>
      <w:lvlText w:val="%5."/>
      <w:lvlJc w:val="left"/>
      <w:pPr>
        <w:ind w:left="4668" w:hanging="360"/>
      </w:pPr>
    </w:lvl>
    <w:lvl w:ilvl="5" w:tentative="0">
      <w:start w:val="1"/>
      <w:numFmt w:val="lowerRoman"/>
      <w:lvlText w:val="%6."/>
      <w:lvlJc w:val="right"/>
      <w:pPr>
        <w:ind w:left="5388" w:hanging="180"/>
      </w:pPr>
    </w:lvl>
    <w:lvl w:ilvl="6" w:tentative="0">
      <w:start w:val="1"/>
      <w:numFmt w:val="decimal"/>
      <w:lvlText w:val="%7."/>
      <w:lvlJc w:val="left"/>
      <w:pPr>
        <w:ind w:left="6108" w:hanging="360"/>
      </w:pPr>
    </w:lvl>
    <w:lvl w:ilvl="7" w:tentative="0">
      <w:start w:val="1"/>
      <w:numFmt w:val="lowerLetter"/>
      <w:lvlText w:val="%8."/>
      <w:lvlJc w:val="left"/>
      <w:pPr>
        <w:ind w:left="6828" w:hanging="360"/>
      </w:pPr>
    </w:lvl>
    <w:lvl w:ilvl="8" w:tentative="0">
      <w:start w:val="1"/>
      <w:numFmt w:val="lowerRoman"/>
      <w:lvlText w:val="%9."/>
      <w:lvlJc w:val="right"/>
      <w:pPr>
        <w:ind w:left="7548" w:hanging="180"/>
      </w:pPr>
    </w:lvl>
  </w:abstractNum>
  <w:abstractNum w:abstractNumId="11">
    <w:nsid w:val="3D647090"/>
    <w:multiLevelType w:val="multilevel"/>
    <w:tmpl w:val="3D6470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F96236"/>
    <w:multiLevelType w:val="multilevel"/>
    <w:tmpl w:val="40F962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DD82ED4"/>
    <w:multiLevelType w:val="multilevel"/>
    <w:tmpl w:val="4DD82E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150A8F"/>
    <w:multiLevelType w:val="multilevel"/>
    <w:tmpl w:val="50150A8F"/>
    <w:lvl w:ilvl="0" w:tentative="0">
      <w:start w:val="1"/>
      <w:numFmt w:val="lowerLetter"/>
      <w:lvlText w:val="%1)"/>
      <w:lvlJc w:val="left"/>
      <w:pPr>
        <w:ind w:left="780" w:hanging="360"/>
      </w:p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15">
    <w:nsid w:val="561831C0"/>
    <w:multiLevelType w:val="multilevel"/>
    <w:tmpl w:val="561831C0"/>
    <w:lvl w:ilvl="0" w:tentative="0">
      <w:start w:val="3"/>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B022848"/>
    <w:multiLevelType w:val="multilevel"/>
    <w:tmpl w:val="5B0228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1E02467"/>
    <w:multiLevelType w:val="multilevel"/>
    <w:tmpl w:val="61E02467"/>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8F250A5"/>
    <w:multiLevelType w:val="multilevel"/>
    <w:tmpl w:val="68F250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C9B4E93"/>
    <w:multiLevelType w:val="multilevel"/>
    <w:tmpl w:val="6C9B4E93"/>
    <w:lvl w:ilvl="0" w:tentative="0">
      <w:start w:val="1"/>
      <w:numFmt w:val="upperRoman"/>
      <w:lvlText w:val="%1."/>
      <w:lvlJc w:val="right"/>
      <w:pPr>
        <w:ind w:left="820" w:hanging="360"/>
      </w:pPr>
    </w:lvl>
    <w:lvl w:ilvl="1" w:tentative="0">
      <w:start w:val="1"/>
      <w:numFmt w:val="decimal"/>
      <w:lvlText w:val="%2."/>
      <w:lvlJc w:val="left"/>
      <w:pPr>
        <w:ind w:left="1540" w:hanging="360"/>
      </w:pPr>
      <w:rPr>
        <w:rFonts w:hint="default"/>
        <w:b/>
        <w:bCs/>
        <w:color w:val="006666"/>
      </w:rPr>
    </w:lvl>
    <w:lvl w:ilvl="2" w:tentative="0">
      <w:start w:val="1"/>
      <w:numFmt w:val="lowerRoman"/>
      <w:lvlText w:val="%3."/>
      <w:lvlJc w:val="right"/>
      <w:pPr>
        <w:ind w:left="2260" w:hanging="180"/>
      </w:pPr>
    </w:lvl>
    <w:lvl w:ilvl="3" w:tentative="0">
      <w:start w:val="1"/>
      <w:numFmt w:val="decimal"/>
      <w:lvlText w:val="%4."/>
      <w:lvlJc w:val="left"/>
      <w:pPr>
        <w:ind w:left="2980" w:hanging="360"/>
      </w:pPr>
    </w:lvl>
    <w:lvl w:ilvl="4" w:tentative="0">
      <w:start w:val="1"/>
      <w:numFmt w:val="lowerLetter"/>
      <w:lvlText w:val="%5."/>
      <w:lvlJc w:val="left"/>
      <w:pPr>
        <w:ind w:left="3700" w:hanging="360"/>
      </w:pPr>
    </w:lvl>
    <w:lvl w:ilvl="5" w:tentative="0">
      <w:start w:val="1"/>
      <w:numFmt w:val="lowerRoman"/>
      <w:lvlText w:val="%6."/>
      <w:lvlJc w:val="right"/>
      <w:pPr>
        <w:ind w:left="4420" w:hanging="180"/>
      </w:pPr>
    </w:lvl>
    <w:lvl w:ilvl="6" w:tentative="0">
      <w:start w:val="1"/>
      <w:numFmt w:val="decimal"/>
      <w:lvlText w:val="%7."/>
      <w:lvlJc w:val="left"/>
      <w:pPr>
        <w:ind w:left="5140" w:hanging="360"/>
      </w:pPr>
    </w:lvl>
    <w:lvl w:ilvl="7" w:tentative="0">
      <w:start w:val="1"/>
      <w:numFmt w:val="lowerLetter"/>
      <w:lvlText w:val="%8."/>
      <w:lvlJc w:val="left"/>
      <w:pPr>
        <w:ind w:left="5860" w:hanging="360"/>
      </w:pPr>
    </w:lvl>
    <w:lvl w:ilvl="8" w:tentative="0">
      <w:start w:val="1"/>
      <w:numFmt w:val="lowerRoman"/>
      <w:lvlText w:val="%9."/>
      <w:lvlJc w:val="right"/>
      <w:pPr>
        <w:ind w:left="6580" w:hanging="180"/>
      </w:pPr>
    </w:lvl>
  </w:abstractNum>
  <w:abstractNum w:abstractNumId="20">
    <w:nsid w:val="6CF00264"/>
    <w:multiLevelType w:val="multilevel"/>
    <w:tmpl w:val="6CF00264"/>
    <w:lvl w:ilvl="0" w:tentative="0">
      <w:start w:val="4"/>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3084FAE"/>
    <w:multiLevelType w:val="multilevel"/>
    <w:tmpl w:val="73084FAE"/>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9DE08B7"/>
    <w:multiLevelType w:val="multilevel"/>
    <w:tmpl w:val="79DE08B7"/>
    <w:lvl w:ilvl="0" w:tentative="0">
      <w:start w:val="9"/>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BE12D15"/>
    <w:multiLevelType w:val="multilevel"/>
    <w:tmpl w:val="7BE12D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CD96C3B"/>
    <w:multiLevelType w:val="multilevel"/>
    <w:tmpl w:val="7CD96C3B"/>
    <w:lvl w:ilvl="0" w:tentative="0">
      <w:start w:val="1"/>
      <w:numFmt w:val="upperLetter"/>
      <w:lvlText w:val="%1."/>
      <w:lvlJc w:val="left"/>
      <w:pPr>
        <w:ind w:left="1440" w:hanging="360"/>
      </w:pPr>
      <w:rPr>
        <w:b/>
        <w:bCs/>
        <w:color w:val="009999"/>
        <w:sz w:val="36"/>
        <w:szCs w:val="36"/>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5">
    <w:nsid w:val="7EF97D39"/>
    <w:multiLevelType w:val="multilevel"/>
    <w:tmpl w:val="7EF97D39"/>
    <w:lvl w:ilvl="0" w:tentative="0">
      <w:start w:val="1"/>
      <w:numFmt w:val="bullet"/>
      <w:lvlText w:val=""/>
      <w:lvlJc w:val="left"/>
      <w:pPr>
        <w:tabs>
          <w:tab w:val="left" w:pos="720"/>
        </w:tabs>
        <w:ind w:left="720" w:hanging="360"/>
      </w:pPr>
      <w:rPr>
        <w:rFonts w:hint="default" w:ascii="Symbol" w:hAnsi="Symbol"/>
        <w:sz w:val="20"/>
      </w:rPr>
    </w:lvl>
    <w:lvl w:ilvl="1" w:tentative="0">
      <w:start w:val="3"/>
      <w:numFmt w:val="upperLetter"/>
      <w:lvlText w:val="%2."/>
      <w:lvlJc w:val="left"/>
      <w:pPr>
        <w:ind w:left="1800" w:hanging="72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10"/>
  </w:num>
  <w:num w:numId="4">
    <w:abstractNumId w:val="18"/>
  </w:num>
  <w:num w:numId="5">
    <w:abstractNumId w:val="2"/>
  </w:num>
  <w:num w:numId="6">
    <w:abstractNumId w:val="13"/>
  </w:num>
  <w:num w:numId="7">
    <w:abstractNumId w:val="8"/>
  </w:num>
  <w:num w:numId="8">
    <w:abstractNumId w:val="20"/>
  </w:num>
  <w:num w:numId="9">
    <w:abstractNumId w:val="12"/>
  </w:num>
  <w:num w:numId="10">
    <w:abstractNumId w:val="9"/>
  </w:num>
  <w:num w:numId="11">
    <w:abstractNumId w:val="11"/>
  </w:num>
  <w:num w:numId="12">
    <w:abstractNumId w:val="7"/>
  </w:num>
  <w:num w:numId="13">
    <w:abstractNumId w:val="21"/>
  </w:num>
  <w:num w:numId="14">
    <w:abstractNumId w:val="16"/>
  </w:num>
  <w:num w:numId="15">
    <w:abstractNumId w:val="25"/>
  </w:num>
  <w:num w:numId="16">
    <w:abstractNumId w:val="2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23"/>
  </w:num>
  <w:num w:numId="21">
    <w:abstractNumId w:val="15"/>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3"/>
  </w:num>
  <w:num w:numId="25">
    <w:abstractNumId w:val="4"/>
  </w:num>
  <w:num w:numId="26">
    <w:abstractNumId w:val="1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92E"/>
    <w:rsid w:val="0002742F"/>
    <w:rsid w:val="0003154D"/>
    <w:rsid w:val="000350A8"/>
    <w:rsid w:val="00037A4F"/>
    <w:rsid w:val="00046CFA"/>
    <w:rsid w:val="00054A48"/>
    <w:rsid w:val="00062940"/>
    <w:rsid w:val="000639C6"/>
    <w:rsid w:val="000C392E"/>
    <w:rsid w:val="000F1EAF"/>
    <w:rsid w:val="000F72B9"/>
    <w:rsid w:val="0010543A"/>
    <w:rsid w:val="00106110"/>
    <w:rsid w:val="00110244"/>
    <w:rsid w:val="001208D8"/>
    <w:rsid w:val="00121222"/>
    <w:rsid w:val="00127772"/>
    <w:rsid w:val="00131A60"/>
    <w:rsid w:val="00140C00"/>
    <w:rsid w:val="00146558"/>
    <w:rsid w:val="001633F6"/>
    <w:rsid w:val="00177C6B"/>
    <w:rsid w:val="00182596"/>
    <w:rsid w:val="001A527F"/>
    <w:rsid w:val="001B21B8"/>
    <w:rsid w:val="001B4B27"/>
    <w:rsid w:val="001E09C9"/>
    <w:rsid w:val="001F520D"/>
    <w:rsid w:val="00206B3F"/>
    <w:rsid w:val="0021688D"/>
    <w:rsid w:val="00225326"/>
    <w:rsid w:val="00232176"/>
    <w:rsid w:val="002769EF"/>
    <w:rsid w:val="00281F7B"/>
    <w:rsid w:val="00284E54"/>
    <w:rsid w:val="0028742D"/>
    <w:rsid w:val="00287FE8"/>
    <w:rsid w:val="002A4796"/>
    <w:rsid w:val="002B01F4"/>
    <w:rsid w:val="002C07CA"/>
    <w:rsid w:val="002D17C6"/>
    <w:rsid w:val="00340646"/>
    <w:rsid w:val="00345561"/>
    <w:rsid w:val="0039492D"/>
    <w:rsid w:val="003E2063"/>
    <w:rsid w:val="003E571D"/>
    <w:rsid w:val="003F3C54"/>
    <w:rsid w:val="003F4032"/>
    <w:rsid w:val="004043DC"/>
    <w:rsid w:val="00421AC3"/>
    <w:rsid w:val="0043446C"/>
    <w:rsid w:val="00442234"/>
    <w:rsid w:val="0044789E"/>
    <w:rsid w:val="004563A7"/>
    <w:rsid w:val="00461426"/>
    <w:rsid w:val="00466C38"/>
    <w:rsid w:val="00475A4F"/>
    <w:rsid w:val="004A2824"/>
    <w:rsid w:val="004A5D15"/>
    <w:rsid w:val="004E3A4B"/>
    <w:rsid w:val="005070C5"/>
    <w:rsid w:val="005416BB"/>
    <w:rsid w:val="0056217C"/>
    <w:rsid w:val="005655D3"/>
    <w:rsid w:val="00585DE3"/>
    <w:rsid w:val="005E329F"/>
    <w:rsid w:val="005E3703"/>
    <w:rsid w:val="005F1554"/>
    <w:rsid w:val="00605BC6"/>
    <w:rsid w:val="00607E36"/>
    <w:rsid w:val="00611759"/>
    <w:rsid w:val="00617465"/>
    <w:rsid w:val="00621B1C"/>
    <w:rsid w:val="00641CB5"/>
    <w:rsid w:val="00642574"/>
    <w:rsid w:val="00651E26"/>
    <w:rsid w:val="00657CC5"/>
    <w:rsid w:val="006729AE"/>
    <w:rsid w:val="0068686A"/>
    <w:rsid w:val="00691415"/>
    <w:rsid w:val="00695B4D"/>
    <w:rsid w:val="0069625A"/>
    <w:rsid w:val="006B456C"/>
    <w:rsid w:val="006E2DEF"/>
    <w:rsid w:val="006E4A40"/>
    <w:rsid w:val="006F0F0C"/>
    <w:rsid w:val="00706483"/>
    <w:rsid w:val="007076E9"/>
    <w:rsid w:val="007145B2"/>
    <w:rsid w:val="00747B3A"/>
    <w:rsid w:val="00752441"/>
    <w:rsid w:val="00780C2D"/>
    <w:rsid w:val="00790553"/>
    <w:rsid w:val="007C2EF0"/>
    <w:rsid w:val="00830303"/>
    <w:rsid w:val="00872599"/>
    <w:rsid w:val="00885511"/>
    <w:rsid w:val="0089098D"/>
    <w:rsid w:val="00892C33"/>
    <w:rsid w:val="008B30A2"/>
    <w:rsid w:val="008E1203"/>
    <w:rsid w:val="008E2548"/>
    <w:rsid w:val="00901A8B"/>
    <w:rsid w:val="00912C58"/>
    <w:rsid w:val="00914348"/>
    <w:rsid w:val="00950AF7"/>
    <w:rsid w:val="00961576"/>
    <w:rsid w:val="00963189"/>
    <w:rsid w:val="00963836"/>
    <w:rsid w:val="009821FE"/>
    <w:rsid w:val="0098485C"/>
    <w:rsid w:val="009B6381"/>
    <w:rsid w:val="009C06C3"/>
    <w:rsid w:val="009D631C"/>
    <w:rsid w:val="009E0281"/>
    <w:rsid w:val="009E42CA"/>
    <w:rsid w:val="009F5A8F"/>
    <w:rsid w:val="00A27F38"/>
    <w:rsid w:val="00A367E4"/>
    <w:rsid w:val="00A4464D"/>
    <w:rsid w:val="00A46E1B"/>
    <w:rsid w:val="00A75660"/>
    <w:rsid w:val="00A87943"/>
    <w:rsid w:val="00AD3E29"/>
    <w:rsid w:val="00AF1F6A"/>
    <w:rsid w:val="00B05E4D"/>
    <w:rsid w:val="00B05F9A"/>
    <w:rsid w:val="00B2313F"/>
    <w:rsid w:val="00B43BB0"/>
    <w:rsid w:val="00B802FD"/>
    <w:rsid w:val="00B92BB1"/>
    <w:rsid w:val="00BA7713"/>
    <w:rsid w:val="00BB389E"/>
    <w:rsid w:val="00BB52D0"/>
    <w:rsid w:val="00BC081D"/>
    <w:rsid w:val="00BC7E3E"/>
    <w:rsid w:val="00BD504F"/>
    <w:rsid w:val="00C164A4"/>
    <w:rsid w:val="00C440CD"/>
    <w:rsid w:val="00C50644"/>
    <w:rsid w:val="00C55885"/>
    <w:rsid w:val="00C63B91"/>
    <w:rsid w:val="00C64AA9"/>
    <w:rsid w:val="00C76629"/>
    <w:rsid w:val="00C803D0"/>
    <w:rsid w:val="00C81400"/>
    <w:rsid w:val="00C85A07"/>
    <w:rsid w:val="00C9536F"/>
    <w:rsid w:val="00CA334F"/>
    <w:rsid w:val="00CA33BA"/>
    <w:rsid w:val="00CA495A"/>
    <w:rsid w:val="00CC1ADD"/>
    <w:rsid w:val="00CD5272"/>
    <w:rsid w:val="00CD6235"/>
    <w:rsid w:val="00CF2779"/>
    <w:rsid w:val="00D4453F"/>
    <w:rsid w:val="00D54794"/>
    <w:rsid w:val="00D76225"/>
    <w:rsid w:val="00DD028C"/>
    <w:rsid w:val="00DD6BF2"/>
    <w:rsid w:val="00DE6106"/>
    <w:rsid w:val="00DF54E1"/>
    <w:rsid w:val="00E00747"/>
    <w:rsid w:val="00E301B9"/>
    <w:rsid w:val="00E354E7"/>
    <w:rsid w:val="00E37398"/>
    <w:rsid w:val="00E760D6"/>
    <w:rsid w:val="00E812AC"/>
    <w:rsid w:val="00E9553A"/>
    <w:rsid w:val="00EC53EF"/>
    <w:rsid w:val="00EF4638"/>
    <w:rsid w:val="00F13DEC"/>
    <w:rsid w:val="00F23753"/>
    <w:rsid w:val="00F62CA8"/>
    <w:rsid w:val="00F751F3"/>
    <w:rsid w:val="00FA1E51"/>
    <w:rsid w:val="00FC1217"/>
    <w:rsid w:val="00FD42B7"/>
    <w:rsid w:val="00FF7B42"/>
    <w:rsid w:val="25F100E3"/>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39" w:semiHidden="0" w:name="Table Grid"/>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annotation reference"/>
    <w:basedOn w:val="11"/>
    <w:semiHidden/>
    <w:unhideWhenUsed/>
    <w:uiPriority w:val="99"/>
    <w:rPr>
      <w:sz w:val="16"/>
      <w:szCs w:val="16"/>
    </w:rPr>
  </w:style>
  <w:style w:type="paragraph" w:styleId="14">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annotation subject"/>
    <w:basedOn w:val="16"/>
    <w:next w:val="16"/>
    <w:link w:val="46"/>
    <w:semiHidden/>
    <w:unhideWhenUsed/>
    <w:uiPriority w:val="99"/>
    <w:rPr>
      <w:b/>
      <w:bCs/>
    </w:rPr>
  </w:style>
  <w:style w:type="paragraph" w:styleId="16">
    <w:name w:val="annotation text"/>
    <w:basedOn w:val="1"/>
    <w:link w:val="45"/>
    <w:semiHidden/>
    <w:unhideWhenUsed/>
    <w:uiPriority w:val="99"/>
    <w:pPr>
      <w:spacing w:line="240" w:lineRule="auto"/>
    </w:pPr>
    <w:rPr>
      <w:sz w:val="20"/>
      <w:szCs w:val="20"/>
    </w:rPr>
  </w:style>
  <w:style w:type="paragraph" w:styleId="1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paragraph" w:styleId="19">
    <w:name w:val="footer"/>
    <w:basedOn w:val="1"/>
    <w:link w:val="42"/>
    <w:unhideWhenUsed/>
    <w:uiPriority w:val="99"/>
    <w:pPr>
      <w:tabs>
        <w:tab w:val="center" w:pos="4536"/>
        <w:tab w:val="right" w:pos="9072"/>
      </w:tabs>
      <w:spacing w:after="0" w:line="240" w:lineRule="auto"/>
    </w:pPr>
  </w:style>
  <w:style w:type="paragraph" w:styleId="20">
    <w:name w:val="header"/>
    <w:basedOn w:val="1"/>
    <w:link w:val="41"/>
    <w:unhideWhenUsed/>
    <w:uiPriority w:val="99"/>
    <w:pPr>
      <w:tabs>
        <w:tab w:val="center" w:pos="4536"/>
        <w:tab w:val="right" w:pos="9072"/>
      </w:tabs>
      <w:spacing w:after="0" w:line="240" w:lineRule="auto"/>
    </w:pPr>
  </w:style>
  <w:style w:type="paragraph" w:styleId="21">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Titre 1 C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Titre 2 C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Titre 3 Car"/>
    <w:basedOn w:val="11"/>
    <w:link w:val="4"/>
    <w:semiHidden/>
    <w:uiPriority w:val="9"/>
    <w:rPr>
      <w:rFonts w:eastAsiaTheme="majorEastAsia" w:cstheme="majorBidi"/>
      <w:color w:val="2F5597" w:themeColor="accent1" w:themeShade="BF"/>
      <w:sz w:val="28"/>
      <w:szCs w:val="28"/>
    </w:rPr>
  </w:style>
  <w:style w:type="character" w:customStyle="1" w:styleId="26">
    <w:name w:val="Titre 4 Car"/>
    <w:basedOn w:val="11"/>
    <w:link w:val="5"/>
    <w:semiHidden/>
    <w:uiPriority w:val="9"/>
    <w:rPr>
      <w:rFonts w:eastAsiaTheme="majorEastAsia" w:cstheme="majorBidi"/>
      <w:i/>
      <w:iCs/>
      <w:color w:val="2F5597" w:themeColor="accent1" w:themeShade="BF"/>
    </w:rPr>
  </w:style>
  <w:style w:type="character" w:customStyle="1" w:styleId="27">
    <w:name w:val="Titre 5 Car"/>
    <w:basedOn w:val="11"/>
    <w:link w:val="6"/>
    <w:semiHidden/>
    <w:uiPriority w:val="9"/>
    <w:rPr>
      <w:rFonts w:eastAsiaTheme="majorEastAsia" w:cstheme="majorBidi"/>
      <w:color w:val="2F5597" w:themeColor="accent1" w:themeShade="BF"/>
    </w:rPr>
  </w:style>
  <w:style w:type="character" w:customStyle="1" w:styleId="28">
    <w:name w:val="Titre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Titre 7 C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Titre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Titre 9 C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re Car"/>
    <w:basedOn w:val="11"/>
    <w:link w:val="21"/>
    <w:uiPriority w:val="10"/>
    <w:rPr>
      <w:rFonts w:asciiTheme="majorHAnsi" w:hAnsiTheme="majorHAnsi" w:eastAsiaTheme="majorEastAsia" w:cstheme="majorBidi"/>
      <w:spacing w:val="-10"/>
      <w:kern w:val="28"/>
      <w:sz w:val="56"/>
      <w:szCs w:val="56"/>
    </w:rPr>
  </w:style>
  <w:style w:type="character" w:customStyle="1" w:styleId="33">
    <w:name w:val="Sous-titre C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Citation C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link w:val="49"/>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Citation intense Car"/>
    <w:basedOn w:val="11"/>
    <w:link w:val="38"/>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En-tête Car"/>
    <w:basedOn w:val="11"/>
    <w:link w:val="20"/>
    <w:uiPriority w:val="99"/>
  </w:style>
  <w:style w:type="character" w:customStyle="1" w:styleId="42">
    <w:name w:val="Pied de page Car"/>
    <w:basedOn w:val="11"/>
    <w:link w:val="19"/>
    <w:uiPriority w:val="99"/>
  </w:style>
  <w:style w:type="table" w:styleId="43">
    <w:name w:val="Table Grid"/>
    <w:basedOn w:val="22"/>
    <w:uiPriority w:val="39"/>
    <w:pPr>
      <w:spacing w:after="0" w:line="240" w:lineRule="auto"/>
    </w:pPr>
    <w:rPr>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4">
    <w:name w:val="Revision"/>
    <w:hidden/>
    <w:semiHidden/>
    <w:uiPriority w:val="99"/>
    <w:pPr>
      <w:spacing w:after="0" w:line="240" w:lineRule="auto"/>
    </w:pPr>
    <w:rPr>
      <w:rFonts w:asciiTheme="minorHAnsi" w:hAnsiTheme="minorHAnsi" w:eastAsiaTheme="minorHAnsi" w:cstheme="minorBidi"/>
      <w:kern w:val="2"/>
      <w:sz w:val="22"/>
      <w:szCs w:val="22"/>
      <w:lang w:val="fr-FR" w:eastAsia="en-US" w:bidi="ar-SA"/>
      <w14:ligatures w14:val="standardContextual"/>
    </w:rPr>
  </w:style>
  <w:style w:type="character" w:customStyle="1" w:styleId="45">
    <w:name w:val="Commentaire Car"/>
    <w:basedOn w:val="11"/>
    <w:link w:val="16"/>
    <w:semiHidden/>
    <w:uiPriority w:val="99"/>
    <w:rPr>
      <w:sz w:val="20"/>
      <w:szCs w:val="20"/>
    </w:rPr>
  </w:style>
  <w:style w:type="character" w:customStyle="1" w:styleId="46">
    <w:name w:val="Objet du commentaire Car"/>
    <w:basedOn w:val="45"/>
    <w:link w:val="15"/>
    <w:semiHidden/>
    <w:uiPriority w:val="99"/>
    <w:rPr>
      <w:b/>
      <w:bCs/>
      <w:sz w:val="20"/>
      <w:szCs w:val="20"/>
    </w:rPr>
  </w:style>
  <w:style w:type="table" w:customStyle="1" w:styleId="47">
    <w:name w:val="Grid Table 4 Accent 1"/>
    <w:basedOn w:val="22"/>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8">
    <w:name w:val="Tableau Grille 4 - Accentuation 11"/>
    <w:basedOn w:val="22"/>
    <w:uiPriority w:val="49"/>
    <w:pPr>
      <w:spacing w:after="0" w:line="240" w:lineRule="auto"/>
    </w:pPr>
    <w:rPr>
      <w:rFonts w:ascii="Calibri" w:hAnsi="Calibri" w:eastAsia="Calibri" w:cs="Times New Roman"/>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49">
    <w:name w:val="Paragraphe de liste Car"/>
    <w:link w:val="36"/>
    <w:qFormat/>
    <w:uiPriority w:val="34"/>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emf"/><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BB35A4-2577-42E2-8789-1625DE4EAE43}">
  <ds:schemaRefs/>
</ds:datastoreItem>
</file>

<file path=docProps/app.xml><?xml version="1.0" encoding="utf-8"?>
<Properties xmlns="http://schemas.openxmlformats.org/officeDocument/2006/extended-properties" xmlns:vt="http://schemas.openxmlformats.org/officeDocument/2006/docPropsVTypes">
  <Template>Normal</Template>
  <Pages>28</Pages>
  <Words>993</Words>
  <Characters>5848</Characters>
  <Lines>246</Lines>
  <Paragraphs>69</Paragraphs>
  <TotalTime>461</TotalTime>
  <ScaleCrop>false</ScaleCrop>
  <LinksUpToDate>false</LinksUpToDate>
  <CharactersWithSpaces>6774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2026-01-08T07:38:00Z</dcterms:created>
  <dc:creator>Yao AZOUMAH</dc:creator>
  <cp:lastModifiedBy>Xavier GBANDI</cp:lastModifiedBy>
  <cp:lastPrinted>2026-01-09T12:08:00Z</cp:lastPrinted>
  <dcterms:modified xsi:type="dcterms:W3CDTF">2026-04-30T15:04:24Z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1036-12.1.0.25242</vt:lpwstr>
  </property>
  <property fmtid="{D5CDD505-2E9C-101B-9397-08002B2CF9AE}" pid="4" name="ICV">
    <vt:lpwstr>3FED8B7097714A26B7CD3A19D2DFE104_12</vt:lpwstr>
  </property>
</Properties>
</file>