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E752C5">
      <w:pPr>
        <w:spacing w:before="60" w:after="60"/>
      </w:pPr>
    </w:p>
    <w:p w14:paraId="3B0885C5">
      <w:pPr>
        <w:spacing w:before="60" w:after="60"/>
      </w:pPr>
    </w:p>
    <w:p w14:paraId="1425EAEC">
      <w:pPr>
        <w:spacing w:before="60" w:after="60"/>
      </w:pPr>
    </w:p>
    <w:p w14:paraId="3F7BD799">
      <w:pPr>
        <w:spacing w:before="60" w:after="60"/>
      </w:pPr>
    </w:p>
    <w:p w14:paraId="62AAE0B1">
      <w:pPr>
        <w:spacing w:before="60" w:after="60"/>
      </w:pPr>
    </w:p>
    <w:p w14:paraId="537056D7">
      <w:pPr>
        <w:spacing w:before="60" w:after="60"/>
      </w:pPr>
    </w:p>
    <w:p w14:paraId="6F05E8A4">
      <w:pPr>
        <w:spacing w:before="60" w:after="60"/>
      </w:pPr>
    </w:p>
    <w:p w14:paraId="68CB4D32">
      <w:pPr>
        <w:spacing w:before="60" w:after="60"/>
      </w:pPr>
    </w:p>
    <w:p w14:paraId="78522922">
      <w:pPr>
        <w:spacing w:before="60" w:after="60"/>
      </w:pPr>
    </w:p>
    <w:p w14:paraId="0E8CB957">
      <w:pPr>
        <w:spacing w:before="60" w:after="60"/>
      </w:pPr>
    </w:p>
    <w:p w14:paraId="2513B681">
      <w:pPr>
        <w:spacing w:before="60" w:after="60"/>
      </w:pPr>
    </w:p>
    <w:p w14:paraId="4E93B785">
      <w:pPr>
        <w:spacing w:before="60" w:after="60"/>
      </w:pPr>
    </w:p>
    <w:p w14:paraId="52D0EE9A">
      <w:pPr>
        <w:spacing w:before="60" w:after="60"/>
      </w:pPr>
    </w:p>
    <w:p w14:paraId="61E869B3">
      <w:pPr>
        <w:spacing w:before="60" w:after="60"/>
      </w:pPr>
    </w:p>
    <w:p w14:paraId="7C0142EB">
      <w:pPr>
        <w:spacing w:before="60" w:after="60"/>
      </w:pPr>
    </w:p>
    <w:p w14:paraId="3969B38D">
      <w:pPr>
        <w:spacing w:before="60" w:after="60"/>
      </w:pPr>
    </w:p>
    <w:p w14:paraId="37EEC3AF">
      <w:pPr>
        <w:spacing w:before="60" w:after="60"/>
      </w:pPr>
    </w:p>
    <w:p w14:paraId="167CE1A6">
      <w:pPr>
        <w:spacing w:before="60" w:after="60"/>
      </w:pPr>
    </w:p>
    <w:p w14:paraId="5E64F22A">
      <w:pPr>
        <w:spacing w:before="0" w:after="200"/>
        <w:jc w:val="center"/>
      </w:pPr>
      <w:r>
        <w:rPr>
          <w:rFonts w:ascii="Arial" w:hAnsi="Arial" w:eastAsia="Arial" w:cs="Arial"/>
          <w:b/>
          <w:bCs/>
          <w:caps/>
          <w:color w:val="0D2B55"/>
          <w:sz w:val="48"/>
          <w:szCs w:val="48"/>
        </w:rPr>
        <w:t>CAHIER DES CHARGES FONCTIONNEL</w:t>
      </w:r>
    </w:p>
    <w:p w14:paraId="29261CF9">
      <w:pPr>
        <w:spacing w:before="0" w:after="800"/>
        <w:jc w:val="center"/>
      </w:pPr>
      <w:r>
        <w:rPr>
          <w:rFonts w:ascii="Arial" w:hAnsi="Arial" w:eastAsia="Arial" w:cs="Arial"/>
          <w:b/>
          <w:bCs/>
          <w:color w:val="F0A02B"/>
          <w:sz w:val="30"/>
          <w:szCs w:val="30"/>
        </w:rPr>
        <w:t>Plateforme de Gestion des Business Models</w:t>
      </w:r>
    </w:p>
    <w:p w14:paraId="6DEA4CA2">
      <w:pPr>
        <w:spacing w:before="60" w:after="60"/>
      </w:pPr>
    </w:p>
    <w:p w14:paraId="41677944">
      <w:pPr>
        <w:spacing w:before="60" w:after="60"/>
      </w:pPr>
    </w:p>
    <w:p w14:paraId="4D17D826">
      <w:r>
        <w:br w:type="page"/>
      </w:r>
    </w:p>
    <w:sdt>
      <w:sdtPr>
        <w:alias w:val="Table des Matières"/>
        <w:id w:val="147455538"/>
        <w:showingPlcHdr/>
      </w:sdtPr>
      <w:sdtContent>
        <w:p w14:paraId="3E1E6B9A">
          <w:r>
            <w:rPr>
              <w:lang w:val="fr-FR"/>
            </w:rPr>
            <w:t xml:space="preserve">     </w:t>
          </w:r>
        </w:p>
      </w:sdtContent>
    </w:sdt>
    <w:p w14:paraId="134972A3">
      <w:pPr>
        <w:pStyle w:val="2"/>
        <w:spacing w:before="400" w:after="200"/>
      </w:pPr>
      <w:r>
        <w:rPr>
          <w:rFonts w:ascii="Arial" w:hAnsi="Arial" w:eastAsia="Arial" w:cs="Arial"/>
          <w:b/>
          <w:bCs/>
          <w:color w:val="0D2B55"/>
          <w:sz w:val="32"/>
          <w:szCs w:val="32"/>
        </w:rPr>
        <w:t>1. Introduction</w:t>
      </w:r>
    </w:p>
    <w:p w14:paraId="63B4D554">
      <w:pPr>
        <w:pBdr>
          <w:bottom w:val="single" w:color="F0A02B" w:sz="8" w:space="1"/>
        </w:pBdr>
        <w:spacing w:before="100" w:after="140"/>
      </w:pPr>
    </w:p>
    <w:p w14:paraId="5E9A200A">
      <w:pPr>
        <w:pStyle w:val="3"/>
        <w:spacing w:before="280" w:after="160"/>
      </w:pPr>
      <w:r>
        <w:rPr>
          <w:rFonts w:ascii="Arial" w:hAnsi="Arial" w:eastAsia="Arial" w:cs="Arial"/>
          <w:b/>
          <w:bCs/>
          <w:color w:val="169B86"/>
          <w:sz w:val="26"/>
          <w:szCs w:val="26"/>
        </w:rPr>
        <w:t>1.1 Contexte</w:t>
      </w:r>
    </w:p>
    <w:p w14:paraId="39CDF90A">
      <w:pPr>
        <w:spacing w:before="80" w:after="100"/>
      </w:pPr>
      <w:r>
        <w:rPr>
          <w:rFonts w:ascii="Arial" w:hAnsi="Arial" w:eastAsia="Arial" w:cs="Arial"/>
          <w:sz w:val="22"/>
          <w:szCs w:val="22"/>
        </w:rPr>
        <w:t>KYA-Energy Group est une entreprise togolaise spécialisée dans les énergies renouvelables. Dans le cadre de son développement, l'entreprise est régulièrement amenée à élaborer des Business Models pour ses projets et produits — aujourd'hui les systèmes solaires KYA-SoP, et demain d'autres produits ou projets à venir.</w:t>
      </w:r>
    </w:p>
    <w:p w14:paraId="7CA69C88">
      <w:pPr>
        <w:spacing w:before="80" w:after="100"/>
        <w:rPr>
          <w:rFonts w:ascii="Arial" w:hAnsi="Arial" w:eastAsia="Arial" w:cs="Arial"/>
          <w:sz w:val="22"/>
          <w:szCs w:val="22"/>
        </w:rPr>
      </w:pPr>
      <w:r>
        <w:rPr>
          <w:rFonts w:ascii="Arial" w:hAnsi="Arial" w:eastAsia="Arial" w:cs="Arial"/>
          <w:sz w:val="22"/>
          <w:szCs w:val="22"/>
        </w:rPr>
        <w:t>Actuellement, chaque Business Model est construit manuellement dans un fichier Microsoft Excel dédié. Cette approche fonctionne pour un projet isolé, mais atteint rapidement ses limites dès que l'entreprise doit gérer plusieurs projets en parallèle, impliquer plusieurs collaborateurs, ou capitaliser sur l'expérience des projets passés.</w:t>
      </w:r>
    </w:p>
    <w:p w14:paraId="03B87AA2">
      <w:pPr>
        <w:spacing w:before="80" w:after="100"/>
        <w:rPr>
          <w:rFonts w:ascii="Arial" w:hAnsi="Arial" w:eastAsia="Arial" w:cs="Arial"/>
          <w:sz w:val="22"/>
          <w:szCs w:val="22"/>
        </w:rPr>
      </w:pPr>
    </w:p>
    <w:p w14:paraId="46FBF6FD">
      <w:pPr>
        <w:spacing w:before="80" w:after="100"/>
        <w:rPr>
          <w:rFonts w:ascii="Arial" w:hAnsi="Arial" w:eastAsia="Arial" w:cs="Arial"/>
          <w:sz w:val="22"/>
          <w:szCs w:val="22"/>
        </w:rPr>
      </w:pPr>
    </w:p>
    <w:p w14:paraId="2BF52A16">
      <w:pPr>
        <w:pStyle w:val="3"/>
        <w:spacing w:before="280" w:after="160"/>
      </w:pPr>
      <w:r>
        <w:rPr>
          <w:rFonts w:ascii="Arial" w:hAnsi="Arial" w:eastAsia="Arial" w:cs="Arial"/>
          <w:b/>
          <w:bCs/>
          <w:color w:val="169B86"/>
          <w:sz w:val="26"/>
          <w:szCs w:val="26"/>
        </w:rPr>
        <w:t>1.2 Problème identifié</w:t>
      </w:r>
    </w:p>
    <w:p w14:paraId="740E9CBB">
      <w:pPr>
        <w:spacing w:before="80" w:after="100"/>
      </w:pPr>
      <w:r>
        <w:rPr>
          <w:rFonts w:ascii="Arial" w:hAnsi="Arial" w:eastAsia="Arial" w:cs="Arial"/>
          <w:sz w:val="22"/>
          <w:szCs w:val="22"/>
        </w:rPr>
        <w:t>L'outil Excel présente plusieurs limites structurelles qui justifient la création d'une plateforme dédiée :</w:t>
      </w:r>
    </w:p>
    <w:p w14:paraId="6D519CEE">
      <w:pPr>
        <w:pStyle w:val="16"/>
        <w:numPr>
          <w:ilvl w:val="0"/>
          <w:numId w:val="1"/>
        </w:numPr>
        <w:spacing w:before="60" w:after="60"/>
      </w:pPr>
      <w:r>
        <w:rPr>
          <w:rFonts w:ascii="Arial" w:hAnsi="Arial" w:eastAsia="Arial" w:cs="Arial"/>
          <w:sz w:val="22"/>
          <w:szCs w:val="22"/>
        </w:rPr>
        <w:t>Pas de centralisation : chaque projet a son propre fichier, sans lien entre eux</w:t>
      </w:r>
    </w:p>
    <w:p w14:paraId="36F7ED2B">
      <w:pPr>
        <w:pStyle w:val="16"/>
        <w:numPr>
          <w:ilvl w:val="0"/>
          <w:numId w:val="1"/>
        </w:numPr>
        <w:spacing w:before="60" w:after="60"/>
      </w:pPr>
      <w:r>
        <w:rPr>
          <w:rFonts w:ascii="Arial" w:hAnsi="Arial" w:eastAsia="Arial" w:cs="Arial"/>
          <w:sz w:val="22"/>
          <w:szCs w:val="22"/>
        </w:rPr>
        <w:t>Complexité de navigation : des dizaines de feuilles interdépendantes, difficiles à maîtriser</w:t>
      </w:r>
    </w:p>
    <w:p w14:paraId="421EB2E1">
      <w:pPr>
        <w:pStyle w:val="16"/>
        <w:numPr>
          <w:ilvl w:val="0"/>
          <w:numId w:val="1"/>
        </w:numPr>
        <w:spacing w:before="60" w:after="60"/>
      </w:pPr>
      <w:r>
        <w:rPr>
          <w:rFonts w:ascii="Arial" w:hAnsi="Arial" w:eastAsia="Arial" w:cs="Arial"/>
          <w:sz w:val="22"/>
          <w:szCs w:val="22"/>
        </w:rPr>
        <w:t>Risques d'erreurs : formules fragiles, modifications accidentelles sans traçabilité</w:t>
      </w:r>
    </w:p>
    <w:p w14:paraId="63DC0788">
      <w:pPr>
        <w:pStyle w:val="16"/>
        <w:numPr>
          <w:ilvl w:val="0"/>
          <w:numId w:val="1"/>
        </w:numPr>
        <w:spacing w:before="60" w:after="60"/>
      </w:pPr>
      <w:r>
        <w:rPr>
          <w:rFonts w:ascii="Arial" w:hAnsi="Arial" w:eastAsia="Arial" w:cs="Arial"/>
          <w:sz w:val="22"/>
          <w:szCs w:val="22"/>
        </w:rPr>
        <w:t>Collaboration impossible : pas de travail simultané, pas de workflow de validation</w:t>
      </w:r>
    </w:p>
    <w:p w14:paraId="49639055">
      <w:pPr>
        <w:pStyle w:val="16"/>
        <w:numPr>
          <w:ilvl w:val="0"/>
          <w:numId w:val="1"/>
        </w:numPr>
        <w:spacing w:before="60" w:after="60"/>
      </w:pPr>
      <w:r>
        <w:rPr>
          <w:rFonts w:ascii="Arial" w:hAnsi="Arial" w:eastAsia="Arial" w:cs="Arial"/>
          <w:sz w:val="22"/>
          <w:szCs w:val="22"/>
        </w:rPr>
        <w:t>Pas de réutilisabilité : impossible de capitaliser sur un Business Model existant pour en créer un nouveau</w:t>
      </w:r>
    </w:p>
    <w:p w14:paraId="74A93AB1">
      <w:pPr>
        <w:pStyle w:val="16"/>
        <w:numPr>
          <w:ilvl w:val="0"/>
          <w:numId w:val="1"/>
        </w:numPr>
        <w:spacing w:before="60" w:after="60"/>
      </w:pPr>
      <w:r>
        <w:rPr>
          <w:rFonts w:ascii="Arial" w:hAnsi="Arial" w:eastAsia="Arial" w:cs="Arial"/>
          <w:sz w:val="22"/>
          <w:szCs w:val="22"/>
        </w:rPr>
        <w:t>Visualisation statique : pas de tableaux de bord dynamiques ni de comparaison de scénarios</w:t>
      </w:r>
    </w:p>
    <w:p w14:paraId="19CEDDAC">
      <w:pPr>
        <w:pStyle w:val="16"/>
        <w:numPr>
          <w:numId w:val="0"/>
        </w:numPr>
        <w:spacing w:before="60" w:after="60"/>
        <w:ind w:left="360" w:leftChars="0"/>
      </w:pPr>
    </w:p>
    <w:p w14:paraId="00881911">
      <w:pPr>
        <w:pStyle w:val="16"/>
        <w:numPr>
          <w:numId w:val="0"/>
        </w:numPr>
        <w:spacing w:before="60" w:after="60"/>
        <w:ind w:left="360" w:leftChars="0"/>
      </w:pPr>
    </w:p>
    <w:p w14:paraId="592EF665">
      <w:pPr>
        <w:pStyle w:val="3"/>
        <w:spacing w:before="280" w:after="160"/>
      </w:pPr>
      <w:r>
        <w:rPr>
          <w:rFonts w:ascii="Arial" w:hAnsi="Arial" w:eastAsia="Arial" w:cs="Arial"/>
          <w:b/>
          <w:bCs/>
          <w:color w:val="169B86"/>
          <w:sz w:val="26"/>
          <w:szCs w:val="26"/>
        </w:rPr>
        <w:t>1.3 Objectif du projet</w:t>
      </w:r>
    </w:p>
    <w:p w14:paraId="3BA12CD9">
      <w:pPr>
        <w:spacing w:before="80" w:after="100"/>
      </w:pPr>
      <w:r>
        <w:rPr>
          <w:rFonts w:ascii="Arial" w:hAnsi="Arial" w:eastAsia="Arial" w:cs="Arial"/>
          <w:sz w:val="22"/>
          <w:szCs w:val="22"/>
        </w:rPr>
        <w:t>L'objectif est de concevoir et développer une plateforme web interne à KYA-Energy Group permettant de créer, gérer et analyser des Business Models pour n'importe quel projet ou produit de l'entreprise.</w:t>
      </w:r>
    </w:p>
    <w:p w14:paraId="4F2E2928">
      <w:pPr>
        <w:spacing w:before="80" w:after="100"/>
      </w:pPr>
      <w:r>
        <w:rPr>
          <w:rFonts w:ascii="Arial" w:hAnsi="Arial" w:eastAsia="Arial" w:cs="Arial"/>
          <w:sz w:val="22"/>
          <w:szCs w:val="22"/>
        </w:rPr>
        <w:t>La plateforme n'est pas spécifique à un produit existant. Elle est conçue pour être flexible : l'utilisateur crée un projet, définit ses propres produits, ses propres coûts et ses propres hypothèses. La plateforme se charge de tous les calculs financiers et produit automatiquement les indicateurs de performance et les tableaux de bord.</w:t>
      </w:r>
    </w:p>
    <w:p w14:paraId="4D4FF2B3">
      <w:pPr>
        <w:spacing w:before="80" w:after="100"/>
      </w:pPr>
      <w:r>
        <w:rPr>
          <w:rFonts w:ascii="Arial" w:hAnsi="Arial" w:eastAsia="Arial" w:cs="Arial"/>
          <w:sz w:val="22"/>
          <w:szCs w:val="22"/>
        </w:rPr>
        <w:t>Le fichier Excel du Business Model KYA-SoP Institutions a servi de référence pour comprendre la logique métier et identifier les blocs fonctionnels nécessaires — il n'est pas le périmètre de la plateforme, mais son point de départ.</w:t>
      </w:r>
    </w:p>
    <w:p w14:paraId="1A900519">
      <w:r>
        <w:br w:type="page"/>
      </w:r>
    </w:p>
    <w:p w14:paraId="1ACD9F73">
      <w:pPr>
        <w:pStyle w:val="2"/>
        <w:spacing w:before="400" w:after="200"/>
      </w:pPr>
      <w:r>
        <w:rPr>
          <w:rFonts w:ascii="Arial" w:hAnsi="Arial" w:eastAsia="Arial" w:cs="Arial"/>
          <w:b/>
          <w:bCs/>
          <w:color w:val="0D2B55"/>
          <w:sz w:val="32"/>
          <w:szCs w:val="32"/>
        </w:rPr>
        <w:t>2. Vision Générale de la Plateforme</w:t>
      </w:r>
    </w:p>
    <w:p w14:paraId="41BEA31D">
      <w:pPr>
        <w:pBdr>
          <w:bottom w:val="single" w:color="F0A02B" w:sz="8" w:space="1"/>
        </w:pBdr>
        <w:spacing w:before="100" w:after="140"/>
      </w:pPr>
    </w:p>
    <w:p w14:paraId="5A4BF38C">
      <w:pPr>
        <w:pStyle w:val="3"/>
        <w:spacing w:before="280" w:after="160"/>
      </w:pPr>
      <w:r>
        <w:rPr>
          <w:rFonts w:ascii="Arial" w:hAnsi="Arial" w:eastAsia="Arial" w:cs="Arial"/>
          <w:b/>
          <w:bCs/>
          <w:color w:val="169B86"/>
          <w:sz w:val="26"/>
          <w:szCs w:val="26"/>
        </w:rPr>
        <w:t>2.1 Concept</w:t>
      </w:r>
    </w:p>
    <w:p w14:paraId="387E9219">
      <w:pPr>
        <w:spacing w:before="80" w:after="100"/>
      </w:pPr>
      <w:r>
        <w:rPr>
          <w:rFonts w:ascii="Arial" w:hAnsi="Arial" w:eastAsia="Arial" w:cs="Arial"/>
          <w:sz w:val="22"/>
          <w:szCs w:val="22"/>
        </w:rPr>
        <w:t>La plateforme est un outil interne de gestion de Business Models. Elle fonctionne comme un studio de modélisation financière : l'utilisateur crée un projet, le remplit bloc par bloc, et la plateforme calcule automatiquement tous les résultats financiers et affiche les indicateurs de performance.</w:t>
      </w:r>
    </w:p>
    <w:p w14:paraId="4D193943">
      <w:pPr>
        <w:spacing w:before="80" w:after="100"/>
      </w:pPr>
      <w:r>
        <w:rPr>
          <w:rFonts w:ascii="Arial" w:hAnsi="Arial" w:eastAsia="Arial" w:cs="Arial"/>
          <w:sz w:val="22"/>
          <w:szCs w:val="22"/>
        </w:rPr>
        <w:t>Chaque projet est indépendant et complet : il contient ses propres produits, ses propres hypothèses, ses propres coûts et ses propres résultats. L'entreprise peut ainsi gérer autant de Business Models que nécessaire, les conserver dans le temps, et les consulter à tout moment.</w:t>
      </w:r>
    </w:p>
    <w:p w14:paraId="67BA413B">
      <w:pPr>
        <w:pStyle w:val="3"/>
        <w:spacing w:before="280" w:after="160"/>
      </w:pPr>
      <w:r>
        <w:rPr>
          <w:rFonts w:ascii="Arial" w:hAnsi="Arial" w:eastAsia="Arial" w:cs="Arial"/>
          <w:b/>
          <w:bCs/>
          <w:color w:val="169B86"/>
          <w:sz w:val="26"/>
          <w:szCs w:val="26"/>
        </w:rPr>
        <w:t xml:space="preserve">2.2 Les 7 blocs </w:t>
      </w:r>
    </w:p>
    <w:p w14:paraId="7850E5ED">
      <w:pPr>
        <w:spacing w:before="80" w:after="100"/>
      </w:pPr>
      <w:r>
        <w:rPr>
          <w:rFonts w:ascii="Arial" w:hAnsi="Arial" w:eastAsia="Arial" w:cs="Arial"/>
          <w:sz w:val="22"/>
          <w:szCs w:val="22"/>
        </w:rPr>
        <w:t>Tout Business Model créé dans la plateforme suit la même structure en 7 blocs. Cette structure est inspirée de la logique du fichier Excel KYA-SoP, mais généralisée pour s'appliquer à n'importe quel projet.</w:t>
      </w:r>
    </w:p>
    <w:tbl>
      <w:tblPr>
        <w:tblStyle w:val="15"/>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2200"/>
        <w:gridCol w:w="3500"/>
        <w:gridCol w:w="3286"/>
      </w:tblGrid>
      <w:tr w14:paraId="51813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0D2B55"/>
            <w:tcMar>
              <w:top w:w="100" w:type="dxa"/>
              <w:left w:w="140" w:type="dxa"/>
              <w:bottom w:w="100" w:type="dxa"/>
              <w:right w:w="140" w:type="dxa"/>
            </w:tcMar>
            <w:vAlign w:val="center"/>
          </w:tcPr>
          <w:p w14:paraId="1F89183A">
            <w:pPr>
              <w:spacing w:before="60" w:after="60"/>
              <w:jc w:val="center"/>
            </w:pPr>
            <w:r>
              <w:rPr>
                <w:rFonts w:ascii="Arial" w:hAnsi="Arial" w:eastAsia="Arial" w:cs="Arial"/>
                <w:b/>
                <w:bCs/>
                <w:color w:val="FFFFFF"/>
                <w:sz w:val="20"/>
                <w:szCs w:val="20"/>
              </w:rPr>
              <w:t>#</w:t>
            </w:r>
          </w:p>
        </w:tc>
        <w:tc>
          <w:tcPr>
            <w:tcW w:w="2200" w:type="dxa"/>
            <w:tcBorders>
              <w:top w:val="single" w:color="CCCCCC" w:sz="0" w:space="0"/>
              <w:left w:val="single" w:color="CCCCCC" w:sz="0" w:space="0"/>
              <w:bottom w:val="single" w:color="CCCCCC" w:sz="0" w:space="0"/>
              <w:right w:val="single" w:color="CCCCCC" w:sz="0" w:space="0"/>
            </w:tcBorders>
            <w:shd w:val="clear" w:color="auto" w:fill="0D2B55"/>
            <w:tcMar>
              <w:top w:w="100" w:type="dxa"/>
              <w:left w:w="140" w:type="dxa"/>
              <w:bottom w:w="100" w:type="dxa"/>
              <w:right w:w="140" w:type="dxa"/>
            </w:tcMar>
            <w:vAlign w:val="center"/>
          </w:tcPr>
          <w:p w14:paraId="6C206244">
            <w:pPr>
              <w:spacing w:before="60" w:after="60"/>
              <w:jc w:val="center"/>
            </w:pPr>
            <w:r>
              <w:rPr>
                <w:rFonts w:ascii="Arial" w:hAnsi="Arial" w:eastAsia="Arial" w:cs="Arial"/>
                <w:b/>
                <w:bCs/>
                <w:color w:val="FFFFFF"/>
                <w:sz w:val="20"/>
                <w:szCs w:val="20"/>
              </w:rPr>
              <w:t>Bloc</w:t>
            </w:r>
          </w:p>
        </w:tc>
        <w:tc>
          <w:tcPr>
            <w:tcW w:w="3500" w:type="dxa"/>
            <w:tcBorders>
              <w:top w:val="single" w:color="CCCCCC" w:sz="0" w:space="0"/>
              <w:left w:val="single" w:color="CCCCCC" w:sz="0" w:space="0"/>
              <w:bottom w:val="single" w:color="CCCCCC" w:sz="0" w:space="0"/>
              <w:right w:val="single" w:color="CCCCCC" w:sz="0" w:space="0"/>
            </w:tcBorders>
            <w:shd w:val="clear" w:color="auto" w:fill="0D2B55"/>
            <w:tcMar>
              <w:top w:w="100" w:type="dxa"/>
              <w:left w:w="140" w:type="dxa"/>
              <w:bottom w:w="100" w:type="dxa"/>
              <w:right w:w="140" w:type="dxa"/>
            </w:tcMar>
            <w:vAlign w:val="center"/>
          </w:tcPr>
          <w:p w14:paraId="0375C121">
            <w:pPr>
              <w:spacing w:before="60" w:after="60"/>
              <w:jc w:val="center"/>
            </w:pPr>
            <w:r>
              <w:rPr>
                <w:rFonts w:ascii="Arial" w:hAnsi="Arial" w:eastAsia="Arial" w:cs="Arial"/>
                <w:b/>
                <w:bCs/>
                <w:color w:val="FFFFFF"/>
                <w:sz w:val="20"/>
                <w:szCs w:val="20"/>
              </w:rPr>
              <w:t>Description</w:t>
            </w:r>
          </w:p>
        </w:tc>
        <w:tc>
          <w:tcPr>
            <w:tcW w:w="3286" w:type="dxa"/>
            <w:tcBorders>
              <w:top w:val="single" w:color="CCCCCC" w:sz="0" w:space="0"/>
              <w:left w:val="single" w:color="CCCCCC" w:sz="0" w:space="0"/>
              <w:bottom w:val="single" w:color="CCCCCC" w:sz="0" w:space="0"/>
              <w:right w:val="single" w:color="CCCCCC" w:sz="0" w:space="0"/>
            </w:tcBorders>
            <w:shd w:val="clear" w:color="auto" w:fill="0D2B55"/>
            <w:tcMar>
              <w:top w:w="100" w:type="dxa"/>
              <w:left w:w="140" w:type="dxa"/>
              <w:bottom w:w="100" w:type="dxa"/>
              <w:right w:w="140" w:type="dxa"/>
            </w:tcMar>
            <w:vAlign w:val="center"/>
          </w:tcPr>
          <w:p w14:paraId="526BCFCF">
            <w:pPr>
              <w:spacing w:before="60" w:after="60"/>
              <w:jc w:val="center"/>
            </w:pPr>
            <w:r>
              <w:rPr>
                <w:rFonts w:ascii="Arial" w:hAnsi="Arial" w:eastAsia="Arial" w:cs="Arial"/>
                <w:b/>
                <w:bCs/>
                <w:color w:val="FFFFFF"/>
                <w:sz w:val="20"/>
                <w:szCs w:val="20"/>
              </w:rPr>
              <w:t>Équivalent Excel (référence)</w:t>
            </w:r>
          </w:p>
        </w:tc>
      </w:tr>
      <w:tr w14:paraId="3566C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0A02B"/>
            <w:tcMar>
              <w:top w:w="100" w:type="dxa"/>
              <w:left w:w="140" w:type="dxa"/>
              <w:bottom w:w="100" w:type="dxa"/>
              <w:right w:w="140" w:type="dxa"/>
            </w:tcMar>
            <w:vAlign w:val="center"/>
          </w:tcPr>
          <w:p w14:paraId="673DE144">
            <w:pPr>
              <w:spacing w:before="60" w:after="60"/>
              <w:jc w:val="center"/>
            </w:pPr>
            <w:r>
              <w:rPr>
                <w:rFonts w:ascii="Arial" w:hAnsi="Arial" w:eastAsia="Arial" w:cs="Arial"/>
                <w:b/>
                <w:bCs/>
                <w:color w:val="FFFFFF"/>
                <w:sz w:val="20"/>
                <w:szCs w:val="20"/>
              </w:rPr>
              <w:t>1</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609D1127">
            <w:pPr>
              <w:spacing w:before="60" w:after="60"/>
              <w:jc w:val="left"/>
            </w:pPr>
            <w:r>
              <w:rPr>
                <w:rFonts w:ascii="Arial" w:hAnsi="Arial" w:eastAsia="Arial" w:cs="Arial"/>
                <w:b/>
                <w:bCs/>
                <w:color w:val="000000"/>
                <w:sz w:val="20"/>
                <w:szCs w:val="20"/>
              </w:rPr>
              <w:t>Informations du projet</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159A54A9">
            <w:pPr>
              <w:spacing w:before="60" w:after="60"/>
              <w:jc w:val="left"/>
            </w:pPr>
            <w:r>
              <w:rPr>
                <w:rFonts w:ascii="Arial" w:hAnsi="Arial" w:eastAsia="Arial" w:cs="Arial"/>
                <w:b w:val="0"/>
                <w:bCs w:val="0"/>
                <w:color w:val="000000"/>
                <w:sz w:val="20"/>
                <w:szCs w:val="20"/>
              </w:rPr>
              <w:t>Nom, description, secteur d'activité, durée, année de démarrage, contexte stratégique</w:t>
            </w:r>
          </w:p>
        </w:tc>
        <w:tc>
          <w:tcPr>
            <w:tcW w:w="32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1E10D87E">
            <w:pPr>
              <w:spacing w:before="60" w:after="60"/>
              <w:jc w:val="left"/>
            </w:pPr>
            <w:r>
              <w:rPr>
                <w:rFonts w:ascii="Arial" w:hAnsi="Arial" w:eastAsia="Arial" w:cs="Arial"/>
                <w:b w:val="0"/>
                <w:bCs w:val="0"/>
                <w:color w:val="000000"/>
                <w:sz w:val="20"/>
                <w:szCs w:val="20"/>
              </w:rPr>
              <w:t>Résumé Exécutif, Cadre du modèle</w:t>
            </w:r>
          </w:p>
        </w:tc>
      </w:tr>
      <w:tr w14:paraId="251DC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0A02B"/>
            <w:tcMar>
              <w:top w:w="100" w:type="dxa"/>
              <w:left w:w="140" w:type="dxa"/>
              <w:bottom w:w="100" w:type="dxa"/>
              <w:right w:w="140" w:type="dxa"/>
            </w:tcMar>
            <w:vAlign w:val="center"/>
          </w:tcPr>
          <w:p w14:paraId="66BE6FBC">
            <w:pPr>
              <w:spacing w:before="60" w:after="60"/>
              <w:jc w:val="center"/>
            </w:pPr>
            <w:r>
              <w:rPr>
                <w:rFonts w:ascii="Arial" w:hAnsi="Arial" w:eastAsia="Arial" w:cs="Arial"/>
                <w:b/>
                <w:bCs/>
                <w:color w:val="FFFFFF"/>
                <w:sz w:val="20"/>
                <w:szCs w:val="20"/>
              </w:rPr>
              <w:t>2</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3982F0D1">
            <w:pPr>
              <w:spacing w:before="60" w:after="60"/>
              <w:jc w:val="left"/>
            </w:pPr>
            <w:r>
              <w:rPr>
                <w:rFonts w:ascii="Arial" w:hAnsi="Arial" w:eastAsia="Arial" w:cs="Arial"/>
                <w:b/>
                <w:bCs/>
                <w:color w:val="000000"/>
                <w:sz w:val="20"/>
                <w:szCs w:val="20"/>
              </w:rPr>
              <w:t>Produits &amp; Services</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2AFC92E8">
            <w:pPr>
              <w:spacing w:before="60" w:after="60"/>
              <w:jc w:val="left"/>
            </w:pPr>
            <w:r>
              <w:rPr>
                <w:rFonts w:ascii="Arial" w:hAnsi="Arial" w:eastAsia="Arial" w:cs="Arial"/>
                <w:b w:val="0"/>
                <w:bCs w:val="0"/>
                <w:color w:val="000000"/>
                <w:sz w:val="20"/>
                <w:szCs w:val="20"/>
              </w:rPr>
              <w:t>Ce que le projet vend — nom, description, caractéristiques techniques, segments de clientèle visés</w:t>
            </w:r>
          </w:p>
        </w:tc>
        <w:tc>
          <w:tcPr>
            <w:tcW w:w="32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313AFD0C">
            <w:pPr>
              <w:spacing w:before="60" w:after="60"/>
              <w:jc w:val="left"/>
            </w:pPr>
            <w:r>
              <w:rPr>
                <w:rFonts w:ascii="Arial" w:hAnsi="Arial" w:eastAsia="Arial" w:cs="Arial"/>
                <w:b w:val="0"/>
                <w:bCs w:val="0"/>
                <w:color w:val="000000"/>
                <w:sz w:val="20"/>
                <w:szCs w:val="20"/>
              </w:rPr>
              <w:t>Caractéristiques du Produit, Tableau de bord, KYA-SoP M3/M5</w:t>
            </w:r>
          </w:p>
        </w:tc>
      </w:tr>
      <w:tr w14:paraId="3EB4E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0A02B"/>
            <w:tcMar>
              <w:top w:w="100" w:type="dxa"/>
              <w:left w:w="140" w:type="dxa"/>
              <w:bottom w:w="100" w:type="dxa"/>
              <w:right w:w="140" w:type="dxa"/>
            </w:tcMar>
            <w:vAlign w:val="center"/>
          </w:tcPr>
          <w:p w14:paraId="77D14359">
            <w:pPr>
              <w:spacing w:before="60" w:after="60"/>
              <w:jc w:val="center"/>
            </w:pPr>
            <w:r>
              <w:rPr>
                <w:rFonts w:ascii="Arial" w:hAnsi="Arial" w:eastAsia="Arial" w:cs="Arial"/>
                <w:b/>
                <w:bCs/>
                <w:color w:val="FFFFFF"/>
                <w:sz w:val="20"/>
                <w:szCs w:val="20"/>
              </w:rPr>
              <w:t>3</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6D900A4A">
            <w:pPr>
              <w:spacing w:before="60" w:after="60"/>
              <w:jc w:val="left"/>
            </w:pPr>
            <w:r>
              <w:rPr>
                <w:rFonts w:ascii="Arial" w:hAnsi="Arial" w:eastAsia="Arial" w:cs="Arial"/>
                <w:b/>
                <w:bCs/>
                <w:color w:val="000000"/>
                <w:sz w:val="20"/>
                <w:szCs w:val="20"/>
              </w:rPr>
              <w:t>Hypothèses</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0D55FD8F">
            <w:pPr>
              <w:spacing w:before="60" w:after="60"/>
              <w:jc w:val="left"/>
            </w:pPr>
            <w:r>
              <w:rPr>
                <w:rFonts w:ascii="Arial" w:hAnsi="Arial" w:eastAsia="Arial" w:cs="Arial"/>
                <w:b w:val="0"/>
                <w:bCs w:val="0"/>
                <w:color w:val="000000"/>
                <w:sz w:val="20"/>
                <w:szCs w:val="20"/>
              </w:rPr>
              <w:t>Tous les paramètres d'entrée du modèle — taux, marges, volumes, croissance, financement</w:t>
            </w:r>
          </w:p>
        </w:tc>
        <w:tc>
          <w:tcPr>
            <w:tcW w:w="32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3497125B">
            <w:pPr>
              <w:spacing w:before="60" w:after="60"/>
              <w:jc w:val="left"/>
            </w:pPr>
            <w:r>
              <w:rPr>
                <w:rFonts w:ascii="Arial" w:hAnsi="Arial" w:eastAsia="Arial" w:cs="Arial"/>
                <w:b w:val="0"/>
                <w:bCs w:val="0"/>
                <w:color w:val="000000"/>
                <w:sz w:val="20"/>
                <w:szCs w:val="20"/>
              </w:rPr>
              <w:t>Hypothèses (feuille principale)</w:t>
            </w:r>
          </w:p>
        </w:tc>
      </w:tr>
      <w:tr w14:paraId="7795A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0A02B"/>
            <w:tcMar>
              <w:top w:w="100" w:type="dxa"/>
              <w:left w:w="140" w:type="dxa"/>
              <w:bottom w:w="100" w:type="dxa"/>
              <w:right w:w="140" w:type="dxa"/>
            </w:tcMar>
            <w:vAlign w:val="center"/>
          </w:tcPr>
          <w:p w14:paraId="44D477FB">
            <w:pPr>
              <w:spacing w:before="60" w:after="60"/>
              <w:jc w:val="center"/>
            </w:pPr>
            <w:r>
              <w:rPr>
                <w:rFonts w:ascii="Arial" w:hAnsi="Arial" w:eastAsia="Arial" w:cs="Arial"/>
                <w:b/>
                <w:bCs/>
                <w:color w:val="FFFFFF"/>
                <w:sz w:val="20"/>
                <w:szCs w:val="20"/>
              </w:rPr>
              <w:t>4</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6ED5C7F7">
            <w:pPr>
              <w:spacing w:before="60" w:after="60"/>
              <w:jc w:val="left"/>
            </w:pPr>
            <w:r>
              <w:rPr>
                <w:rFonts w:ascii="Arial" w:hAnsi="Arial" w:eastAsia="Arial" w:cs="Arial"/>
                <w:b/>
                <w:bCs/>
                <w:color w:val="000000"/>
                <w:sz w:val="20"/>
                <w:szCs w:val="20"/>
              </w:rPr>
              <w:t>Coûts &amp; Composants</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61172361">
            <w:pPr>
              <w:spacing w:before="60" w:after="60"/>
              <w:jc w:val="left"/>
            </w:pPr>
            <w:r>
              <w:rPr>
                <w:rFonts w:ascii="Arial" w:hAnsi="Arial" w:eastAsia="Arial" w:cs="Arial"/>
                <w:b w:val="0"/>
                <w:bCs w:val="0"/>
                <w:color w:val="000000"/>
                <w:sz w:val="20"/>
                <w:szCs w:val="20"/>
              </w:rPr>
              <w:t>CAPEX (investissements initiaux) et OPEX (coûts d'exploitation) définis librement par l'utilisateur</w:t>
            </w:r>
          </w:p>
        </w:tc>
        <w:tc>
          <w:tcPr>
            <w:tcW w:w="32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28DAB22F">
            <w:pPr>
              <w:spacing w:before="60" w:after="60"/>
              <w:jc w:val="left"/>
            </w:pPr>
            <w:r>
              <w:rPr>
                <w:rFonts w:ascii="Arial" w:hAnsi="Arial" w:eastAsia="Arial" w:cs="Arial"/>
                <w:b w:val="0"/>
                <w:bCs w:val="0"/>
                <w:color w:val="000000"/>
                <w:sz w:val="20"/>
                <w:szCs w:val="20"/>
              </w:rPr>
              <w:t>CAPEX-INVESTISSEMENT, DETAILS CAPEX, OPEX, Détail OPEX, Accessoires, COUT DES COMMERCIAUX</w:t>
            </w:r>
          </w:p>
        </w:tc>
      </w:tr>
      <w:tr w14:paraId="41343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0A02B"/>
            <w:tcMar>
              <w:top w:w="100" w:type="dxa"/>
              <w:left w:w="140" w:type="dxa"/>
              <w:bottom w:w="100" w:type="dxa"/>
              <w:right w:w="140" w:type="dxa"/>
            </w:tcMar>
            <w:vAlign w:val="center"/>
          </w:tcPr>
          <w:p w14:paraId="0C25F5E3">
            <w:pPr>
              <w:spacing w:before="60" w:after="60"/>
              <w:jc w:val="center"/>
            </w:pPr>
            <w:r>
              <w:rPr>
                <w:rFonts w:ascii="Arial" w:hAnsi="Arial" w:eastAsia="Arial" w:cs="Arial"/>
                <w:b/>
                <w:bCs/>
                <w:color w:val="FFFFFF"/>
                <w:sz w:val="20"/>
                <w:szCs w:val="20"/>
              </w:rPr>
              <w:t>5</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6B8BED63">
            <w:pPr>
              <w:spacing w:before="60" w:after="60"/>
              <w:jc w:val="left"/>
            </w:pPr>
            <w:r>
              <w:rPr>
                <w:rFonts w:ascii="Arial" w:hAnsi="Arial" w:eastAsia="Arial" w:cs="Arial"/>
                <w:b/>
                <w:bCs/>
                <w:color w:val="000000"/>
                <w:sz w:val="20"/>
                <w:szCs w:val="20"/>
              </w:rPr>
              <w:t>Revenus</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58D0BD5F">
            <w:pPr>
              <w:spacing w:before="60" w:after="60"/>
              <w:jc w:val="left"/>
            </w:pPr>
            <w:r>
              <w:rPr>
                <w:rFonts w:ascii="Arial" w:hAnsi="Arial" w:eastAsia="Arial" w:cs="Arial"/>
                <w:b w:val="0"/>
                <w:bCs w:val="0"/>
                <w:color w:val="000000"/>
                <w:sz w:val="20"/>
                <w:szCs w:val="20"/>
              </w:rPr>
              <w:t>Volumes de vente par période, prix de vente, chiffre d'affaires prévisionnel</w:t>
            </w:r>
          </w:p>
        </w:tc>
        <w:tc>
          <w:tcPr>
            <w:tcW w:w="32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7B10812D">
            <w:pPr>
              <w:spacing w:before="60" w:after="60"/>
              <w:jc w:val="left"/>
            </w:pPr>
            <w:r>
              <w:rPr>
                <w:rFonts w:ascii="Arial" w:hAnsi="Arial" w:eastAsia="Arial" w:cs="Arial"/>
                <w:b w:val="0"/>
                <w:bCs w:val="0"/>
                <w:color w:val="000000"/>
                <w:sz w:val="20"/>
                <w:szCs w:val="20"/>
              </w:rPr>
              <w:t>Prévisions financières (sections CA)</w:t>
            </w:r>
          </w:p>
        </w:tc>
      </w:tr>
      <w:tr w14:paraId="60780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0A02B"/>
            <w:tcMar>
              <w:top w:w="100" w:type="dxa"/>
              <w:left w:w="140" w:type="dxa"/>
              <w:bottom w:w="100" w:type="dxa"/>
              <w:right w:w="140" w:type="dxa"/>
            </w:tcMar>
            <w:vAlign w:val="center"/>
          </w:tcPr>
          <w:p w14:paraId="772DEDA1">
            <w:pPr>
              <w:spacing w:before="60" w:after="60"/>
              <w:jc w:val="center"/>
            </w:pPr>
            <w:r>
              <w:rPr>
                <w:rFonts w:ascii="Arial" w:hAnsi="Arial" w:eastAsia="Arial" w:cs="Arial"/>
                <w:b/>
                <w:bCs/>
                <w:color w:val="FFFFFF"/>
                <w:sz w:val="20"/>
                <w:szCs w:val="20"/>
              </w:rPr>
              <w:t>6</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5D44A82B">
            <w:pPr>
              <w:spacing w:before="60" w:after="60"/>
              <w:jc w:val="left"/>
            </w:pPr>
            <w:r>
              <w:rPr>
                <w:rFonts w:ascii="Arial" w:hAnsi="Arial" w:eastAsia="Arial" w:cs="Arial"/>
                <w:b/>
                <w:bCs/>
                <w:color w:val="000000"/>
                <w:sz w:val="20"/>
                <w:szCs w:val="20"/>
              </w:rPr>
              <w:t>Prévisions financières</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5BF7C693">
            <w:pPr>
              <w:spacing w:before="60" w:after="60"/>
              <w:jc w:val="left"/>
            </w:pPr>
            <w:r>
              <w:rPr>
                <w:rFonts w:ascii="Arial" w:hAnsi="Arial" w:eastAsia="Arial" w:cs="Arial"/>
                <w:b w:val="0"/>
                <w:bCs w:val="0"/>
                <w:color w:val="000000"/>
                <w:sz w:val="20"/>
                <w:szCs w:val="20"/>
              </w:rPr>
              <w:t>Compte de résultat, bilan, flux de trésorerie — calculés automatiquement à partir des blocs précédents</w:t>
            </w:r>
          </w:p>
        </w:tc>
        <w:tc>
          <w:tcPr>
            <w:tcW w:w="32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418704B6">
            <w:pPr>
              <w:spacing w:before="60" w:after="60"/>
              <w:jc w:val="left"/>
            </w:pPr>
            <w:r>
              <w:rPr>
                <w:rFonts w:ascii="Arial" w:hAnsi="Arial" w:eastAsia="Arial" w:cs="Arial"/>
                <w:b w:val="0"/>
                <w:bCs w:val="0"/>
                <w:color w:val="000000"/>
                <w:sz w:val="20"/>
                <w:szCs w:val="20"/>
              </w:rPr>
              <w:t>Prévisions financières, Plan de financement, Payement des prêts</w:t>
            </w:r>
          </w:p>
        </w:tc>
      </w:tr>
      <w:tr w14:paraId="34FA2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0A02B"/>
            <w:tcMar>
              <w:top w:w="100" w:type="dxa"/>
              <w:left w:w="140" w:type="dxa"/>
              <w:bottom w:w="100" w:type="dxa"/>
              <w:right w:w="140" w:type="dxa"/>
            </w:tcMar>
            <w:vAlign w:val="center"/>
          </w:tcPr>
          <w:p w14:paraId="59E1F992">
            <w:pPr>
              <w:spacing w:before="60" w:after="60"/>
              <w:jc w:val="center"/>
            </w:pPr>
            <w:r>
              <w:rPr>
                <w:rFonts w:ascii="Arial" w:hAnsi="Arial" w:eastAsia="Arial" w:cs="Arial"/>
                <w:b/>
                <w:bCs/>
                <w:color w:val="FFFFFF"/>
                <w:sz w:val="20"/>
                <w:szCs w:val="20"/>
              </w:rPr>
              <w:t>7</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2EC76CAF">
            <w:pPr>
              <w:spacing w:before="60" w:after="60"/>
              <w:jc w:val="left"/>
            </w:pPr>
            <w:r>
              <w:rPr>
                <w:rFonts w:ascii="Arial" w:hAnsi="Arial" w:eastAsia="Arial" w:cs="Arial"/>
                <w:b/>
                <w:bCs/>
                <w:color w:val="000000"/>
                <w:sz w:val="20"/>
                <w:szCs w:val="20"/>
              </w:rPr>
              <w:t>KPIs &amp; Dashboard</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7B54A75F">
            <w:pPr>
              <w:spacing w:before="60" w:after="60"/>
              <w:jc w:val="left"/>
            </w:pPr>
            <w:r>
              <w:rPr>
                <w:rFonts w:ascii="Arial" w:hAnsi="Arial" w:eastAsia="Arial" w:cs="Arial"/>
                <w:b w:val="0"/>
                <w:bCs w:val="0"/>
                <w:color w:val="000000"/>
                <w:sz w:val="20"/>
                <w:szCs w:val="20"/>
              </w:rPr>
              <w:t>Indicateurs de performance clés et visualisations graphiques, générés automatiquement</w:t>
            </w:r>
          </w:p>
        </w:tc>
        <w:tc>
          <w:tcPr>
            <w:tcW w:w="32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7FDD0ADA">
            <w:pPr>
              <w:spacing w:before="60" w:after="60"/>
              <w:jc w:val="left"/>
            </w:pPr>
            <w:r>
              <w:rPr>
                <w:rFonts w:ascii="Arial" w:hAnsi="Arial" w:eastAsia="Arial" w:cs="Arial"/>
                <w:b w:val="0"/>
                <w:bCs w:val="0"/>
                <w:color w:val="000000"/>
                <w:sz w:val="20"/>
                <w:szCs w:val="20"/>
              </w:rPr>
              <w:t>KPI, Graphes, Indicateur d'Impact</w:t>
            </w:r>
          </w:p>
        </w:tc>
      </w:tr>
    </w:tbl>
    <w:p w14:paraId="055E257F">
      <w:pPr>
        <w:spacing w:before="60" w:after="60"/>
      </w:pPr>
    </w:p>
    <w:p w14:paraId="7762776D">
      <w:pPr>
        <w:pStyle w:val="3"/>
        <w:spacing w:before="280" w:after="160"/>
      </w:pPr>
      <w:r>
        <w:rPr>
          <w:rFonts w:ascii="Arial" w:hAnsi="Arial" w:eastAsia="Arial" w:cs="Arial"/>
          <w:b/>
          <w:bCs/>
          <w:color w:val="169B86"/>
          <w:sz w:val="26"/>
          <w:szCs w:val="26"/>
        </w:rPr>
        <w:t>2.3 Flux de données entre les blocs</w:t>
      </w:r>
    </w:p>
    <w:p w14:paraId="303C037C">
      <w:pPr>
        <w:spacing w:before="80" w:after="100"/>
      </w:pPr>
      <w:r>
        <w:rPr>
          <w:rFonts w:ascii="Arial" w:hAnsi="Arial" w:eastAsia="Arial" w:cs="Arial"/>
          <w:sz w:val="22"/>
          <w:szCs w:val="22"/>
        </w:rPr>
        <w:t>Les blocs ne sont pas indépendants — ils s'alimentent les uns les autres dans un sens précis. Les blocs 1 à 5 sont les entrées, le bloc 6 est le moteur de calcul, et le bloc 7 est la sortie.</w:t>
      </w:r>
    </w:p>
    <w:tbl>
      <w:tblPr>
        <w:tblStyle w:val="15"/>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
        <w:gridCol w:w="3000"/>
        <w:gridCol w:w="600"/>
        <w:gridCol w:w="2186"/>
      </w:tblGrid>
      <w:tr w14:paraId="7C830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69B86"/>
            <w:tcMar>
              <w:top w:w="100" w:type="dxa"/>
              <w:left w:w="140" w:type="dxa"/>
              <w:bottom w:w="100" w:type="dxa"/>
              <w:right w:w="140" w:type="dxa"/>
            </w:tcMar>
            <w:vAlign w:val="center"/>
          </w:tcPr>
          <w:p w14:paraId="40656F29">
            <w:pPr>
              <w:spacing w:before="60" w:after="60"/>
              <w:jc w:val="center"/>
            </w:pPr>
            <w:r>
              <w:rPr>
                <w:rFonts w:ascii="Arial" w:hAnsi="Arial" w:eastAsia="Arial" w:cs="Arial"/>
                <w:b/>
                <w:bCs/>
                <w:color w:val="FFFFFF"/>
                <w:sz w:val="20"/>
                <w:szCs w:val="20"/>
              </w:rPr>
              <w:t>Blocs d'entrée (saisie utilisateur)</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331E594F">
            <w:pPr>
              <w:spacing w:before="60" w:after="60"/>
              <w:jc w:val="center"/>
            </w:pPr>
          </w:p>
        </w:tc>
        <w:tc>
          <w:tcPr>
            <w:tcW w:w="3000" w:type="dxa"/>
            <w:tcBorders>
              <w:top w:val="single" w:color="CCCCCC" w:sz="0" w:space="0"/>
              <w:left w:val="single" w:color="CCCCCC" w:sz="0" w:space="0"/>
              <w:bottom w:val="single" w:color="CCCCCC" w:sz="0" w:space="0"/>
              <w:right w:val="single" w:color="CCCCCC" w:sz="0" w:space="0"/>
            </w:tcBorders>
            <w:shd w:val="clear" w:color="auto" w:fill="0D2B55"/>
            <w:tcMar>
              <w:top w:w="100" w:type="dxa"/>
              <w:left w:w="140" w:type="dxa"/>
              <w:bottom w:w="100" w:type="dxa"/>
              <w:right w:w="140" w:type="dxa"/>
            </w:tcMar>
            <w:vAlign w:val="center"/>
          </w:tcPr>
          <w:p w14:paraId="55161D84">
            <w:pPr>
              <w:spacing w:before="60" w:after="60"/>
              <w:jc w:val="center"/>
            </w:pPr>
            <w:r>
              <w:rPr>
                <w:rFonts w:ascii="Arial" w:hAnsi="Arial" w:eastAsia="Arial" w:cs="Arial"/>
                <w:b/>
                <w:bCs/>
                <w:color w:val="FFFFFF"/>
                <w:sz w:val="20"/>
                <w:szCs w:val="20"/>
              </w:rPr>
              <w:t>Calcul automatique</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499AC387">
            <w:pPr>
              <w:spacing w:before="60" w:after="60"/>
              <w:jc w:val="center"/>
            </w:pPr>
          </w:p>
        </w:tc>
        <w:tc>
          <w:tcPr>
            <w:tcW w:w="2186" w:type="dxa"/>
            <w:tcBorders>
              <w:top w:val="single" w:color="CCCCCC" w:sz="0" w:space="0"/>
              <w:left w:val="single" w:color="CCCCCC" w:sz="0" w:space="0"/>
              <w:bottom w:val="single" w:color="CCCCCC" w:sz="0" w:space="0"/>
              <w:right w:val="single" w:color="CCCCCC" w:sz="0" w:space="0"/>
            </w:tcBorders>
            <w:shd w:val="clear" w:color="auto" w:fill="F0A02B"/>
            <w:tcMar>
              <w:top w:w="100" w:type="dxa"/>
              <w:left w:w="140" w:type="dxa"/>
              <w:bottom w:w="100" w:type="dxa"/>
              <w:right w:w="140" w:type="dxa"/>
            </w:tcMar>
            <w:vAlign w:val="center"/>
          </w:tcPr>
          <w:p w14:paraId="016027EA">
            <w:pPr>
              <w:spacing w:before="60" w:after="60"/>
              <w:jc w:val="center"/>
            </w:pPr>
            <w:r>
              <w:rPr>
                <w:rFonts w:ascii="Arial" w:hAnsi="Arial" w:eastAsia="Arial" w:cs="Arial"/>
                <w:b/>
                <w:bCs/>
                <w:color w:val="FFFFFF"/>
                <w:sz w:val="20"/>
                <w:szCs w:val="20"/>
              </w:rPr>
              <w:t>Sortie (résultats)</w:t>
            </w:r>
          </w:p>
        </w:tc>
      </w:tr>
      <w:tr w14:paraId="02DA4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8F4FD"/>
            <w:tcMar>
              <w:top w:w="100" w:type="dxa"/>
              <w:left w:w="140" w:type="dxa"/>
              <w:bottom w:w="100" w:type="dxa"/>
              <w:right w:w="140" w:type="dxa"/>
            </w:tcMar>
            <w:vAlign w:val="center"/>
          </w:tcPr>
          <w:p w14:paraId="32913EB3">
            <w:pPr>
              <w:spacing w:before="60" w:after="40"/>
            </w:pPr>
            <w:r>
              <w:rPr>
                <w:rFonts w:ascii="Arial" w:hAnsi="Arial" w:eastAsia="Arial" w:cs="Arial"/>
                <w:sz w:val="22"/>
                <w:szCs w:val="22"/>
              </w:rPr>
              <w:t>• Bloc 1 : Informations projet</w:t>
            </w:r>
          </w:p>
          <w:p w14:paraId="75C0A13C">
            <w:pPr>
              <w:spacing w:before="40" w:after="40"/>
            </w:pPr>
            <w:r>
              <w:rPr>
                <w:rFonts w:ascii="Arial" w:hAnsi="Arial" w:eastAsia="Arial" w:cs="Arial"/>
                <w:sz w:val="22"/>
                <w:szCs w:val="22"/>
              </w:rPr>
              <w:t>• Bloc 2 : Produits &amp; Services</w:t>
            </w:r>
          </w:p>
          <w:p w14:paraId="4F329D5E">
            <w:pPr>
              <w:spacing w:before="40" w:after="40"/>
            </w:pPr>
            <w:r>
              <w:rPr>
                <w:rFonts w:ascii="Arial" w:hAnsi="Arial" w:eastAsia="Arial" w:cs="Arial"/>
                <w:sz w:val="22"/>
                <w:szCs w:val="22"/>
              </w:rPr>
              <w:t>• Bloc 3 : Hypothèses</w:t>
            </w:r>
          </w:p>
          <w:p w14:paraId="7483645D">
            <w:pPr>
              <w:spacing w:before="40" w:after="40"/>
            </w:pPr>
            <w:r>
              <w:rPr>
                <w:rFonts w:ascii="Arial" w:hAnsi="Arial" w:eastAsia="Arial" w:cs="Arial"/>
                <w:sz w:val="22"/>
                <w:szCs w:val="22"/>
              </w:rPr>
              <w:t>• Bloc 4 : Coûts &amp; Composants</w:t>
            </w:r>
          </w:p>
          <w:p w14:paraId="3226149C">
            <w:pPr>
              <w:spacing w:before="40" w:after="60"/>
            </w:pPr>
            <w:r>
              <w:rPr>
                <w:rFonts w:ascii="Arial" w:hAnsi="Arial" w:eastAsia="Arial" w:cs="Arial"/>
                <w:sz w:val="22"/>
                <w:szCs w:val="22"/>
              </w:rPr>
              <w:t>• Bloc 5 : Revenus</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1C557E2F">
            <w:pPr>
              <w:spacing w:before="60" w:after="60"/>
              <w:jc w:val="center"/>
            </w:pPr>
            <w:r>
              <w:rPr>
                <w:rFonts w:ascii="Arial" w:hAnsi="Arial" w:eastAsia="Arial" w:cs="Arial"/>
                <w:b/>
                <w:bCs/>
                <w:color w:val="F0A02B"/>
                <w:sz w:val="20"/>
                <w:szCs w:val="20"/>
              </w:rPr>
              <w:t>→</w:t>
            </w:r>
          </w:p>
        </w:tc>
        <w:tc>
          <w:tcPr>
            <w:tcW w:w="3000" w:type="dxa"/>
            <w:tcBorders>
              <w:top w:val="single" w:color="CCCCCC" w:sz="0" w:space="0"/>
              <w:left w:val="single" w:color="CCCCCC" w:sz="0" w:space="0"/>
              <w:bottom w:val="single" w:color="CCCCCC" w:sz="0" w:space="0"/>
              <w:right w:val="single" w:color="CCCCCC" w:sz="0" w:space="0"/>
            </w:tcBorders>
            <w:shd w:val="clear" w:color="auto" w:fill="E8F5E9"/>
            <w:tcMar>
              <w:top w:w="100" w:type="dxa"/>
              <w:left w:w="140" w:type="dxa"/>
              <w:bottom w:w="100" w:type="dxa"/>
              <w:right w:w="140" w:type="dxa"/>
            </w:tcMar>
            <w:vAlign w:val="center"/>
          </w:tcPr>
          <w:p w14:paraId="038AE1CE">
            <w:pPr>
              <w:spacing w:before="60" w:after="40"/>
            </w:pPr>
            <w:r>
              <w:rPr>
                <w:rFonts w:ascii="Arial" w:hAnsi="Arial" w:eastAsia="Arial" w:cs="Arial"/>
                <w:sz w:val="22"/>
                <w:szCs w:val="22"/>
              </w:rPr>
              <w:t>• Coût de revient unitaire</w:t>
            </w:r>
          </w:p>
          <w:p w14:paraId="0C5EA29E">
            <w:pPr>
              <w:spacing w:before="40" w:after="40"/>
            </w:pPr>
            <w:r>
              <w:rPr>
                <w:rFonts w:ascii="Arial" w:hAnsi="Arial" w:eastAsia="Arial" w:cs="Arial"/>
                <w:sz w:val="22"/>
                <w:szCs w:val="22"/>
              </w:rPr>
              <w:t>• Chiffre d'affaires par année</w:t>
            </w:r>
          </w:p>
          <w:p w14:paraId="1BE6D464">
            <w:pPr>
              <w:spacing w:before="40" w:after="40"/>
            </w:pPr>
            <w:r>
              <w:rPr>
                <w:rFonts w:ascii="Arial" w:hAnsi="Arial" w:eastAsia="Arial" w:cs="Arial"/>
                <w:sz w:val="22"/>
                <w:szCs w:val="22"/>
              </w:rPr>
              <w:t>• Compte de résultat (EBITDA, résultat net)</w:t>
            </w:r>
          </w:p>
          <w:p w14:paraId="4B6D987F">
            <w:pPr>
              <w:spacing w:before="40" w:after="40"/>
            </w:pPr>
            <w:r>
              <w:rPr>
                <w:rFonts w:ascii="Arial" w:hAnsi="Arial" w:eastAsia="Arial" w:cs="Arial"/>
                <w:sz w:val="22"/>
                <w:szCs w:val="22"/>
              </w:rPr>
              <w:t>• Flux de trésorerie</w:t>
            </w:r>
          </w:p>
          <w:p w14:paraId="55118F7E">
            <w:pPr>
              <w:spacing w:before="40" w:after="60"/>
            </w:pPr>
            <w:r>
              <w:rPr>
                <w:rFonts w:ascii="Arial" w:hAnsi="Arial" w:eastAsia="Arial" w:cs="Arial"/>
                <w:sz w:val="22"/>
                <w:szCs w:val="22"/>
              </w:rPr>
              <w:t>• Bilan prévisionnel</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046292A3">
            <w:pPr>
              <w:spacing w:before="60" w:after="60"/>
              <w:jc w:val="center"/>
            </w:pPr>
            <w:r>
              <w:rPr>
                <w:rFonts w:ascii="Arial" w:hAnsi="Arial" w:eastAsia="Arial" w:cs="Arial"/>
                <w:b/>
                <w:bCs/>
                <w:color w:val="F0A02B"/>
                <w:sz w:val="20"/>
                <w:szCs w:val="20"/>
              </w:rPr>
              <w:t>→</w:t>
            </w:r>
          </w:p>
        </w:tc>
        <w:tc>
          <w:tcPr>
            <w:tcW w:w="2186" w:type="dxa"/>
            <w:tcBorders>
              <w:top w:val="single" w:color="CCCCCC" w:sz="0" w:space="0"/>
              <w:left w:val="single" w:color="CCCCCC" w:sz="0" w:space="0"/>
              <w:bottom w:val="single" w:color="CCCCCC" w:sz="0" w:space="0"/>
              <w:right w:val="single" w:color="CCCCCC" w:sz="0" w:space="0"/>
            </w:tcBorders>
            <w:shd w:val="clear" w:color="auto" w:fill="FFF8E1"/>
            <w:tcMar>
              <w:top w:w="100" w:type="dxa"/>
              <w:left w:w="140" w:type="dxa"/>
              <w:bottom w:w="100" w:type="dxa"/>
              <w:right w:w="140" w:type="dxa"/>
            </w:tcMar>
            <w:vAlign w:val="center"/>
          </w:tcPr>
          <w:p w14:paraId="5FFDA56D">
            <w:pPr>
              <w:spacing w:before="60" w:after="40"/>
            </w:pPr>
            <w:r>
              <w:rPr>
                <w:rFonts w:ascii="Arial" w:hAnsi="Arial" w:eastAsia="Arial" w:cs="Arial"/>
                <w:sz w:val="22"/>
                <w:szCs w:val="22"/>
              </w:rPr>
              <w:t>• TRI, VAN</w:t>
            </w:r>
          </w:p>
          <w:p w14:paraId="5636E5CC">
            <w:pPr>
              <w:spacing w:before="40" w:after="40"/>
            </w:pPr>
            <w:r>
              <w:rPr>
                <w:rFonts w:ascii="Arial" w:hAnsi="Arial" w:eastAsia="Arial" w:cs="Arial"/>
                <w:sz w:val="22"/>
                <w:szCs w:val="22"/>
              </w:rPr>
              <w:t>• Marges brute et nette</w:t>
            </w:r>
          </w:p>
          <w:p w14:paraId="5E2ABFAE">
            <w:pPr>
              <w:spacing w:before="40" w:after="40"/>
            </w:pPr>
            <w:r>
              <w:rPr>
                <w:rFonts w:ascii="Arial" w:hAnsi="Arial" w:eastAsia="Arial" w:cs="Arial"/>
                <w:sz w:val="22"/>
                <w:szCs w:val="22"/>
              </w:rPr>
              <w:t>• Seuil de rentabilité</w:t>
            </w:r>
          </w:p>
          <w:p w14:paraId="0D601975">
            <w:pPr>
              <w:spacing w:before="40" w:after="40"/>
            </w:pPr>
            <w:r>
              <w:rPr>
                <w:rFonts w:ascii="Arial" w:hAnsi="Arial" w:eastAsia="Arial" w:cs="Arial"/>
                <w:sz w:val="22"/>
                <w:szCs w:val="22"/>
              </w:rPr>
              <w:t>• Graphes interactifs</w:t>
            </w:r>
          </w:p>
          <w:p w14:paraId="7909731E">
            <w:pPr>
              <w:spacing w:before="40" w:after="60"/>
            </w:pPr>
            <w:r>
              <w:rPr>
                <w:rFonts w:ascii="Arial" w:hAnsi="Arial" w:eastAsia="Arial" w:cs="Arial"/>
                <w:sz w:val="22"/>
                <w:szCs w:val="22"/>
              </w:rPr>
              <w:t>• Export PDF/Excel</w:t>
            </w:r>
          </w:p>
        </w:tc>
      </w:tr>
    </w:tbl>
    <w:p w14:paraId="3988D77D">
      <w:pPr>
        <w:pStyle w:val="2"/>
        <w:spacing w:before="400" w:after="200"/>
      </w:pPr>
      <w:r>
        <w:rPr>
          <w:rFonts w:ascii="Arial" w:hAnsi="Arial" w:eastAsia="Arial" w:cs="Arial"/>
          <w:b/>
          <w:bCs/>
          <w:color w:val="0D2B55"/>
          <w:sz w:val="32"/>
          <w:szCs w:val="32"/>
        </w:rPr>
        <w:t>3. Description Détaillée des Blocs Fonctionnels</w:t>
      </w:r>
    </w:p>
    <w:p w14:paraId="5C0CD119">
      <w:pPr>
        <w:pBdr>
          <w:bottom w:val="single" w:color="F0A02B" w:sz="8" w:space="1"/>
        </w:pBdr>
        <w:spacing w:before="100" w:after="140"/>
      </w:pPr>
    </w:p>
    <w:p w14:paraId="5E8D817F">
      <w:pPr>
        <w:pStyle w:val="3"/>
        <w:spacing w:before="280" w:after="160"/>
      </w:pPr>
      <w:r>
        <w:rPr>
          <w:rFonts w:ascii="Arial" w:hAnsi="Arial" w:eastAsia="Arial" w:cs="Arial"/>
          <w:b/>
          <w:bCs/>
          <w:color w:val="169B86"/>
          <w:sz w:val="26"/>
          <w:szCs w:val="26"/>
        </w:rPr>
        <w:t>Bloc 1 — Informations du Projet</w:t>
      </w:r>
    </w:p>
    <w:p w14:paraId="67AE221C">
      <w:pPr>
        <w:spacing w:before="80" w:after="100"/>
      </w:pPr>
      <w:r>
        <w:rPr>
          <w:rFonts w:ascii="Arial" w:hAnsi="Arial" w:eastAsia="Arial" w:cs="Arial"/>
          <w:sz w:val="22"/>
          <w:szCs w:val="22"/>
        </w:rPr>
        <w:t>Ce bloc est le point d'entrée de tout nouveau Business Model. Il permet à l'utilisateur de définir le contexte général du projet.</w:t>
      </w:r>
    </w:p>
    <w:p w14:paraId="7988E98C">
      <w:pPr>
        <w:pStyle w:val="4"/>
        <w:spacing w:before="200" w:after="120"/>
      </w:pPr>
      <w:r>
        <w:rPr>
          <w:rFonts w:ascii="Arial" w:hAnsi="Arial" w:eastAsia="Arial" w:cs="Arial"/>
          <w:b/>
          <w:bCs/>
          <w:color w:val="F0A02B"/>
          <w:sz w:val="24"/>
          <w:szCs w:val="24"/>
        </w:rPr>
        <w:t>Champs à saisir</w:t>
      </w:r>
    </w:p>
    <w:tbl>
      <w:tblPr>
        <w:tblStyle w:val="15"/>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500"/>
        <w:gridCol w:w="3386"/>
      </w:tblGrid>
      <w:tr w14:paraId="2F0C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69B86"/>
            <w:tcMar>
              <w:top w:w="100" w:type="dxa"/>
              <w:left w:w="140" w:type="dxa"/>
              <w:bottom w:w="100" w:type="dxa"/>
              <w:right w:w="140" w:type="dxa"/>
            </w:tcMar>
            <w:vAlign w:val="center"/>
          </w:tcPr>
          <w:p w14:paraId="72106C11">
            <w:pPr>
              <w:spacing w:before="60" w:after="60"/>
              <w:jc w:val="center"/>
            </w:pPr>
            <w:r>
              <w:rPr>
                <w:rFonts w:ascii="Arial" w:hAnsi="Arial" w:eastAsia="Arial" w:cs="Arial"/>
                <w:b/>
                <w:bCs/>
                <w:color w:val="FFFFFF"/>
                <w:sz w:val="20"/>
                <w:szCs w:val="20"/>
              </w:rPr>
              <w:t>Champ</w:t>
            </w:r>
          </w:p>
        </w:tc>
        <w:tc>
          <w:tcPr>
            <w:tcW w:w="3500" w:type="dxa"/>
            <w:tcBorders>
              <w:top w:val="single" w:color="CCCCCC" w:sz="0" w:space="0"/>
              <w:left w:val="single" w:color="CCCCCC" w:sz="0" w:space="0"/>
              <w:bottom w:val="single" w:color="CCCCCC" w:sz="0" w:space="0"/>
              <w:right w:val="single" w:color="CCCCCC" w:sz="0" w:space="0"/>
            </w:tcBorders>
            <w:shd w:val="clear" w:color="auto" w:fill="169B86"/>
            <w:tcMar>
              <w:top w:w="100" w:type="dxa"/>
              <w:left w:w="140" w:type="dxa"/>
              <w:bottom w:w="100" w:type="dxa"/>
              <w:right w:w="140" w:type="dxa"/>
            </w:tcMar>
            <w:vAlign w:val="center"/>
          </w:tcPr>
          <w:p w14:paraId="3BA5FB1A">
            <w:pPr>
              <w:spacing w:before="60" w:after="60"/>
              <w:jc w:val="center"/>
            </w:pPr>
            <w:r>
              <w:rPr>
                <w:rFonts w:ascii="Arial" w:hAnsi="Arial" w:eastAsia="Arial" w:cs="Arial"/>
                <w:b/>
                <w:bCs/>
                <w:color w:val="FFFFFF"/>
                <w:sz w:val="20"/>
                <w:szCs w:val="20"/>
              </w:rPr>
              <w:t>Description</w:t>
            </w:r>
          </w:p>
        </w:tc>
        <w:tc>
          <w:tcPr>
            <w:tcW w:w="3386" w:type="dxa"/>
            <w:tcBorders>
              <w:top w:val="single" w:color="CCCCCC" w:sz="0" w:space="0"/>
              <w:left w:val="single" w:color="CCCCCC" w:sz="0" w:space="0"/>
              <w:bottom w:val="single" w:color="CCCCCC" w:sz="0" w:space="0"/>
              <w:right w:val="single" w:color="CCCCCC" w:sz="0" w:space="0"/>
            </w:tcBorders>
            <w:shd w:val="clear" w:color="auto" w:fill="169B86"/>
            <w:tcMar>
              <w:top w:w="100" w:type="dxa"/>
              <w:left w:w="140" w:type="dxa"/>
              <w:bottom w:w="100" w:type="dxa"/>
              <w:right w:w="140" w:type="dxa"/>
            </w:tcMar>
            <w:vAlign w:val="center"/>
          </w:tcPr>
          <w:p w14:paraId="7462504A">
            <w:pPr>
              <w:spacing w:before="60" w:after="60"/>
              <w:jc w:val="center"/>
            </w:pPr>
            <w:r>
              <w:rPr>
                <w:rFonts w:ascii="Arial" w:hAnsi="Arial" w:eastAsia="Arial" w:cs="Arial"/>
                <w:b/>
                <w:bCs/>
                <w:color w:val="FFFFFF"/>
                <w:sz w:val="20"/>
                <w:szCs w:val="20"/>
              </w:rPr>
              <w:t>Type</w:t>
            </w:r>
          </w:p>
        </w:tc>
      </w:tr>
      <w:tr w14:paraId="4D59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0724DFCD">
            <w:pPr>
              <w:spacing w:before="60" w:after="60"/>
              <w:jc w:val="left"/>
            </w:pPr>
            <w:r>
              <w:rPr>
                <w:rFonts w:ascii="Arial" w:hAnsi="Arial" w:eastAsia="Arial" w:cs="Arial"/>
                <w:b/>
                <w:bCs/>
                <w:color w:val="000000"/>
                <w:sz w:val="20"/>
                <w:szCs w:val="20"/>
              </w:rPr>
              <w:t>Nom du projet</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1784F630">
            <w:pPr>
              <w:spacing w:before="60" w:after="60"/>
              <w:jc w:val="left"/>
            </w:pPr>
            <w:r>
              <w:rPr>
                <w:rFonts w:ascii="Arial" w:hAnsi="Arial" w:eastAsia="Arial" w:cs="Arial"/>
                <w:b w:val="0"/>
                <w:bCs w:val="0"/>
                <w:color w:val="000000"/>
                <w:sz w:val="20"/>
                <w:szCs w:val="20"/>
              </w:rPr>
              <w:t>Intitulé court et identifiant du Business Model</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210B1079">
            <w:pPr>
              <w:spacing w:before="60" w:after="60"/>
              <w:jc w:val="left"/>
            </w:pPr>
            <w:r>
              <w:rPr>
                <w:rFonts w:ascii="Arial" w:hAnsi="Arial" w:eastAsia="Arial" w:cs="Arial"/>
                <w:b w:val="0"/>
                <w:bCs w:val="0"/>
                <w:color w:val="000000"/>
                <w:sz w:val="20"/>
                <w:szCs w:val="20"/>
              </w:rPr>
              <w:t>Texte — Obligatoire</w:t>
            </w:r>
          </w:p>
        </w:tc>
      </w:tr>
      <w:tr w14:paraId="46C1B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6EB57A8E">
            <w:pPr>
              <w:spacing w:before="60" w:after="60"/>
              <w:jc w:val="left"/>
            </w:pPr>
            <w:r>
              <w:rPr>
                <w:rFonts w:ascii="Arial" w:hAnsi="Arial" w:eastAsia="Arial" w:cs="Arial"/>
                <w:b/>
                <w:bCs/>
                <w:color w:val="000000"/>
                <w:sz w:val="20"/>
                <w:szCs w:val="20"/>
              </w:rPr>
              <w:t>Description</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0E41E8A3">
            <w:pPr>
              <w:spacing w:before="60" w:after="60"/>
              <w:jc w:val="left"/>
            </w:pPr>
            <w:r>
              <w:rPr>
                <w:rFonts w:ascii="Arial" w:hAnsi="Arial" w:eastAsia="Arial" w:cs="Arial"/>
                <w:b w:val="0"/>
                <w:bCs w:val="0"/>
                <w:color w:val="000000"/>
                <w:sz w:val="20"/>
                <w:szCs w:val="20"/>
              </w:rPr>
              <w:t>Résumé du projet, contexte stratégique</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7E05DCA4">
            <w:pPr>
              <w:spacing w:before="60" w:after="60"/>
              <w:jc w:val="left"/>
            </w:pPr>
            <w:r>
              <w:rPr>
                <w:rFonts w:ascii="Arial" w:hAnsi="Arial" w:eastAsia="Arial" w:cs="Arial"/>
                <w:b w:val="0"/>
                <w:bCs w:val="0"/>
                <w:color w:val="000000"/>
                <w:sz w:val="20"/>
                <w:szCs w:val="20"/>
              </w:rPr>
              <w:t>Texte long — Optionnel</w:t>
            </w:r>
          </w:p>
        </w:tc>
      </w:tr>
      <w:tr w14:paraId="09DD7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2E3560AD">
            <w:pPr>
              <w:spacing w:before="60" w:after="60"/>
              <w:jc w:val="left"/>
            </w:pPr>
            <w:r>
              <w:rPr>
                <w:rFonts w:ascii="Arial" w:hAnsi="Arial" w:eastAsia="Arial" w:cs="Arial"/>
                <w:b/>
                <w:bCs/>
                <w:color w:val="000000"/>
                <w:sz w:val="20"/>
                <w:szCs w:val="20"/>
              </w:rPr>
              <w:t>Secteur d'activité</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07A5CCFA">
            <w:pPr>
              <w:spacing w:before="60" w:after="60"/>
              <w:jc w:val="left"/>
            </w:pPr>
            <w:r>
              <w:rPr>
                <w:rFonts w:ascii="Arial" w:hAnsi="Arial" w:eastAsia="Arial" w:cs="Arial"/>
                <w:b w:val="0"/>
                <w:bCs w:val="0"/>
                <w:color w:val="000000"/>
                <w:sz w:val="20"/>
                <w:szCs w:val="20"/>
              </w:rPr>
              <w:t>Domaine concerné (ex. : Énergie, Agriculture, BTP…)</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3441EB2B">
            <w:pPr>
              <w:spacing w:before="60" w:after="60"/>
              <w:jc w:val="left"/>
            </w:pPr>
            <w:r>
              <w:rPr>
                <w:rFonts w:ascii="Arial" w:hAnsi="Arial" w:eastAsia="Arial" w:cs="Arial"/>
                <w:b w:val="0"/>
                <w:bCs w:val="0"/>
                <w:color w:val="000000"/>
                <w:sz w:val="20"/>
                <w:szCs w:val="20"/>
              </w:rPr>
              <w:t>Liste déroulante + champ libre</w:t>
            </w:r>
          </w:p>
        </w:tc>
      </w:tr>
      <w:tr w14:paraId="50A13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30C8BF37">
            <w:pPr>
              <w:spacing w:before="60" w:after="60"/>
              <w:jc w:val="left"/>
            </w:pPr>
            <w:r>
              <w:rPr>
                <w:rFonts w:ascii="Arial" w:hAnsi="Arial" w:eastAsia="Arial" w:cs="Arial"/>
                <w:b/>
                <w:bCs/>
                <w:color w:val="000000"/>
                <w:sz w:val="20"/>
                <w:szCs w:val="20"/>
              </w:rPr>
              <w:t>Produit ou service principal</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24D4D733">
            <w:pPr>
              <w:spacing w:before="60" w:after="60"/>
              <w:jc w:val="left"/>
            </w:pPr>
            <w:r>
              <w:rPr>
                <w:rFonts w:ascii="Arial" w:hAnsi="Arial" w:eastAsia="Arial" w:cs="Arial"/>
                <w:b w:val="0"/>
                <w:bCs w:val="0"/>
                <w:color w:val="000000"/>
                <w:sz w:val="20"/>
                <w:szCs w:val="20"/>
              </w:rPr>
              <w:t>Ce que le projet vend ou produit</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3579EBAB">
            <w:pPr>
              <w:spacing w:before="60" w:after="60"/>
              <w:jc w:val="left"/>
            </w:pPr>
            <w:r>
              <w:rPr>
                <w:rFonts w:ascii="Arial" w:hAnsi="Arial" w:eastAsia="Arial" w:cs="Arial"/>
                <w:b w:val="0"/>
                <w:bCs w:val="0"/>
                <w:color w:val="000000"/>
                <w:sz w:val="20"/>
                <w:szCs w:val="20"/>
              </w:rPr>
              <w:t>Texte — Obligatoire</w:t>
            </w:r>
          </w:p>
        </w:tc>
      </w:tr>
      <w:tr w14:paraId="7094E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6DAD3359">
            <w:pPr>
              <w:spacing w:before="60" w:after="60"/>
              <w:jc w:val="left"/>
            </w:pPr>
            <w:r>
              <w:rPr>
                <w:rFonts w:ascii="Arial" w:hAnsi="Arial" w:eastAsia="Arial" w:cs="Arial"/>
                <w:b/>
                <w:bCs/>
                <w:color w:val="000000"/>
                <w:sz w:val="20"/>
                <w:szCs w:val="20"/>
              </w:rPr>
              <w:t>Année de démarrage</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6910E609">
            <w:pPr>
              <w:spacing w:before="60" w:after="60"/>
              <w:jc w:val="left"/>
            </w:pPr>
            <w:r>
              <w:rPr>
                <w:rFonts w:ascii="Arial" w:hAnsi="Arial" w:eastAsia="Arial" w:cs="Arial"/>
                <w:b w:val="0"/>
                <w:bCs w:val="0"/>
                <w:color w:val="000000"/>
                <w:sz w:val="20"/>
                <w:szCs w:val="20"/>
              </w:rPr>
              <w:t>Première année d'activité du projet</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27D43BDC">
            <w:pPr>
              <w:spacing w:before="60" w:after="60"/>
              <w:jc w:val="left"/>
            </w:pPr>
            <w:r>
              <w:rPr>
                <w:rFonts w:ascii="Arial" w:hAnsi="Arial" w:eastAsia="Arial" w:cs="Arial"/>
                <w:b w:val="0"/>
                <w:bCs w:val="0"/>
                <w:color w:val="000000"/>
                <w:sz w:val="20"/>
                <w:szCs w:val="20"/>
              </w:rPr>
              <w:t>Entier (ex. : 2026)</w:t>
            </w:r>
          </w:p>
        </w:tc>
      </w:tr>
      <w:tr w14:paraId="69CDC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02A723E1">
            <w:pPr>
              <w:spacing w:before="60" w:after="60"/>
              <w:jc w:val="left"/>
            </w:pPr>
            <w:r>
              <w:rPr>
                <w:rFonts w:ascii="Arial" w:hAnsi="Arial" w:eastAsia="Arial" w:cs="Arial"/>
                <w:b/>
                <w:bCs/>
                <w:color w:val="000000"/>
                <w:sz w:val="20"/>
                <w:szCs w:val="20"/>
              </w:rPr>
              <w:t>Durée du projet</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64ABC691">
            <w:pPr>
              <w:spacing w:before="60" w:after="60"/>
              <w:jc w:val="left"/>
            </w:pPr>
            <w:r>
              <w:rPr>
                <w:rFonts w:ascii="Arial" w:hAnsi="Arial" w:eastAsia="Arial" w:cs="Arial"/>
                <w:b w:val="0"/>
                <w:bCs w:val="0"/>
                <w:color w:val="000000"/>
                <w:sz w:val="20"/>
                <w:szCs w:val="20"/>
              </w:rPr>
              <w:t>Nombre d'années de projection financière</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4B20EDCE">
            <w:pPr>
              <w:spacing w:before="60" w:after="60"/>
              <w:jc w:val="left"/>
            </w:pPr>
            <w:r>
              <w:rPr>
                <w:rFonts w:ascii="Arial" w:hAnsi="Arial" w:eastAsia="Arial" w:cs="Arial"/>
                <w:b w:val="0"/>
                <w:bCs w:val="0"/>
                <w:color w:val="000000"/>
                <w:sz w:val="20"/>
                <w:szCs w:val="20"/>
              </w:rPr>
              <w:t>Entier (ex. : 5 ans)</w:t>
            </w:r>
          </w:p>
        </w:tc>
      </w:tr>
      <w:tr w14:paraId="7BEB4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403E1982">
            <w:pPr>
              <w:spacing w:before="60" w:after="60"/>
              <w:jc w:val="left"/>
            </w:pPr>
            <w:r>
              <w:rPr>
                <w:rFonts w:ascii="Arial" w:hAnsi="Arial" w:eastAsia="Arial" w:cs="Arial"/>
                <w:b/>
                <w:bCs/>
                <w:color w:val="000000"/>
                <w:sz w:val="20"/>
                <w:szCs w:val="20"/>
              </w:rPr>
              <w:t>Devise</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452280F7">
            <w:pPr>
              <w:spacing w:before="60" w:after="60"/>
              <w:jc w:val="left"/>
            </w:pPr>
            <w:r>
              <w:rPr>
                <w:rFonts w:ascii="Arial" w:hAnsi="Arial" w:eastAsia="Arial" w:cs="Arial"/>
                <w:b w:val="0"/>
                <w:bCs w:val="0"/>
                <w:color w:val="000000"/>
                <w:sz w:val="20"/>
                <w:szCs w:val="20"/>
              </w:rPr>
              <w:t>Monnaie utilisée pour tous les montants</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66ABAB7A">
            <w:pPr>
              <w:spacing w:before="60" w:after="60"/>
              <w:jc w:val="left"/>
            </w:pPr>
            <w:r>
              <w:rPr>
                <w:rFonts w:ascii="Arial" w:hAnsi="Arial" w:eastAsia="Arial" w:cs="Arial"/>
                <w:b w:val="0"/>
                <w:bCs w:val="0"/>
                <w:color w:val="000000"/>
                <w:sz w:val="20"/>
                <w:szCs w:val="20"/>
              </w:rPr>
              <w:t>Liste (FCFA, EUR, USD…)</w:t>
            </w:r>
          </w:p>
        </w:tc>
      </w:tr>
      <w:tr w14:paraId="5A655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796D3EFF">
            <w:pPr>
              <w:spacing w:before="60" w:after="60"/>
              <w:jc w:val="left"/>
            </w:pPr>
            <w:r>
              <w:rPr>
                <w:rFonts w:ascii="Arial" w:hAnsi="Arial" w:eastAsia="Arial" w:cs="Arial"/>
                <w:b/>
                <w:bCs/>
                <w:color w:val="000000"/>
                <w:sz w:val="20"/>
                <w:szCs w:val="20"/>
              </w:rPr>
              <w:t>Statut</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3AA3FB3D">
            <w:pPr>
              <w:spacing w:before="60" w:after="60"/>
              <w:jc w:val="left"/>
            </w:pPr>
            <w:r>
              <w:rPr>
                <w:rFonts w:ascii="Arial" w:hAnsi="Arial" w:eastAsia="Arial" w:cs="Arial"/>
                <w:b w:val="0"/>
                <w:bCs w:val="0"/>
                <w:color w:val="000000"/>
                <w:sz w:val="20"/>
                <w:szCs w:val="20"/>
              </w:rPr>
              <w:t>État d'avancement du Business Model</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15DEF4E3">
            <w:pPr>
              <w:spacing w:before="60" w:after="60"/>
              <w:jc w:val="left"/>
            </w:pPr>
            <w:r>
              <w:rPr>
                <w:rFonts w:ascii="Arial" w:hAnsi="Arial" w:eastAsia="Arial" w:cs="Arial"/>
                <w:b w:val="0"/>
                <w:bCs w:val="0"/>
                <w:color w:val="000000"/>
                <w:sz w:val="20"/>
                <w:szCs w:val="20"/>
              </w:rPr>
              <w:t>Draft / En cours / Finalisé</w:t>
            </w:r>
          </w:p>
        </w:tc>
      </w:tr>
    </w:tbl>
    <w:p w14:paraId="3E040484">
      <w:pPr>
        <w:pStyle w:val="4"/>
        <w:spacing w:before="200" w:after="120"/>
      </w:pPr>
      <w:r>
        <w:rPr>
          <w:rFonts w:ascii="Arial" w:hAnsi="Arial" w:eastAsia="Arial" w:cs="Arial"/>
          <w:b/>
          <w:bCs/>
          <w:color w:val="F0A02B"/>
          <w:sz w:val="24"/>
          <w:szCs w:val="24"/>
        </w:rPr>
        <w:t>Fonctionnalités</w:t>
      </w:r>
    </w:p>
    <w:p w14:paraId="6E53A6B2">
      <w:pPr>
        <w:pStyle w:val="16"/>
        <w:numPr>
          <w:ilvl w:val="0"/>
          <w:numId w:val="1"/>
        </w:numPr>
        <w:spacing w:before="60" w:after="60"/>
      </w:pPr>
      <w:r>
        <w:rPr>
          <w:rFonts w:ascii="Arial" w:hAnsi="Arial" w:eastAsia="Arial" w:cs="Arial"/>
          <w:sz w:val="22"/>
          <w:szCs w:val="22"/>
        </w:rPr>
        <w:t>Création d'un nouveau projet</w:t>
      </w:r>
    </w:p>
    <w:p w14:paraId="555E6369">
      <w:pPr>
        <w:pStyle w:val="16"/>
        <w:numPr>
          <w:ilvl w:val="0"/>
          <w:numId w:val="1"/>
        </w:numPr>
        <w:spacing w:before="60" w:after="60"/>
      </w:pPr>
      <w:r>
        <w:rPr>
          <w:rFonts w:ascii="Arial" w:hAnsi="Arial" w:eastAsia="Arial" w:cs="Arial"/>
          <w:sz w:val="22"/>
          <w:szCs w:val="22"/>
        </w:rPr>
        <w:t>Duplication d'un projet existant comme base de départ pour un nouveau Business Model</w:t>
      </w:r>
    </w:p>
    <w:p w14:paraId="03066D98">
      <w:pPr>
        <w:pStyle w:val="16"/>
        <w:numPr>
          <w:ilvl w:val="0"/>
          <w:numId w:val="1"/>
        </w:numPr>
        <w:spacing w:before="60" w:after="60"/>
      </w:pPr>
      <w:r>
        <w:rPr>
          <w:rFonts w:ascii="Arial" w:hAnsi="Arial" w:eastAsia="Arial" w:cs="Arial"/>
          <w:sz w:val="22"/>
          <w:szCs w:val="22"/>
        </w:rPr>
        <w:t>Archivage des projets terminés</w:t>
      </w:r>
    </w:p>
    <w:p w14:paraId="0B6A19A9">
      <w:pPr>
        <w:pStyle w:val="16"/>
        <w:numPr>
          <w:ilvl w:val="0"/>
          <w:numId w:val="1"/>
        </w:numPr>
        <w:spacing w:before="60" w:after="60"/>
      </w:pPr>
      <w:r>
        <w:rPr>
          <w:rFonts w:ascii="Arial" w:hAnsi="Arial" w:eastAsia="Arial" w:cs="Arial"/>
          <w:sz w:val="22"/>
          <w:szCs w:val="22"/>
        </w:rPr>
        <w:t>Recherche et filtrage des projets par nom, secteur ou statut</w:t>
      </w:r>
    </w:p>
    <w:p w14:paraId="44E335FE">
      <w:pPr>
        <w:spacing w:before="60" w:after="60"/>
      </w:pPr>
    </w:p>
    <w:p w14:paraId="51250200">
      <w:pPr>
        <w:pStyle w:val="3"/>
        <w:spacing w:before="280" w:after="160"/>
      </w:pPr>
      <w:r>
        <w:rPr>
          <w:rFonts w:ascii="Arial" w:hAnsi="Arial" w:eastAsia="Arial" w:cs="Arial"/>
          <w:b/>
          <w:bCs/>
          <w:color w:val="169B86"/>
          <w:sz w:val="26"/>
          <w:szCs w:val="26"/>
        </w:rPr>
        <w:t>Bloc 2 — Produits &amp; Services</w:t>
      </w:r>
    </w:p>
    <w:p w14:paraId="36EF462F">
      <w:pPr>
        <w:spacing w:before="80" w:after="100"/>
      </w:pPr>
      <w:r>
        <w:rPr>
          <w:rFonts w:ascii="Arial" w:hAnsi="Arial" w:eastAsia="Arial" w:cs="Arial"/>
          <w:sz w:val="22"/>
          <w:szCs w:val="22"/>
        </w:rPr>
        <w:t>Ce bloc permet de définir ce que le projet vend. Un projet peut comporter un ou plusieurs produits/services. Chaque produit a ses propres caractéristiques et son propre coût de revient.</w:t>
      </w:r>
    </w:p>
    <w:p w14:paraId="37CCEF0F">
      <w:pPr>
        <w:pStyle w:val="4"/>
        <w:spacing w:before="200" w:after="120"/>
      </w:pPr>
      <w:r>
        <w:rPr>
          <w:rFonts w:ascii="Arial" w:hAnsi="Arial" w:eastAsia="Arial" w:cs="Arial"/>
          <w:b/>
          <w:bCs/>
          <w:color w:val="F0A02B"/>
          <w:sz w:val="24"/>
          <w:szCs w:val="24"/>
        </w:rPr>
        <w:t>Champs à saisir par produit</w:t>
      </w:r>
    </w:p>
    <w:tbl>
      <w:tblPr>
        <w:tblStyle w:val="15"/>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500"/>
        <w:gridCol w:w="3386"/>
      </w:tblGrid>
      <w:tr w14:paraId="10E5A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69B86"/>
            <w:tcMar>
              <w:top w:w="100" w:type="dxa"/>
              <w:left w:w="140" w:type="dxa"/>
              <w:bottom w:w="100" w:type="dxa"/>
              <w:right w:w="140" w:type="dxa"/>
            </w:tcMar>
            <w:vAlign w:val="center"/>
          </w:tcPr>
          <w:p w14:paraId="57B1B23A">
            <w:pPr>
              <w:spacing w:before="60" w:after="60"/>
              <w:jc w:val="center"/>
            </w:pPr>
            <w:r>
              <w:rPr>
                <w:rFonts w:ascii="Arial" w:hAnsi="Arial" w:eastAsia="Arial" w:cs="Arial"/>
                <w:b/>
                <w:bCs/>
                <w:color w:val="FFFFFF"/>
                <w:sz w:val="20"/>
                <w:szCs w:val="20"/>
              </w:rPr>
              <w:t>Champ</w:t>
            </w:r>
          </w:p>
        </w:tc>
        <w:tc>
          <w:tcPr>
            <w:tcW w:w="3500" w:type="dxa"/>
            <w:tcBorders>
              <w:top w:val="single" w:color="CCCCCC" w:sz="0" w:space="0"/>
              <w:left w:val="single" w:color="CCCCCC" w:sz="0" w:space="0"/>
              <w:bottom w:val="single" w:color="CCCCCC" w:sz="0" w:space="0"/>
              <w:right w:val="single" w:color="CCCCCC" w:sz="0" w:space="0"/>
            </w:tcBorders>
            <w:shd w:val="clear" w:color="auto" w:fill="169B86"/>
            <w:tcMar>
              <w:top w:w="100" w:type="dxa"/>
              <w:left w:w="140" w:type="dxa"/>
              <w:bottom w:w="100" w:type="dxa"/>
              <w:right w:w="140" w:type="dxa"/>
            </w:tcMar>
            <w:vAlign w:val="center"/>
          </w:tcPr>
          <w:p w14:paraId="67B607AA">
            <w:pPr>
              <w:spacing w:before="60" w:after="60"/>
              <w:jc w:val="center"/>
            </w:pPr>
            <w:r>
              <w:rPr>
                <w:rFonts w:ascii="Arial" w:hAnsi="Arial" w:eastAsia="Arial" w:cs="Arial"/>
                <w:b/>
                <w:bCs/>
                <w:color w:val="FFFFFF"/>
                <w:sz w:val="20"/>
                <w:szCs w:val="20"/>
              </w:rPr>
              <w:t>Description</w:t>
            </w:r>
          </w:p>
        </w:tc>
        <w:tc>
          <w:tcPr>
            <w:tcW w:w="3386" w:type="dxa"/>
            <w:tcBorders>
              <w:top w:val="single" w:color="CCCCCC" w:sz="0" w:space="0"/>
              <w:left w:val="single" w:color="CCCCCC" w:sz="0" w:space="0"/>
              <w:bottom w:val="single" w:color="CCCCCC" w:sz="0" w:space="0"/>
              <w:right w:val="single" w:color="CCCCCC" w:sz="0" w:space="0"/>
            </w:tcBorders>
            <w:shd w:val="clear" w:color="auto" w:fill="169B86"/>
            <w:tcMar>
              <w:top w:w="100" w:type="dxa"/>
              <w:left w:w="140" w:type="dxa"/>
              <w:bottom w:w="100" w:type="dxa"/>
              <w:right w:w="140" w:type="dxa"/>
            </w:tcMar>
            <w:vAlign w:val="center"/>
          </w:tcPr>
          <w:p w14:paraId="081B86A5">
            <w:pPr>
              <w:spacing w:before="60" w:after="60"/>
              <w:jc w:val="center"/>
            </w:pPr>
            <w:r>
              <w:rPr>
                <w:rFonts w:ascii="Arial" w:hAnsi="Arial" w:eastAsia="Arial" w:cs="Arial"/>
                <w:b/>
                <w:bCs/>
                <w:color w:val="FFFFFF"/>
                <w:sz w:val="20"/>
                <w:szCs w:val="20"/>
              </w:rPr>
              <w:t>Type</w:t>
            </w:r>
          </w:p>
        </w:tc>
      </w:tr>
      <w:tr w14:paraId="0A3C9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40D616EC">
            <w:pPr>
              <w:spacing w:before="60" w:after="60"/>
              <w:jc w:val="left"/>
            </w:pPr>
            <w:r>
              <w:rPr>
                <w:rFonts w:ascii="Arial" w:hAnsi="Arial" w:eastAsia="Arial" w:cs="Arial"/>
                <w:b/>
                <w:bCs/>
                <w:color w:val="000000"/>
                <w:sz w:val="20"/>
                <w:szCs w:val="20"/>
              </w:rPr>
              <w:t>Nom du produit/service</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55AB6ED9">
            <w:pPr>
              <w:spacing w:before="60" w:after="60"/>
              <w:jc w:val="left"/>
            </w:pPr>
            <w:r>
              <w:rPr>
                <w:rFonts w:ascii="Arial" w:hAnsi="Arial" w:eastAsia="Arial" w:cs="Arial"/>
                <w:b w:val="0"/>
                <w:bCs w:val="0"/>
                <w:color w:val="000000"/>
                <w:sz w:val="20"/>
                <w:szCs w:val="20"/>
              </w:rPr>
              <w:t>Intitulé du produit (ex. : KYA-SoP B20, Pompe solaire…)</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37054A1A">
            <w:pPr>
              <w:spacing w:before="60" w:after="60"/>
              <w:jc w:val="left"/>
            </w:pPr>
            <w:r>
              <w:rPr>
                <w:rFonts w:ascii="Arial" w:hAnsi="Arial" w:eastAsia="Arial" w:cs="Arial"/>
                <w:b w:val="0"/>
                <w:bCs w:val="0"/>
                <w:color w:val="000000"/>
                <w:sz w:val="20"/>
                <w:szCs w:val="20"/>
              </w:rPr>
              <w:t>Texte — Obligatoire</w:t>
            </w:r>
          </w:p>
        </w:tc>
      </w:tr>
      <w:tr w14:paraId="53A06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7D951D73">
            <w:pPr>
              <w:spacing w:before="60" w:after="60"/>
              <w:jc w:val="left"/>
            </w:pPr>
            <w:r>
              <w:rPr>
                <w:rFonts w:ascii="Arial" w:hAnsi="Arial" w:eastAsia="Arial" w:cs="Arial"/>
                <w:b/>
                <w:bCs/>
                <w:color w:val="000000"/>
                <w:sz w:val="20"/>
                <w:szCs w:val="20"/>
              </w:rPr>
              <w:t>Description</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1845C93E">
            <w:pPr>
              <w:spacing w:before="60" w:after="60"/>
              <w:jc w:val="left"/>
            </w:pPr>
            <w:r>
              <w:rPr>
                <w:rFonts w:ascii="Arial" w:hAnsi="Arial" w:eastAsia="Arial" w:cs="Arial"/>
                <w:b w:val="0"/>
                <w:bCs w:val="0"/>
                <w:color w:val="000000"/>
                <w:sz w:val="20"/>
                <w:szCs w:val="20"/>
              </w:rPr>
              <w:t>Caractéristiques générales du produit</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614BC58C">
            <w:pPr>
              <w:spacing w:before="60" w:after="60"/>
              <w:jc w:val="left"/>
            </w:pPr>
            <w:r>
              <w:rPr>
                <w:rFonts w:ascii="Arial" w:hAnsi="Arial" w:eastAsia="Arial" w:cs="Arial"/>
                <w:b w:val="0"/>
                <w:bCs w:val="0"/>
                <w:color w:val="000000"/>
                <w:sz w:val="20"/>
                <w:szCs w:val="20"/>
              </w:rPr>
              <w:t>Texte long</w:t>
            </w:r>
          </w:p>
        </w:tc>
      </w:tr>
      <w:tr w14:paraId="66EFF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1C8873C5">
            <w:pPr>
              <w:spacing w:before="60" w:after="60"/>
              <w:jc w:val="left"/>
            </w:pPr>
            <w:r>
              <w:rPr>
                <w:rFonts w:ascii="Arial" w:hAnsi="Arial" w:eastAsia="Arial" w:cs="Arial"/>
                <w:b/>
                <w:bCs/>
                <w:color w:val="000000"/>
                <w:sz w:val="20"/>
                <w:szCs w:val="20"/>
              </w:rPr>
              <w:t>Caractéristiques techniques</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142F1EF7">
            <w:pPr>
              <w:spacing w:before="60" w:after="60"/>
              <w:jc w:val="left"/>
            </w:pPr>
            <w:r>
              <w:rPr>
                <w:rFonts w:ascii="Arial" w:hAnsi="Arial" w:eastAsia="Arial" w:cs="Arial"/>
                <w:b w:val="0"/>
                <w:bCs w:val="0"/>
                <w:color w:val="000000"/>
                <w:sz w:val="20"/>
                <w:szCs w:val="20"/>
              </w:rPr>
              <w:t>Paires clé-valeur libres (ex. : Puissance = 10 kW)</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3CDC3DCA">
            <w:pPr>
              <w:spacing w:before="60" w:after="60"/>
              <w:jc w:val="left"/>
            </w:pPr>
            <w:r>
              <w:rPr>
                <w:rFonts w:ascii="Arial" w:hAnsi="Arial" w:eastAsia="Arial" w:cs="Arial"/>
                <w:b w:val="0"/>
                <w:bCs w:val="0"/>
                <w:color w:val="000000"/>
                <w:sz w:val="20"/>
                <w:szCs w:val="20"/>
              </w:rPr>
              <w:t>Champs dynamiques ajoutables</w:t>
            </w:r>
          </w:p>
        </w:tc>
      </w:tr>
      <w:tr w14:paraId="6DF0A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46AC8042">
            <w:pPr>
              <w:spacing w:before="60" w:after="60"/>
              <w:jc w:val="left"/>
            </w:pPr>
            <w:r>
              <w:rPr>
                <w:rFonts w:ascii="Arial" w:hAnsi="Arial" w:eastAsia="Arial" w:cs="Arial"/>
                <w:b/>
                <w:bCs/>
                <w:color w:val="000000"/>
                <w:sz w:val="20"/>
                <w:szCs w:val="20"/>
              </w:rPr>
              <w:t>Unité de vente</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707AA46F">
            <w:pPr>
              <w:spacing w:before="60" w:after="60"/>
              <w:jc w:val="left"/>
            </w:pPr>
            <w:r>
              <w:rPr>
                <w:rFonts w:ascii="Arial" w:hAnsi="Arial" w:eastAsia="Arial" w:cs="Arial"/>
                <w:b w:val="0"/>
                <w:bCs w:val="0"/>
                <w:color w:val="000000"/>
                <w:sz w:val="20"/>
                <w:szCs w:val="20"/>
              </w:rPr>
              <w:t>Comment le produit est vendu (pièce, lot, service…)</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0A6F950D">
            <w:pPr>
              <w:spacing w:before="60" w:after="60"/>
              <w:jc w:val="left"/>
            </w:pPr>
            <w:r>
              <w:rPr>
                <w:rFonts w:ascii="Arial" w:hAnsi="Arial" w:eastAsia="Arial" w:cs="Arial"/>
                <w:b w:val="0"/>
                <w:bCs w:val="0"/>
                <w:color w:val="000000"/>
                <w:sz w:val="20"/>
                <w:szCs w:val="20"/>
              </w:rPr>
              <w:t>Texte libre</w:t>
            </w:r>
          </w:p>
        </w:tc>
      </w:tr>
      <w:tr w14:paraId="046F6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2BDCA901">
            <w:pPr>
              <w:spacing w:before="60" w:after="60"/>
              <w:jc w:val="left"/>
            </w:pPr>
            <w:r>
              <w:rPr>
                <w:rFonts w:ascii="Arial" w:hAnsi="Arial" w:eastAsia="Arial" w:cs="Arial"/>
                <w:b/>
                <w:bCs/>
                <w:color w:val="000000"/>
                <w:sz w:val="20"/>
                <w:szCs w:val="20"/>
              </w:rPr>
              <w:t>Composants / Accessoires</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0339E78E">
            <w:pPr>
              <w:spacing w:before="60" w:after="60"/>
              <w:jc w:val="left"/>
            </w:pPr>
            <w:r>
              <w:rPr>
                <w:rFonts w:ascii="Arial" w:hAnsi="Arial" w:eastAsia="Arial" w:cs="Arial"/>
                <w:b w:val="0"/>
                <w:bCs w:val="0"/>
                <w:color w:val="000000"/>
                <w:sz w:val="20"/>
                <w:szCs w:val="20"/>
              </w:rPr>
              <w:t>Liste des éléments qui composent le produit avec prix unitaires</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4D1A07C0">
            <w:pPr>
              <w:spacing w:before="60" w:after="60"/>
              <w:jc w:val="left"/>
            </w:pPr>
            <w:r>
              <w:rPr>
                <w:rFonts w:ascii="Arial" w:hAnsi="Arial" w:eastAsia="Arial" w:cs="Arial"/>
                <w:b w:val="0"/>
                <w:bCs w:val="0"/>
                <w:color w:val="000000"/>
                <w:sz w:val="20"/>
                <w:szCs w:val="20"/>
              </w:rPr>
              <w:t>Tableau dynamique</w:t>
            </w:r>
          </w:p>
        </w:tc>
      </w:tr>
      <w:tr w14:paraId="052D8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26CD48CA">
            <w:pPr>
              <w:spacing w:before="60" w:after="60"/>
              <w:jc w:val="left"/>
            </w:pPr>
            <w:r>
              <w:rPr>
                <w:rFonts w:ascii="Arial" w:hAnsi="Arial" w:eastAsia="Arial" w:cs="Arial"/>
                <w:b/>
                <w:bCs/>
                <w:color w:val="000000"/>
                <w:sz w:val="20"/>
                <w:szCs w:val="20"/>
              </w:rPr>
              <w:t>Marge de sécurité</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7A2037E5">
            <w:pPr>
              <w:spacing w:before="60" w:after="60"/>
              <w:jc w:val="left"/>
            </w:pPr>
            <w:r>
              <w:rPr>
                <w:rFonts w:ascii="Arial" w:hAnsi="Arial" w:eastAsia="Arial" w:cs="Arial"/>
                <w:b w:val="0"/>
                <w:bCs w:val="0"/>
                <w:color w:val="000000"/>
                <w:sz w:val="20"/>
                <w:szCs w:val="20"/>
              </w:rPr>
              <w:t>Pourcentage ajouté sur le coût des composants</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6D96DAFC">
            <w:pPr>
              <w:spacing w:before="60" w:after="60"/>
              <w:jc w:val="left"/>
            </w:pPr>
            <w:r>
              <w:rPr>
                <w:rFonts w:ascii="Arial" w:hAnsi="Arial" w:eastAsia="Arial" w:cs="Arial"/>
                <w:b w:val="0"/>
                <w:bCs w:val="0"/>
                <w:color w:val="000000"/>
                <w:sz w:val="20"/>
                <w:szCs w:val="20"/>
              </w:rPr>
              <w:t>Pourcentage</w:t>
            </w:r>
          </w:p>
        </w:tc>
      </w:tr>
    </w:tbl>
    <w:p w14:paraId="3708CC88">
      <w:pPr>
        <w:pStyle w:val="4"/>
        <w:spacing w:before="200" w:after="120"/>
      </w:pPr>
      <w:r>
        <w:rPr>
          <w:rFonts w:ascii="Arial" w:hAnsi="Arial" w:eastAsia="Arial" w:cs="Arial"/>
          <w:b/>
          <w:bCs/>
          <w:color w:val="F0A02B"/>
          <w:sz w:val="24"/>
          <w:szCs w:val="24"/>
        </w:rPr>
        <w:t>Calculs automatiques</w:t>
      </w:r>
    </w:p>
    <w:p w14:paraId="652030C5">
      <w:pPr>
        <w:pStyle w:val="16"/>
        <w:numPr>
          <w:ilvl w:val="0"/>
          <w:numId w:val="1"/>
        </w:numPr>
        <w:spacing w:before="60" w:after="60"/>
      </w:pPr>
      <w:r>
        <w:rPr>
          <w:rFonts w:ascii="Arial" w:hAnsi="Arial" w:eastAsia="Arial" w:cs="Arial"/>
          <w:sz w:val="22"/>
          <w:szCs w:val="22"/>
        </w:rPr>
        <w:t>Coût de revient HT = somme des composants × (1 + marge de sécurité)</w:t>
      </w:r>
    </w:p>
    <w:p w14:paraId="423863E5">
      <w:pPr>
        <w:pStyle w:val="16"/>
        <w:numPr>
          <w:ilvl w:val="0"/>
          <w:numId w:val="1"/>
        </w:numPr>
        <w:spacing w:before="60" w:after="60"/>
      </w:pPr>
      <w:r>
        <w:rPr>
          <w:rFonts w:ascii="Arial" w:hAnsi="Arial" w:eastAsia="Arial" w:cs="Arial"/>
          <w:sz w:val="22"/>
          <w:szCs w:val="22"/>
        </w:rPr>
        <w:t>Prix de vente HT = coût de revient × (1 + marge bénéficiaire définie dans les Hypothèses)</w:t>
      </w:r>
    </w:p>
    <w:p w14:paraId="35C6B3A0">
      <w:pPr>
        <w:pStyle w:val="16"/>
        <w:numPr>
          <w:ilvl w:val="0"/>
          <w:numId w:val="1"/>
        </w:numPr>
        <w:spacing w:before="60" w:after="60"/>
      </w:pPr>
      <w:r>
        <w:rPr>
          <w:rFonts w:ascii="Arial" w:hAnsi="Arial" w:eastAsia="Arial" w:cs="Arial"/>
          <w:sz w:val="22"/>
          <w:szCs w:val="22"/>
        </w:rPr>
        <w:t>Prix TTC = prix HT × (1 + TVA)</w:t>
      </w:r>
    </w:p>
    <w:p w14:paraId="71072CAA">
      <w:pPr>
        <w:pStyle w:val="16"/>
        <w:numPr>
          <w:ilvl w:val="0"/>
          <w:numId w:val="1"/>
        </w:numPr>
        <w:spacing w:before="60" w:after="60"/>
      </w:pPr>
      <w:r>
        <w:rPr>
          <w:rFonts w:ascii="Arial" w:hAnsi="Arial" w:eastAsia="Arial" w:cs="Arial"/>
          <w:sz w:val="22"/>
          <w:szCs w:val="22"/>
        </w:rPr>
        <w:t>Bénéfice net unitaire = prix de vente HT − coût de revient HT</w:t>
      </w:r>
    </w:p>
    <w:p w14:paraId="460F80B0">
      <w:pPr>
        <w:spacing w:before="60" w:after="60"/>
      </w:pPr>
    </w:p>
    <w:p w14:paraId="2C224007">
      <w:pPr>
        <w:pStyle w:val="3"/>
        <w:spacing w:before="280" w:after="160"/>
      </w:pPr>
      <w:r>
        <w:rPr>
          <w:rFonts w:ascii="Arial" w:hAnsi="Arial" w:eastAsia="Arial" w:cs="Arial"/>
          <w:b/>
          <w:bCs/>
          <w:color w:val="169B86"/>
          <w:sz w:val="26"/>
          <w:szCs w:val="26"/>
        </w:rPr>
        <w:t>Bloc 3 — Hypothèses</w:t>
      </w:r>
    </w:p>
    <w:p w14:paraId="6F52A2B8">
      <w:pPr>
        <w:spacing w:before="80" w:after="100"/>
      </w:pPr>
      <w:r>
        <w:rPr>
          <w:rFonts w:ascii="Arial" w:hAnsi="Arial" w:eastAsia="Arial" w:cs="Arial"/>
          <w:sz w:val="22"/>
          <w:szCs w:val="22"/>
        </w:rPr>
        <w:t>Les hypothèses sont les paramètres d'entrée qui pilotent l'ensemble des calculs financiers. Ce bloc est le plus structurant du modèle : une modification d'une hypothèse se répercute immédiatement sur tous les résultats.</w:t>
      </w:r>
    </w:p>
    <w:p w14:paraId="3ED3DD75">
      <w:pPr>
        <w:pStyle w:val="4"/>
        <w:spacing w:before="200" w:after="120"/>
      </w:pPr>
      <w:r>
        <w:rPr>
          <w:rFonts w:ascii="Arial" w:hAnsi="Arial" w:eastAsia="Arial" w:cs="Arial"/>
          <w:b/>
          <w:bCs/>
          <w:color w:val="F0A02B"/>
          <w:sz w:val="24"/>
          <w:szCs w:val="24"/>
        </w:rPr>
        <w:t>Sections des hypothèses</w:t>
      </w:r>
    </w:p>
    <w:tbl>
      <w:tblPr>
        <w:tblStyle w:val="15"/>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800"/>
        <w:gridCol w:w="3086"/>
      </w:tblGrid>
      <w:tr w14:paraId="61754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69B86"/>
            <w:tcMar>
              <w:top w:w="100" w:type="dxa"/>
              <w:left w:w="140" w:type="dxa"/>
              <w:bottom w:w="100" w:type="dxa"/>
              <w:right w:w="140" w:type="dxa"/>
            </w:tcMar>
            <w:vAlign w:val="center"/>
          </w:tcPr>
          <w:p w14:paraId="7729B554">
            <w:pPr>
              <w:spacing w:before="60" w:after="60"/>
              <w:jc w:val="center"/>
            </w:pPr>
            <w:r>
              <w:rPr>
                <w:rFonts w:ascii="Arial" w:hAnsi="Arial" w:eastAsia="Arial" w:cs="Arial"/>
                <w:b/>
                <w:bCs/>
                <w:color w:val="FFFFFF"/>
                <w:sz w:val="20"/>
                <w:szCs w:val="20"/>
              </w:rPr>
              <w:t>Section</w:t>
            </w:r>
          </w:p>
        </w:tc>
        <w:tc>
          <w:tcPr>
            <w:tcW w:w="3800" w:type="dxa"/>
            <w:tcBorders>
              <w:top w:val="single" w:color="CCCCCC" w:sz="0" w:space="0"/>
              <w:left w:val="single" w:color="CCCCCC" w:sz="0" w:space="0"/>
              <w:bottom w:val="single" w:color="CCCCCC" w:sz="0" w:space="0"/>
              <w:right w:val="single" w:color="CCCCCC" w:sz="0" w:space="0"/>
            </w:tcBorders>
            <w:shd w:val="clear" w:color="auto" w:fill="169B86"/>
            <w:tcMar>
              <w:top w:w="100" w:type="dxa"/>
              <w:left w:w="140" w:type="dxa"/>
              <w:bottom w:w="100" w:type="dxa"/>
              <w:right w:w="140" w:type="dxa"/>
            </w:tcMar>
            <w:vAlign w:val="center"/>
          </w:tcPr>
          <w:p w14:paraId="459C330E">
            <w:pPr>
              <w:spacing w:before="60" w:after="60"/>
              <w:jc w:val="center"/>
            </w:pPr>
            <w:r>
              <w:rPr>
                <w:rFonts w:ascii="Arial" w:hAnsi="Arial" w:eastAsia="Arial" w:cs="Arial"/>
                <w:b/>
                <w:bCs/>
                <w:color w:val="FFFFFF"/>
                <w:sz w:val="20"/>
                <w:szCs w:val="20"/>
              </w:rPr>
              <w:t>Paramètres</w:t>
            </w:r>
          </w:p>
        </w:tc>
        <w:tc>
          <w:tcPr>
            <w:tcW w:w="3086" w:type="dxa"/>
            <w:tcBorders>
              <w:top w:val="single" w:color="CCCCCC" w:sz="0" w:space="0"/>
              <w:left w:val="single" w:color="CCCCCC" w:sz="0" w:space="0"/>
              <w:bottom w:val="single" w:color="CCCCCC" w:sz="0" w:space="0"/>
              <w:right w:val="single" w:color="CCCCCC" w:sz="0" w:space="0"/>
            </w:tcBorders>
            <w:shd w:val="clear" w:color="auto" w:fill="169B86"/>
            <w:tcMar>
              <w:top w:w="100" w:type="dxa"/>
              <w:left w:w="140" w:type="dxa"/>
              <w:bottom w:w="100" w:type="dxa"/>
              <w:right w:w="140" w:type="dxa"/>
            </w:tcMar>
            <w:vAlign w:val="center"/>
          </w:tcPr>
          <w:p w14:paraId="71947E71">
            <w:pPr>
              <w:spacing w:before="60" w:after="60"/>
              <w:jc w:val="center"/>
            </w:pPr>
            <w:r>
              <w:rPr>
                <w:rFonts w:ascii="Arial" w:hAnsi="Arial" w:eastAsia="Arial" w:cs="Arial"/>
                <w:b/>
                <w:bCs/>
                <w:color w:val="FFFFFF"/>
                <w:sz w:val="20"/>
                <w:szCs w:val="20"/>
              </w:rPr>
              <w:t>Exemples de valeurs</w:t>
            </w:r>
          </w:p>
        </w:tc>
      </w:tr>
      <w:tr w14:paraId="50D16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10B5617A">
            <w:pPr>
              <w:spacing w:before="60" w:after="60"/>
              <w:jc w:val="left"/>
            </w:pPr>
            <w:r>
              <w:rPr>
                <w:rFonts w:ascii="Arial" w:hAnsi="Arial" w:eastAsia="Arial" w:cs="Arial"/>
                <w:b/>
                <w:bCs/>
                <w:color w:val="000000"/>
                <w:sz w:val="20"/>
                <w:szCs w:val="20"/>
              </w:rPr>
              <w:t>Fiscalité &amp; Taux</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7716BE35">
            <w:pPr>
              <w:spacing w:before="60" w:after="60"/>
              <w:jc w:val="left"/>
            </w:pPr>
            <w:r>
              <w:rPr>
                <w:rFonts w:ascii="Arial" w:hAnsi="Arial" w:eastAsia="Arial" w:cs="Arial"/>
                <w:b w:val="0"/>
                <w:bCs w:val="0"/>
                <w:color w:val="000000"/>
                <w:sz w:val="20"/>
                <w:szCs w:val="20"/>
              </w:rPr>
              <w:t>Taux d'impôt sur les sociétés, impôt minimum forfaitaire, TVA, TAF</w:t>
            </w:r>
          </w:p>
        </w:tc>
        <w:tc>
          <w:tcPr>
            <w:tcW w:w="30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6AE5B451">
            <w:pPr>
              <w:spacing w:before="60" w:after="60"/>
              <w:jc w:val="left"/>
            </w:pPr>
            <w:r>
              <w:rPr>
                <w:rFonts w:ascii="Arial" w:hAnsi="Arial" w:eastAsia="Arial" w:cs="Arial"/>
                <w:b w:val="0"/>
                <w:bCs w:val="0"/>
                <w:color w:val="000000"/>
                <w:sz w:val="20"/>
                <w:szCs w:val="20"/>
              </w:rPr>
              <w:t>IS : 27%, TVA : 18%</w:t>
            </w:r>
          </w:p>
        </w:tc>
      </w:tr>
      <w:tr w14:paraId="43FE2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5C5D7A2B">
            <w:pPr>
              <w:spacing w:before="60" w:after="60"/>
              <w:jc w:val="left"/>
            </w:pPr>
            <w:r>
              <w:rPr>
                <w:rFonts w:ascii="Arial" w:hAnsi="Arial" w:eastAsia="Arial" w:cs="Arial"/>
                <w:b/>
                <w:bCs/>
                <w:color w:val="000000"/>
                <w:sz w:val="20"/>
                <w:szCs w:val="20"/>
              </w:rPr>
              <w:t>Marges &amp; Revenus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7C73286F">
            <w:pPr>
              <w:spacing w:before="60" w:after="60"/>
              <w:jc w:val="left"/>
            </w:pPr>
            <w:r>
              <w:rPr>
                <w:rFonts w:ascii="Arial" w:hAnsi="Arial" w:eastAsia="Arial" w:cs="Arial"/>
                <w:b w:val="0"/>
                <w:bCs w:val="0"/>
                <w:color w:val="000000"/>
                <w:sz w:val="20"/>
                <w:szCs w:val="20"/>
              </w:rPr>
              <w:t>Marge bénéficiaire, frais de coordination, marketing, R&amp;D (en % du CA)</w:t>
            </w:r>
          </w:p>
        </w:tc>
        <w:tc>
          <w:tcPr>
            <w:tcW w:w="30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3F7AB0D8">
            <w:pPr>
              <w:spacing w:before="60" w:after="60"/>
              <w:jc w:val="left"/>
            </w:pPr>
            <w:r>
              <w:rPr>
                <w:rFonts w:ascii="Arial" w:hAnsi="Arial" w:eastAsia="Arial" w:cs="Arial"/>
                <w:b w:val="0"/>
                <w:bCs w:val="0"/>
                <w:color w:val="000000"/>
                <w:sz w:val="20"/>
                <w:szCs w:val="20"/>
              </w:rPr>
              <w:t>Marge : 20,4%, Marketing : 2%</w:t>
            </w:r>
          </w:p>
        </w:tc>
      </w:tr>
      <w:tr w14:paraId="596B9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24C9CE90">
            <w:pPr>
              <w:spacing w:before="60" w:after="60"/>
              <w:jc w:val="left"/>
            </w:pPr>
            <w:r>
              <w:rPr>
                <w:rFonts w:ascii="Arial" w:hAnsi="Arial" w:eastAsia="Arial" w:cs="Arial"/>
                <w:b/>
                <w:bCs/>
                <w:color w:val="000000"/>
                <w:sz w:val="20"/>
                <w:szCs w:val="20"/>
              </w:rPr>
              <w:t>Volumes &amp; Croissance</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7680ECEF">
            <w:pPr>
              <w:spacing w:before="60" w:after="60"/>
              <w:jc w:val="left"/>
            </w:pPr>
            <w:r>
              <w:rPr>
                <w:rFonts w:ascii="Arial" w:hAnsi="Arial" w:eastAsia="Arial" w:cs="Arial"/>
                <w:b w:val="0"/>
                <w:bCs w:val="0"/>
                <w:color w:val="000000"/>
                <w:sz w:val="20"/>
                <w:szCs w:val="20"/>
              </w:rPr>
              <w:t>Volume initial, taux de croissance annuel par produit, durée de projection</w:t>
            </w:r>
          </w:p>
        </w:tc>
        <w:tc>
          <w:tcPr>
            <w:tcW w:w="30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70736555">
            <w:pPr>
              <w:spacing w:before="60" w:after="60"/>
              <w:jc w:val="left"/>
            </w:pPr>
            <w:r>
              <w:rPr>
                <w:rFonts w:ascii="Arial" w:hAnsi="Arial" w:eastAsia="Arial" w:cs="Arial"/>
                <w:b w:val="0"/>
                <w:bCs w:val="0"/>
                <w:color w:val="000000"/>
                <w:sz w:val="20"/>
                <w:szCs w:val="20"/>
              </w:rPr>
              <w:t>100 unités, +25%/an sur 5 ans</w:t>
            </w:r>
          </w:p>
        </w:tc>
      </w:tr>
      <w:tr w14:paraId="0F53A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47A163D0">
            <w:pPr>
              <w:spacing w:before="60" w:after="60"/>
              <w:jc w:val="left"/>
            </w:pPr>
            <w:r>
              <w:rPr>
                <w:rFonts w:ascii="Arial" w:hAnsi="Arial" w:eastAsia="Arial" w:cs="Arial"/>
                <w:b/>
                <w:bCs/>
                <w:color w:val="000000"/>
                <w:sz w:val="20"/>
                <w:szCs w:val="20"/>
              </w:rPr>
              <w:t>Financement</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211C6DAA">
            <w:pPr>
              <w:spacing w:before="60" w:after="60"/>
              <w:jc w:val="left"/>
            </w:pPr>
            <w:r>
              <w:rPr>
                <w:rFonts w:ascii="Arial" w:hAnsi="Arial" w:eastAsia="Arial" w:cs="Arial"/>
                <w:b w:val="0"/>
                <w:bCs w:val="0"/>
                <w:color w:val="000000"/>
                <w:sz w:val="20"/>
                <w:szCs w:val="20"/>
              </w:rPr>
              <w:t>Part fonds propres, part emprunt, durée de remboursement, taux d'intérêt, WACC</w:t>
            </w:r>
          </w:p>
        </w:tc>
        <w:tc>
          <w:tcPr>
            <w:tcW w:w="30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1A1D5EA5">
            <w:pPr>
              <w:spacing w:before="60" w:after="60"/>
              <w:jc w:val="left"/>
            </w:pPr>
            <w:r>
              <w:rPr>
                <w:rFonts w:ascii="Arial" w:hAnsi="Arial" w:eastAsia="Arial" w:cs="Arial"/>
                <w:b w:val="0"/>
                <w:bCs w:val="0"/>
                <w:color w:val="000000"/>
                <w:sz w:val="20"/>
                <w:szCs w:val="20"/>
              </w:rPr>
              <w:t>20%/80%, 5 ans, 10%</w:t>
            </w:r>
          </w:p>
        </w:tc>
      </w:tr>
      <w:tr w14:paraId="5770E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1BFB94C2">
            <w:pPr>
              <w:spacing w:before="60" w:after="60"/>
              <w:jc w:val="left"/>
            </w:pPr>
            <w:r>
              <w:rPr>
                <w:rFonts w:ascii="Arial" w:hAnsi="Arial" w:eastAsia="Arial" w:cs="Arial"/>
                <w:b/>
                <w:bCs/>
                <w:color w:val="000000"/>
                <w:sz w:val="20"/>
                <w:szCs w:val="20"/>
              </w:rPr>
              <w:t>Hypothèses client</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518FA5D2">
            <w:pPr>
              <w:spacing w:before="60" w:after="60"/>
              <w:jc w:val="left"/>
            </w:pPr>
            <w:r>
              <w:rPr>
                <w:rFonts w:ascii="Arial" w:hAnsi="Arial" w:eastAsia="Arial" w:cs="Arial"/>
                <w:b w:val="0"/>
                <w:bCs w:val="0"/>
                <w:color w:val="000000"/>
                <w:sz w:val="20"/>
                <w:szCs w:val="20"/>
              </w:rPr>
              <w:t>Frais de dossier, assurance sur prêt, droits d'enregistrement, taux intérêt client</w:t>
            </w:r>
          </w:p>
        </w:tc>
        <w:tc>
          <w:tcPr>
            <w:tcW w:w="30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5802432D">
            <w:pPr>
              <w:spacing w:before="60" w:after="60"/>
              <w:jc w:val="left"/>
            </w:pPr>
            <w:r>
              <w:rPr>
                <w:rFonts w:ascii="Arial" w:hAnsi="Arial" w:eastAsia="Arial" w:cs="Arial"/>
                <w:b w:val="0"/>
                <w:bCs w:val="0"/>
                <w:color w:val="000000"/>
                <w:sz w:val="20"/>
                <w:szCs w:val="20"/>
              </w:rPr>
              <w:t>Frais dossier : 1%</w:t>
            </w:r>
          </w:p>
        </w:tc>
      </w:tr>
    </w:tbl>
    <w:p w14:paraId="34DE169F">
      <w:pPr>
        <w:pStyle w:val="4"/>
        <w:spacing w:before="200" w:after="120"/>
      </w:pPr>
      <w:r>
        <w:rPr>
          <w:rFonts w:ascii="Arial" w:hAnsi="Arial" w:eastAsia="Arial" w:cs="Arial"/>
          <w:b/>
          <w:bCs/>
          <w:color w:val="F0A02B"/>
          <w:sz w:val="24"/>
          <w:szCs w:val="24"/>
        </w:rPr>
        <w:t>Fonctionnalités</w:t>
      </w:r>
    </w:p>
    <w:p w14:paraId="6CD13C1F">
      <w:pPr>
        <w:pStyle w:val="16"/>
        <w:numPr>
          <w:ilvl w:val="0"/>
          <w:numId w:val="1"/>
        </w:numPr>
        <w:spacing w:before="60" w:after="60"/>
      </w:pPr>
      <w:r>
        <w:rPr>
          <w:rFonts w:ascii="Arial" w:hAnsi="Arial" w:eastAsia="Arial" w:cs="Arial"/>
          <w:sz w:val="22"/>
          <w:szCs w:val="22"/>
        </w:rPr>
        <w:t>Aide contextuelle pour chaque paramètre (description, impact sur le modèle)</w:t>
      </w:r>
    </w:p>
    <w:p w14:paraId="7F6E3D83">
      <w:pPr>
        <w:pStyle w:val="16"/>
        <w:numPr>
          <w:ilvl w:val="0"/>
          <w:numId w:val="1"/>
        </w:numPr>
        <w:spacing w:before="60" w:after="60"/>
      </w:pPr>
      <w:r>
        <w:rPr>
          <w:rFonts w:ascii="Arial" w:hAnsi="Arial" w:eastAsia="Arial" w:cs="Arial"/>
          <w:sz w:val="22"/>
          <w:szCs w:val="22"/>
        </w:rPr>
        <w:t>Validation en temps réel : alerte si fonds propres + emprunt ≠ 100%</w:t>
      </w:r>
    </w:p>
    <w:p w14:paraId="4610373B">
      <w:pPr>
        <w:pStyle w:val="16"/>
        <w:numPr>
          <w:ilvl w:val="0"/>
          <w:numId w:val="1"/>
        </w:numPr>
        <w:spacing w:before="60" w:after="60"/>
      </w:pPr>
      <w:r>
        <w:rPr>
          <w:rFonts w:ascii="Arial" w:hAnsi="Arial" w:eastAsia="Arial" w:cs="Arial"/>
          <w:sz w:val="22"/>
          <w:szCs w:val="22"/>
        </w:rPr>
        <w:t>Recalcul instantané de tous les résultats à chaque modification</w:t>
      </w:r>
    </w:p>
    <w:p w14:paraId="73914B6B">
      <w:pPr>
        <w:pStyle w:val="16"/>
        <w:numPr>
          <w:ilvl w:val="0"/>
          <w:numId w:val="1"/>
        </w:numPr>
        <w:spacing w:before="60" w:after="60"/>
      </w:pPr>
      <w:r>
        <w:rPr>
          <w:rFonts w:ascii="Arial" w:hAnsi="Arial" w:eastAsia="Arial" w:cs="Arial"/>
          <w:sz w:val="22"/>
          <w:szCs w:val="22"/>
        </w:rPr>
        <w:t>Valeurs par défaut pré-remplies basées sur les standards du secteur (modifiables)</w:t>
      </w:r>
    </w:p>
    <w:p w14:paraId="124F3563">
      <w:pPr>
        <w:spacing w:before="60" w:after="60"/>
      </w:pPr>
    </w:p>
    <w:p w14:paraId="23A47994">
      <w:pPr>
        <w:pStyle w:val="3"/>
        <w:spacing w:before="280" w:after="160"/>
      </w:pPr>
      <w:r>
        <w:rPr>
          <w:rFonts w:ascii="Arial" w:hAnsi="Arial" w:eastAsia="Arial" w:cs="Arial"/>
          <w:b/>
          <w:bCs/>
          <w:color w:val="169B86"/>
          <w:sz w:val="26"/>
          <w:szCs w:val="26"/>
        </w:rPr>
        <w:t>Bloc 4 — Coûts &amp; Composants</w:t>
      </w:r>
    </w:p>
    <w:p w14:paraId="00ACA28C">
      <w:pPr>
        <w:spacing w:before="80" w:after="100"/>
      </w:pPr>
      <w:r>
        <w:rPr>
          <w:rFonts w:ascii="Arial" w:hAnsi="Arial" w:eastAsia="Arial" w:cs="Arial"/>
          <w:sz w:val="22"/>
          <w:szCs w:val="22"/>
        </w:rPr>
        <w:t>Ce bloc couvre l'ensemble des coûts du projet, structurés en deux catégories : les investissements initiaux (CAPEX) et les coûts d'exploitation annuels (OPEX). L'utilisateur définit librement ses postes de coûts — la plateforme ne les impose pas.</w:t>
      </w:r>
    </w:p>
    <w:p w14:paraId="0BDFC02A">
      <w:pPr>
        <w:pStyle w:val="4"/>
        <w:spacing w:before="200" w:after="120"/>
      </w:pPr>
      <w:r>
        <w:rPr>
          <w:rFonts w:ascii="Arial" w:hAnsi="Arial" w:eastAsia="Arial" w:cs="Arial"/>
          <w:b/>
          <w:bCs/>
          <w:color w:val="F0A02B"/>
          <w:sz w:val="24"/>
          <w:szCs w:val="24"/>
        </w:rPr>
        <w:t>CAPEX — Investissements initiaux</w:t>
      </w:r>
    </w:p>
    <w:p w14:paraId="12D8D6DC">
      <w:pPr>
        <w:pStyle w:val="16"/>
        <w:numPr>
          <w:ilvl w:val="0"/>
          <w:numId w:val="1"/>
        </w:numPr>
        <w:spacing w:before="60" w:after="60"/>
      </w:pPr>
      <w:r>
        <w:rPr>
          <w:rFonts w:ascii="Arial" w:hAnsi="Arial" w:eastAsia="Arial" w:cs="Arial"/>
          <w:sz w:val="22"/>
          <w:szCs w:val="22"/>
        </w:rPr>
        <w:t>L'utilisateur crée ses propres postes d'investissement avec libellé, montant et taux d'amortissement</w:t>
      </w:r>
    </w:p>
    <w:p w14:paraId="517F8475">
      <w:pPr>
        <w:pStyle w:val="16"/>
        <w:numPr>
          <w:ilvl w:val="0"/>
          <w:numId w:val="1"/>
        </w:numPr>
        <w:spacing w:before="60" w:after="60"/>
      </w:pPr>
      <w:r>
        <w:rPr>
          <w:rFonts w:ascii="Arial" w:hAnsi="Arial" w:eastAsia="Arial" w:cs="Arial"/>
          <w:sz w:val="22"/>
          <w:szCs w:val="22"/>
        </w:rPr>
        <w:t>La plateforme génère automatiquement les tableaux d'amortissement sur la durée du projet</w:t>
      </w:r>
    </w:p>
    <w:p w14:paraId="349E9F5E">
      <w:pPr>
        <w:pStyle w:val="16"/>
        <w:numPr>
          <w:ilvl w:val="0"/>
          <w:numId w:val="1"/>
        </w:numPr>
        <w:spacing w:before="60" w:after="60"/>
      </w:pPr>
      <w:r>
        <w:rPr>
          <w:rFonts w:ascii="Arial" w:hAnsi="Arial" w:eastAsia="Arial" w:cs="Arial"/>
          <w:sz w:val="22"/>
          <w:szCs w:val="22"/>
        </w:rPr>
        <w:t>Calcul automatique de la Valeur Comptable Nette (VCN) par année</w:t>
      </w:r>
    </w:p>
    <w:p w14:paraId="76632E53">
      <w:pPr>
        <w:pStyle w:val="16"/>
        <w:numPr>
          <w:ilvl w:val="0"/>
          <w:numId w:val="1"/>
        </w:numPr>
        <w:spacing w:before="60" w:after="60"/>
      </w:pPr>
      <w:r>
        <w:rPr>
          <w:rFonts w:ascii="Arial" w:hAnsi="Arial" w:eastAsia="Arial" w:cs="Arial"/>
          <w:sz w:val="22"/>
          <w:szCs w:val="22"/>
        </w:rPr>
        <w:t>Regroupement possible par catégorie (équipements, bâtiments, formation…)</w:t>
      </w:r>
    </w:p>
    <w:p w14:paraId="349F1689">
      <w:pPr>
        <w:pStyle w:val="4"/>
        <w:spacing w:before="200" w:after="120"/>
      </w:pPr>
      <w:r>
        <w:rPr>
          <w:rFonts w:ascii="Arial" w:hAnsi="Arial" w:eastAsia="Arial" w:cs="Arial"/>
          <w:b/>
          <w:bCs/>
          <w:color w:val="F0A02B"/>
          <w:sz w:val="24"/>
          <w:szCs w:val="24"/>
        </w:rPr>
        <w:t>OPEX — Coûts d'exploitation</w:t>
      </w:r>
    </w:p>
    <w:p w14:paraId="5545F42D">
      <w:pPr>
        <w:pStyle w:val="16"/>
        <w:numPr>
          <w:ilvl w:val="0"/>
          <w:numId w:val="1"/>
        </w:numPr>
        <w:spacing w:before="60" w:after="60"/>
      </w:pPr>
      <w:r>
        <w:rPr>
          <w:rFonts w:ascii="Arial" w:hAnsi="Arial" w:eastAsia="Arial" w:cs="Arial"/>
          <w:sz w:val="22"/>
          <w:szCs w:val="22"/>
        </w:rPr>
        <w:t>charges récurrentes : personnel, marketing, R&amp;D, coordination, maintenance</w:t>
      </w:r>
    </w:p>
    <w:p w14:paraId="391A5EA4">
      <w:pPr>
        <w:pStyle w:val="16"/>
        <w:numPr>
          <w:ilvl w:val="0"/>
          <w:numId w:val="1"/>
        </w:numPr>
        <w:spacing w:before="60" w:after="60"/>
      </w:pPr>
      <w:r>
        <w:rPr>
          <w:rFonts w:ascii="Arial" w:hAnsi="Arial" w:eastAsia="Arial" w:cs="Arial"/>
          <w:sz w:val="22"/>
          <w:szCs w:val="22"/>
        </w:rPr>
        <w:t>Deux modes de saisie : montant fixe annuel OU pourcentage du chiffre d'affaires</w:t>
      </w:r>
    </w:p>
    <w:p w14:paraId="21CE6725">
      <w:pPr>
        <w:pStyle w:val="16"/>
        <w:numPr>
          <w:ilvl w:val="0"/>
          <w:numId w:val="1"/>
        </w:numPr>
        <w:spacing w:before="60" w:after="60"/>
      </w:pPr>
      <w:r>
        <w:rPr>
          <w:rFonts w:ascii="Arial" w:hAnsi="Arial" w:eastAsia="Arial" w:cs="Arial"/>
          <w:sz w:val="22"/>
          <w:szCs w:val="22"/>
        </w:rPr>
        <w:t>Ajout libre de lignes de coûts supplémentaires selon les besoins du projet</w:t>
      </w:r>
    </w:p>
    <w:p w14:paraId="418F3725">
      <w:pPr>
        <w:pStyle w:val="16"/>
        <w:numPr>
          <w:ilvl w:val="0"/>
          <w:numId w:val="1"/>
        </w:numPr>
        <w:spacing w:before="60" w:after="60"/>
      </w:pPr>
      <w:r>
        <w:rPr>
          <w:rFonts w:ascii="Arial" w:hAnsi="Arial" w:eastAsia="Arial" w:cs="Arial"/>
          <w:sz w:val="22"/>
          <w:szCs w:val="22"/>
        </w:rPr>
        <w:t>Calcul automatique du coût total par année sur la durée du projet</w:t>
      </w:r>
    </w:p>
    <w:p w14:paraId="4144427D">
      <w:pPr>
        <w:spacing w:before="60" w:after="60"/>
      </w:pPr>
    </w:p>
    <w:p w14:paraId="3E4C6BFA">
      <w:pPr>
        <w:pStyle w:val="3"/>
        <w:spacing w:before="280" w:after="160"/>
      </w:pPr>
      <w:r>
        <w:rPr>
          <w:rFonts w:ascii="Arial" w:hAnsi="Arial" w:eastAsia="Arial" w:cs="Arial"/>
          <w:b/>
          <w:bCs/>
          <w:color w:val="169B86"/>
          <w:sz w:val="26"/>
          <w:szCs w:val="26"/>
        </w:rPr>
        <w:t>Bloc 5 — Revenus</w:t>
      </w:r>
    </w:p>
    <w:p w14:paraId="1F7B33FF">
      <w:pPr>
        <w:spacing w:before="80" w:after="100"/>
      </w:pPr>
      <w:r>
        <w:rPr>
          <w:rFonts w:ascii="Arial" w:hAnsi="Arial" w:eastAsia="Arial" w:cs="Arial"/>
          <w:sz w:val="22"/>
          <w:szCs w:val="22"/>
        </w:rPr>
        <w:t>Ce bloc permet de définir les prévisions de vente et de générer le chiffre d'affaires prévisionnel par année. Il s'appuie sur les produits définis dans le Bloc 2 et les volumes définis dans les Hypothèses (Bloc 3).</w:t>
      </w:r>
    </w:p>
    <w:p w14:paraId="63EEEEAB">
      <w:pPr>
        <w:pStyle w:val="4"/>
        <w:spacing w:before="200" w:after="120"/>
      </w:pPr>
      <w:r>
        <w:rPr>
          <w:rFonts w:ascii="Arial" w:hAnsi="Arial" w:eastAsia="Arial" w:cs="Arial"/>
          <w:b/>
          <w:bCs/>
          <w:color w:val="F0A02B"/>
          <w:sz w:val="24"/>
          <w:szCs w:val="24"/>
        </w:rPr>
        <w:t>Données gérées</w:t>
      </w:r>
    </w:p>
    <w:p w14:paraId="61198A05">
      <w:pPr>
        <w:pStyle w:val="16"/>
        <w:numPr>
          <w:ilvl w:val="0"/>
          <w:numId w:val="1"/>
        </w:numPr>
        <w:spacing w:before="60" w:after="60"/>
      </w:pPr>
      <w:r>
        <w:rPr>
          <w:rFonts w:ascii="Arial" w:hAnsi="Arial" w:eastAsia="Arial" w:cs="Arial"/>
          <w:sz w:val="22"/>
          <w:szCs w:val="22"/>
        </w:rPr>
        <w:t>Volume de ventes par produit et par année (calculé depuis les hypothèses de croissance)</w:t>
      </w:r>
    </w:p>
    <w:p w14:paraId="41CFDBE6">
      <w:pPr>
        <w:pStyle w:val="16"/>
        <w:numPr>
          <w:ilvl w:val="0"/>
          <w:numId w:val="1"/>
        </w:numPr>
        <w:spacing w:before="60" w:after="60"/>
      </w:pPr>
      <w:r>
        <w:rPr>
          <w:rFonts w:ascii="Arial" w:hAnsi="Arial" w:eastAsia="Arial" w:cs="Arial"/>
          <w:sz w:val="22"/>
          <w:szCs w:val="22"/>
        </w:rPr>
        <w:t>Prix de vente unitaire HT (calculé automatiquement depuis le Bloc 2)</w:t>
      </w:r>
    </w:p>
    <w:p w14:paraId="02BCC80E">
      <w:pPr>
        <w:pStyle w:val="16"/>
        <w:numPr>
          <w:ilvl w:val="0"/>
          <w:numId w:val="1"/>
        </w:numPr>
        <w:spacing w:before="60" w:after="60"/>
      </w:pPr>
      <w:r>
        <w:rPr>
          <w:rFonts w:ascii="Arial" w:hAnsi="Arial" w:eastAsia="Arial" w:cs="Arial"/>
          <w:sz w:val="22"/>
          <w:szCs w:val="22"/>
        </w:rPr>
        <w:t>Chiffre d'affaires HT par produit et par année</w:t>
      </w:r>
    </w:p>
    <w:p w14:paraId="41739799">
      <w:pPr>
        <w:pStyle w:val="16"/>
        <w:numPr>
          <w:ilvl w:val="0"/>
          <w:numId w:val="1"/>
        </w:numPr>
        <w:spacing w:before="60" w:after="60"/>
      </w:pPr>
      <w:r>
        <w:rPr>
          <w:rFonts w:ascii="Arial" w:hAnsi="Arial" w:eastAsia="Arial" w:cs="Arial"/>
          <w:sz w:val="22"/>
          <w:szCs w:val="22"/>
        </w:rPr>
        <w:t>Chiffre d'affaires total consolidé par année</w:t>
      </w:r>
    </w:p>
    <w:p w14:paraId="0E6A9CA4">
      <w:pPr>
        <w:pStyle w:val="16"/>
        <w:numPr>
          <w:ilvl w:val="0"/>
          <w:numId w:val="1"/>
        </w:numPr>
        <w:spacing w:before="60" w:after="60"/>
      </w:pPr>
      <w:r>
        <w:rPr>
          <w:rFonts w:ascii="Arial" w:hAnsi="Arial" w:eastAsia="Arial" w:cs="Arial"/>
          <w:sz w:val="22"/>
          <w:szCs w:val="22"/>
        </w:rPr>
        <w:t>Encaissement des ventes (taux d'encaissement configurable dans les Hypothèses)</w:t>
      </w:r>
    </w:p>
    <w:p w14:paraId="3140AB25">
      <w:pPr>
        <w:pStyle w:val="4"/>
        <w:spacing w:before="200" w:after="120"/>
      </w:pPr>
      <w:r>
        <w:rPr>
          <w:rFonts w:ascii="Arial" w:hAnsi="Arial" w:eastAsia="Arial" w:cs="Arial"/>
          <w:b/>
          <w:bCs/>
          <w:color w:val="F0A02B"/>
          <w:sz w:val="24"/>
          <w:szCs w:val="24"/>
        </w:rPr>
        <w:t>Affichage</w:t>
      </w:r>
    </w:p>
    <w:p w14:paraId="527297C8">
      <w:pPr>
        <w:pStyle w:val="16"/>
        <w:numPr>
          <w:ilvl w:val="0"/>
          <w:numId w:val="1"/>
        </w:numPr>
        <w:spacing w:before="60" w:after="60"/>
      </w:pPr>
      <w:r>
        <w:rPr>
          <w:rFonts w:ascii="Arial" w:hAnsi="Arial" w:eastAsia="Arial" w:cs="Arial"/>
          <w:sz w:val="22"/>
          <w:szCs w:val="22"/>
        </w:rPr>
        <w:t xml:space="preserve">Tableau récapitulatif sur toute la durée du projet </w:t>
      </w:r>
    </w:p>
    <w:p w14:paraId="41B28102">
      <w:pPr>
        <w:pStyle w:val="16"/>
        <w:numPr>
          <w:ilvl w:val="0"/>
          <w:numId w:val="1"/>
        </w:numPr>
        <w:spacing w:before="60" w:after="60"/>
      </w:pPr>
      <w:r>
        <w:rPr>
          <w:rFonts w:ascii="Arial" w:hAnsi="Arial" w:eastAsia="Arial" w:cs="Arial"/>
          <w:sz w:val="22"/>
          <w:szCs w:val="22"/>
        </w:rPr>
        <w:t>Visualisation graphique de l'évolution du CA par année</w:t>
      </w:r>
    </w:p>
    <w:p w14:paraId="69EA07F1">
      <w:pPr>
        <w:spacing w:before="60" w:after="60"/>
      </w:pPr>
    </w:p>
    <w:p w14:paraId="5608A3F2">
      <w:pPr>
        <w:pStyle w:val="3"/>
        <w:spacing w:before="280" w:after="160"/>
      </w:pPr>
      <w:r>
        <w:rPr>
          <w:rFonts w:ascii="Arial" w:hAnsi="Arial" w:eastAsia="Arial" w:cs="Arial"/>
          <w:b/>
          <w:bCs/>
          <w:color w:val="169B86"/>
          <w:sz w:val="26"/>
          <w:szCs w:val="26"/>
        </w:rPr>
        <w:t>Bloc 6 — Prévisions Financières</w:t>
      </w:r>
    </w:p>
    <w:p w14:paraId="7313D4DE">
      <w:pPr>
        <w:spacing w:before="80" w:after="100"/>
      </w:pPr>
      <w:r>
        <w:rPr>
          <w:rFonts w:ascii="Arial" w:hAnsi="Arial" w:eastAsia="Arial" w:cs="Arial"/>
          <w:sz w:val="22"/>
          <w:szCs w:val="22"/>
        </w:rPr>
        <w:t>Ce bloc est le moteur de calcul de la plateforme. Il agrège toutes les données des blocs précédents et génère automatiquement les états financiers prévisionnels complets. L'utilisateur ne saisit rien ici — tout est calculé.</w:t>
      </w:r>
    </w:p>
    <w:p w14:paraId="3A2C1133">
      <w:pPr>
        <w:pStyle w:val="4"/>
        <w:spacing w:before="200" w:after="120"/>
      </w:pPr>
      <w:r>
        <w:rPr>
          <w:rFonts w:ascii="Arial" w:hAnsi="Arial" w:eastAsia="Arial" w:cs="Arial"/>
          <w:b/>
          <w:bCs/>
          <w:color w:val="F0A02B"/>
          <w:sz w:val="24"/>
          <w:szCs w:val="24"/>
        </w:rPr>
        <w:t>États financiers générés</w:t>
      </w:r>
    </w:p>
    <w:tbl>
      <w:tblPr>
        <w:tblStyle w:val="15"/>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86"/>
      </w:tblGrid>
      <w:tr w14:paraId="400A6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69B86"/>
            <w:tcMar>
              <w:top w:w="100" w:type="dxa"/>
              <w:left w:w="140" w:type="dxa"/>
              <w:bottom w:w="100" w:type="dxa"/>
              <w:right w:w="140" w:type="dxa"/>
            </w:tcMar>
            <w:vAlign w:val="center"/>
          </w:tcPr>
          <w:p w14:paraId="37A1ABC5">
            <w:pPr>
              <w:spacing w:before="60" w:after="60"/>
              <w:jc w:val="center"/>
            </w:pPr>
            <w:r>
              <w:rPr>
                <w:rFonts w:ascii="Arial" w:hAnsi="Arial" w:eastAsia="Arial" w:cs="Arial"/>
                <w:b/>
                <w:bCs/>
                <w:color w:val="FFFFFF"/>
                <w:sz w:val="20"/>
                <w:szCs w:val="20"/>
              </w:rPr>
              <w:t>État financier</w:t>
            </w:r>
          </w:p>
        </w:tc>
        <w:tc>
          <w:tcPr>
            <w:tcW w:w="6886" w:type="dxa"/>
            <w:tcBorders>
              <w:top w:val="single" w:color="CCCCCC" w:sz="0" w:space="0"/>
              <w:left w:val="single" w:color="CCCCCC" w:sz="0" w:space="0"/>
              <w:bottom w:val="single" w:color="CCCCCC" w:sz="0" w:space="0"/>
              <w:right w:val="single" w:color="CCCCCC" w:sz="0" w:space="0"/>
            </w:tcBorders>
            <w:shd w:val="clear" w:color="auto" w:fill="169B86"/>
            <w:tcMar>
              <w:top w:w="100" w:type="dxa"/>
              <w:left w:w="140" w:type="dxa"/>
              <w:bottom w:w="100" w:type="dxa"/>
              <w:right w:w="140" w:type="dxa"/>
            </w:tcMar>
            <w:vAlign w:val="center"/>
          </w:tcPr>
          <w:p w14:paraId="74AC9917">
            <w:pPr>
              <w:spacing w:before="60" w:after="60"/>
              <w:jc w:val="center"/>
            </w:pPr>
            <w:r>
              <w:rPr>
                <w:rFonts w:ascii="Arial" w:hAnsi="Arial" w:eastAsia="Arial" w:cs="Arial"/>
                <w:b/>
                <w:bCs/>
                <w:color w:val="FFFFFF"/>
                <w:sz w:val="20"/>
                <w:szCs w:val="20"/>
              </w:rPr>
              <w:t>Contenu</w:t>
            </w:r>
          </w:p>
        </w:tc>
      </w:tr>
      <w:tr w14:paraId="298AC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0C615C37">
            <w:pPr>
              <w:spacing w:before="60" w:after="60"/>
              <w:jc w:val="left"/>
            </w:pPr>
            <w:r>
              <w:rPr>
                <w:rFonts w:ascii="Arial" w:hAnsi="Arial" w:eastAsia="Arial" w:cs="Arial"/>
                <w:b/>
                <w:bCs/>
                <w:color w:val="000000"/>
                <w:sz w:val="20"/>
                <w:szCs w:val="20"/>
              </w:rPr>
              <w:t>Compte de résultat</w:t>
            </w:r>
          </w:p>
        </w:tc>
        <w:tc>
          <w:tcPr>
            <w:tcW w:w="68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0FA65473">
            <w:pPr>
              <w:spacing w:before="60" w:after="60"/>
              <w:jc w:val="left"/>
            </w:pPr>
            <w:r>
              <w:rPr>
                <w:rFonts w:ascii="Arial" w:hAnsi="Arial" w:eastAsia="Arial" w:cs="Arial"/>
                <w:b w:val="0"/>
                <w:bCs w:val="0"/>
                <w:color w:val="000000"/>
                <w:sz w:val="20"/>
                <w:szCs w:val="20"/>
              </w:rPr>
              <w:t>Ventes → Coût de revient → Marge brute → Charges d'exploitation → EBITDA → EBIT → Frais financiers → EBT → Impôts → Résultat net</w:t>
            </w:r>
          </w:p>
        </w:tc>
      </w:tr>
      <w:tr w14:paraId="034B2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5EB04745">
            <w:pPr>
              <w:spacing w:before="60" w:after="60"/>
              <w:jc w:val="left"/>
            </w:pPr>
            <w:r>
              <w:rPr>
                <w:rFonts w:ascii="Arial" w:hAnsi="Arial" w:eastAsia="Arial" w:cs="Arial"/>
                <w:b/>
                <w:bCs/>
                <w:color w:val="000000"/>
                <w:sz w:val="20"/>
                <w:szCs w:val="20"/>
              </w:rPr>
              <w:t>Flux de trésorerie</w:t>
            </w:r>
          </w:p>
        </w:tc>
        <w:tc>
          <w:tcPr>
            <w:tcW w:w="68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72857E8F">
            <w:pPr>
              <w:spacing w:before="60" w:after="60"/>
              <w:jc w:val="left"/>
            </w:pPr>
            <w:r>
              <w:rPr>
                <w:rFonts w:ascii="Arial" w:hAnsi="Arial" w:eastAsia="Arial" w:cs="Arial"/>
                <w:b w:val="0"/>
                <w:bCs w:val="0"/>
                <w:color w:val="000000"/>
                <w:sz w:val="20"/>
                <w:szCs w:val="20"/>
              </w:rPr>
              <w:t>Flux opérations (CAF, BFR) + Flux investissements (CAPEX) + Flux financement (emprunts, remboursements) = Flux net annuel</w:t>
            </w:r>
          </w:p>
        </w:tc>
      </w:tr>
      <w:tr w14:paraId="18EF9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4A2484B0">
            <w:pPr>
              <w:spacing w:before="60" w:after="60"/>
              <w:jc w:val="left"/>
            </w:pPr>
            <w:r>
              <w:rPr>
                <w:rFonts w:ascii="Arial" w:hAnsi="Arial" w:eastAsia="Arial" w:cs="Arial"/>
                <w:b/>
                <w:bCs/>
                <w:color w:val="000000"/>
                <w:sz w:val="20"/>
                <w:szCs w:val="20"/>
              </w:rPr>
              <w:t>Bilan prévisionnel</w:t>
            </w:r>
          </w:p>
        </w:tc>
        <w:tc>
          <w:tcPr>
            <w:tcW w:w="68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79C35C81">
            <w:pPr>
              <w:spacing w:before="60" w:after="60"/>
              <w:jc w:val="left"/>
            </w:pPr>
            <w:r>
              <w:rPr>
                <w:rFonts w:ascii="Arial" w:hAnsi="Arial" w:eastAsia="Arial" w:cs="Arial"/>
                <w:b w:val="0"/>
                <w:bCs w:val="0"/>
                <w:color w:val="000000"/>
                <w:sz w:val="20"/>
                <w:szCs w:val="20"/>
              </w:rPr>
              <w:t>Actif (trésorerie, immobilisations, créances) / Passif (dettes, capitaux propres) — équilibre vérifié automatiquement</w:t>
            </w:r>
          </w:p>
        </w:tc>
      </w:tr>
      <w:tr w14:paraId="5A817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4F6FFB3F">
            <w:pPr>
              <w:spacing w:before="60" w:after="60"/>
              <w:jc w:val="left"/>
            </w:pPr>
            <w:r>
              <w:rPr>
                <w:rFonts w:ascii="Arial" w:hAnsi="Arial" w:eastAsia="Arial" w:cs="Arial"/>
                <w:b/>
                <w:bCs/>
                <w:color w:val="000000"/>
                <w:sz w:val="20"/>
                <w:szCs w:val="20"/>
              </w:rPr>
              <w:t>Plan de financement</w:t>
            </w:r>
          </w:p>
        </w:tc>
        <w:tc>
          <w:tcPr>
            <w:tcW w:w="68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09D8BDFE">
            <w:pPr>
              <w:spacing w:before="60" w:after="60"/>
              <w:jc w:val="left"/>
            </w:pPr>
            <w:r>
              <w:rPr>
                <w:rFonts w:ascii="Arial" w:hAnsi="Arial" w:eastAsia="Arial" w:cs="Arial"/>
                <w:b w:val="0"/>
                <w:bCs w:val="0"/>
                <w:color w:val="000000"/>
                <w:sz w:val="20"/>
                <w:szCs w:val="20"/>
              </w:rPr>
              <w:t>Emplois (CAPEX + charges) vs Ressources (fonds propres + emprunts) par année</w:t>
            </w:r>
          </w:p>
        </w:tc>
      </w:tr>
      <w:tr w14:paraId="2A671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34E583C9">
            <w:pPr>
              <w:spacing w:before="60" w:after="60"/>
              <w:jc w:val="left"/>
            </w:pPr>
            <w:r>
              <w:rPr>
                <w:rFonts w:ascii="Arial" w:hAnsi="Arial" w:eastAsia="Arial" w:cs="Arial"/>
                <w:b/>
                <w:bCs/>
                <w:color w:val="000000"/>
                <w:sz w:val="20"/>
                <w:szCs w:val="20"/>
              </w:rPr>
              <w:t>Tableau d'amortissement du prêt</w:t>
            </w:r>
          </w:p>
        </w:tc>
        <w:tc>
          <w:tcPr>
            <w:tcW w:w="68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72833D50">
            <w:pPr>
              <w:spacing w:before="60" w:after="60"/>
              <w:jc w:val="left"/>
            </w:pPr>
            <w:r>
              <w:rPr>
                <w:rFonts w:ascii="Arial" w:hAnsi="Arial" w:eastAsia="Arial" w:cs="Arial"/>
                <w:b w:val="0"/>
                <w:bCs w:val="0"/>
                <w:color w:val="000000"/>
                <w:sz w:val="20"/>
                <w:szCs w:val="20"/>
              </w:rPr>
              <w:t>Capital restant dû, intérêts annuels, remboursement annuel — sur la durée définie</w:t>
            </w:r>
          </w:p>
        </w:tc>
      </w:tr>
      <w:tr w14:paraId="54C6D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18C868A3">
            <w:pPr>
              <w:spacing w:before="60" w:after="60"/>
              <w:jc w:val="left"/>
            </w:pPr>
            <w:r>
              <w:rPr>
                <w:rFonts w:ascii="Arial" w:hAnsi="Arial" w:eastAsia="Arial" w:cs="Arial"/>
                <w:b/>
                <w:bCs/>
                <w:color w:val="000000"/>
                <w:sz w:val="20"/>
                <w:szCs w:val="20"/>
              </w:rPr>
              <w:t>Ratios de performance</w:t>
            </w:r>
          </w:p>
        </w:tc>
        <w:tc>
          <w:tcPr>
            <w:tcW w:w="68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73E9E854">
            <w:pPr>
              <w:spacing w:before="60" w:after="60"/>
              <w:jc w:val="left"/>
            </w:pPr>
            <w:r>
              <w:rPr>
                <w:rFonts w:ascii="Arial" w:hAnsi="Arial" w:eastAsia="Arial" w:cs="Arial"/>
                <w:b w:val="0"/>
                <w:bCs w:val="0"/>
                <w:color w:val="000000"/>
                <w:sz w:val="20"/>
                <w:szCs w:val="20"/>
              </w:rPr>
              <w:t>Marge brute, marge nette, RoA, RoE, Leverage — calculés par année</w:t>
            </w:r>
          </w:p>
        </w:tc>
      </w:tr>
    </w:tbl>
    <w:p w14:paraId="29903912">
      <w:pPr>
        <w:spacing w:before="60" w:after="60"/>
      </w:pPr>
    </w:p>
    <w:p w14:paraId="3B2D2A0B">
      <w:pPr>
        <w:pStyle w:val="3"/>
        <w:spacing w:before="280" w:after="160"/>
      </w:pPr>
      <w:r>
        <w:rPr>
          <w:rFonts w:ascii="Arial" w:hAnsi="Arial" w:eastAsia="Arial" w:cs="Arial"/>
          <w:b/>
          <w:bCs/>
          <w:color w:val="169B86"/>
          <w:sz w:val="26"/>
          <w:szCs w:val="26"/>
        </w:rPr>
        <w:t>Bloc 7 — KPIs &amp; Dashboard</w:t>
      </w:r>
    </w:p>
    <w:p w14:paraId="545DF4A7">
      <w:pPr>
        <w:spacing w:before="80" w:after="100"/>
      </w:pPr>
      <w:r>
        <w:rPr>
          <w:rFonts w:ascii="Arial" w:hAnsi="Arial" w:eastAsia="Arial" w:cs="Arial"/>
          <w:sz w:val="22"/>
          <w:szCs w:val="22"/>
        </w:rPr>
        <w:t>Ce bloc est la vitrine du Business Model. Il présente de façon visuelle et synthétique tous les résultats calculés dans le Bloc 6. C'est l'écran principal que l'utilisateur consulte pour évaluer la viabilité du projet.</w:t>
      </w:r>
    </w:p>
    <w:p w14:paraId="45B4142B">
      <w:pPr>
        <w:pStyle w:val="4"/>
        <w:spacing w:before="200" w:after="120"/>
      </w:pPr>
      <w:r>
        <w:rPr>
          <w:rFonts w:ascii="Arial" w:hAnsi="Arial" w:eastAsia="Arial" w:cs="Arial"/>
          <w:b/>
          <w:bCs/>
          <w:color w:val="F0A02B"/>
          <w:sz w:val="24"/>
          <w:szCs w:val="24"/>
        </w:rPr>
        <w:t>KPIs affichés</w:t>
      </w:r>
    </w:p>
    <w:tbl>
      <w:tblPr>
        <w:tblStyle w:val="15"/>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500"/>
        <w:gridCol w:w="3386"/>
      </w:tblGrid>
      <w:tr w14:paraId="02EBC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69B86"/>
            <w:tcMar>
              <w:top w:w="100" w:type="dxa"/>
              <w:left w:w="140" w:type="dxa"/>
              <w:bottom w:w="100" w:type="dxa"/>
              <w:right w:w="140" w:type="dxa"/>
            </w:tcMar>
            <w:vAlign w:val="center"/>
          </w:tcPr>
          <w:p w14:paraId="01DF875C">
            <w:pPr>
              <w:spacing w:before="60" w:after="60"/>
              <w:jc w:val="center"/>
            </w:pPr>
            <w:r>
              <w:rPr>
                <w:rFonts w:ascii="Arial" w:hAnsi="Arial" w:eastAsia="Arial" w:cs="Arial"/>
                <w:b/>
                <w:bCs/>
                <w:color w:val="FFFFFF"/>
                <w:sz w:val="20"/>
                <w:szCs w:val="20"/>
              </w:rPr>
              <w:t>Indicateur</w:t>
            </w:r>
          </w:p>
        </w:tc>
        <w:tc>
          <w:tcPr>
            <w:tcW w:w="3500" w:type="dxa"/>
            <w:tcBorders>
              <w:top w:val="single" w:color="CCCCCC" w:sz="0" w:space="0"/>
              <w:left w:val="single" w:color="CCCCCC" w:sz="0" w:space="0"/>
              <w:bottom w:val="single" w:color="CCCCCC" w:sz="0" w:space="0"/>
              <w:right w:val="single" w:color="CCCCCC" w:sz="0" w:space="0"/>
            </w:tcBorders>
            <w:shd w:val="clear" w:color="auto" w:fill="169B86"/>
            <w:tcMar>
              <w:top w:w="100" w:type="dxa"/>
              <w:left w:w="140" w:type="dxa"/>
              <w:bottom w:w="100" w:type="dxa"/>
              <w:right w:w="140" w:type="dxa"/>
            </w:tcMar>
            <w:vAlign w:val="center"/>
          </w:tcPr>
          <w:p w14:paraId="1DC5BE4A">
            <w:pPr>
              <w:spacing w:before="60" w:after="60"/>
              <w:jc w:val="center"/>
            </w:pPr>
            <w:r>
              <w:rPr>
                <w:rFonts w:ascii="Arial" w:hAnsi="Arial" w:eastAsia="Arial" w:cs="Arial"/>
                <w:b/>
                <w:bCs/>
                <w:color w:val="FFFFFF"/>
                <w:sz w:val="20"/>
                <w:szCs w:val="20"/>
              </w:rPr>
              <w:t>Formule / Source</w:t>
            </w:r>
          </w:p>
        </w:tc>
        <w:tc>
          <w:tcPr>
            <w:tcW w:w="3386" w:type="dxa"/>
            <w:tcBorders>
              <w:top w:val="single" w:color="CCCCCC" w:sz="0" w:space="0"/>
              <w:left w:val="single" w:color="CCCCCC" w:sz="0" w:space="0"/>
              <w:bottom w:val="single" w:color="CCCCCC" w:sz="0" w:space="0"/>
              <w:right w:val="single" w:color="CCCCCC" w:sz="0" w:space="0"/>
            </w:tcBorders>
            <w:shd w:val="clear" w:color="auto" w:fill="169B86"/>
            <w:tcMar>
              <w:top w:w="100" w:type="dxa"/>
              <w:left w:w="140" w:type="dxa"/>
              <w:bottom w:w="100" w:type="dxa"/>
              <w:right w:w="140" w:type="dxa"/>
            </w:tcMar>
            <w:vAlign w:val="center"/>
          </w:tcPr>
          <w:p w14:paraId="363BE740">
            <w:pPr>
              <w:spacing w:before="60" w:after="60"/>
              <w:jc w:val="center"/>
            </w:pPr>
            <w:r>
              <w:rPr>
                <w:rFonts w:ascii="Arial" w:hAnsi="Arial" w:eastAsia="Arial" w:cs="Arial"/>
                <w:b/>
                <w:bCs/>
                <w:color w:val="FFFFFF"/>
                <w:sz w:val="20"/>
                <w:szCs w:val="20"/>
              </w:rPr>
              <w:t>Interprétation</w:t>
            </w:r>
          </w:p>
        </w:tc>
      </w:tr>
      <w:tr w14:paraId="11B0D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469D4294">
            <w:pPr>
              <w:spacing w:before="60" w:after="60"/>
              <w:jc w:val="left"/>
            </w:pPr>
            <w:r>
              <w:rPr>
                <w:rFonts w:ascii="Arial" w:hAnsi="Arial" w:eastAsia="Arial" w:cs="Arial"/>
                <w:b/>
                <w:bCs/>
                <w:color w:val="000000"/>
                <w:sz w:val="20"/>
                <w:szCs w:val="20"/>
              </w:rPr>
              <w:t>TRI (Taux de Rentabilité Interne)</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601AE3A0">
            <w:pPr>
              <w:spacing w:before="60" w:after="60"/>
              <w:jc w:val="left"/>
            </w:pPr>
            <w:r>
              <w:rPr>
                <w:rFonts w:ascii="Arial" w:hAnsi="Arial" w:eastAsia="Arial" w:cs="Arial"/>
                <w:b w:val="0"/>
                <w:bCs w:val="0"/>
                <w:color w:val="000000"/>
                <w:sz w:val="20"/>
                <w:szCs w:val="20"/>
              </w:rPr>
              <w:t>Calculé depuis les flux de trésorerie actualisés</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0DA68187">
            <w:pPr>
              <w:spacing w:before="60" w:after="60"/>
              <w:jc w:val="left"/>
            </w:pPr>
            <w:r>
              <w:rPr>
                <w:rFonts w:ascii="Arial" w:hAnsi="Arial" w:eastAsia="Arial" w:cs="Arial"/>
                <w:b w:val="0"/>
                <w:bCs w:val="0"/>
                <w:color w:val="000000"/>
                <w:sz w:val="20"/>
                <w:szCs w:val="20"/>
              </w:rPr>
              <w:t>Plus le TRI est élevé, plus le projet est rentable</w:t>
            </w:r>
          </w:p>
        </w:tc>
      </w:tr>
      <w:tr w14:paraId="4CA5A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66A07B4F">
            <w:pPr>
              <w:spacing w:before="60" w:after="60"/>
              <w:jc w:val="left"/>
            </w:pPr>
            <w:r>
              <w:rPr>
                <w:rFonts w:ascii="Arial" w:hAnsi="Arial" w:eastAsia="Arial" w:cs="Arial"/>
                <w:b/>
                <w:bCs/>
                <w:color w:val="000000"/>
                <w:sz w:val="20"/>
                <w:szCs w:val="20"/>
              </w:rPr>
              <w:t>VAN (Valeur Actuelle Nette)</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578FF814">
            <w:pPr>
              <w:spacing w:before="60" w:after="60"/>
              <w:jc w:val="left"/>
            </w:pPr>
            <w:r>
              <w:rPr>
                <w:rFonts w:ascii="Arial" w:hAnsi="Arial" w:eastAsia="Arial" w:cs="Arial"/>
                <w:b w:val="0"/>
                <w:bCs w:val="0"/>
                <w:color w:val="000000"/>
                <w:sz w:val="20"/>
                <w:szCs w:val="20"/>
              </w:rPr>
              <w:t>Somme des flux actualisés au WACC</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322AC7D7">
            <w:pPr>
              <w:spacing w:before="60" w:after="60"/>
              <w:jc w:val="left"/>
            </w:pPr>
            <w:r>
              <w:rPr>
                <w:rFonts w:ascii="Arial" w:hAnsi="Arial" w:eastAsia="Arial" w:cs="Arial"/>
                <w:b w:val="0"/>
                <w:bCs w:val="0"/>
                <w:color w:val="000000"/>
                <w:sz w:val="20"/>
                <w:szCs w:val="20"/>
              </w:rPr>
              <w:t>VAN &gt; 0 = projet viable</w:t>
            </w:r>
          </w:p>
        </w:tc>
      </w:tr>
      <w:tr w14:paraId="0EE86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4119AECE">
            <w:pPr>
              <w:spacing w:before="60" w:after="60"/>
              <w:jc w:val="left"/>
            </w:pPr>
            <w:r>
              <w:rPr>
                <w:rFonts w:ascii="Arial" w:hAnsi="Arial" w:eastAsia="Arial" w:cs="Arial"/>
                <w:b/>
                <w:bCs/>
                <w:color w:val="000000"/>
                <w:sz w:val="20"/>
                <w:szCs w:val="20"/>
              </w:rPr>
              <w:t>Marge brute</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44D8E54B">
            <w:pPr>
              <w:spacing w:before="60" w:after="60"/>
              <w:jc w:val="left"/>
            </w:pPr>
            <w:r>
              <w:rPr>
                <w:rFonts w:ascii="Arial" w:hAnsi="Arial" w:eastAsia="Arial" w:cs="Arial"/>
                <w:b w:val="0"/>
                <w:bCs w:val="0"/>
                <w:color w:val="000000"/>
                <w:sz w:val="20"/>
                <w:szCs w:val="20"/>
              </w:rPr>
              <w:t>(CA - Coût de revient) / CA</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015B586C">
            <w:pPr>
              <w:spacing w:before="60" w:after="60"/>
              <w:jc w:val="left"/>
            </w:pPr>
            <w:r>
              <w:rPr>
                <w:rFonts w:ascii="Arial" w:hAnsi="Arial" w:eastAsia="Arial" w:cs="Arial"/>
                <w:b w:val="0"/>
                <w:bCs w:val="0"/>
                <w:color w:val="000000"/>
                <w:sz w:val="20"/>
                <w:szCs w:val="20"/>
              </w:rPr>
              <w:t>Capacité à couvrir les charges d'exploitation</w:t>
            </w:r>
          </w:p>
        </w:tc>
      </w:tr>
      <w:tr w14:paraId="7E2AE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7A56224E">
            <w:pPr>
              <w:spacing w:before="60" w:after="60"/>
              <w:jc w:val="left"/>
            </w:pPr>
            <w:r>
              <w:rPr>
                <w:rFonts w:ascii="Arial" w:hAnsi="Arial" w:eastAsia="Arial" w:cs="Arial"/>
                <w:b/>
                <w:bCs/>
                <w:color w:val="000000"/>
                <w:sz w:val="20"/>
                <w:szCs w:val="20"/>
              </w:rPr>
              <w:t>Marge nette</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700E97C2">
            <w:pPr>
              <w:spacing w:before="60" w:after="60"/>
              <w:jc w:val="left"/>
            </w:pPr>
            <w:r>
              <w:rPr>
                <w:rFonts w:ascii="Arial" w:hAnsi="Arial" w:eastAsia="Arial" w:cs="Arial"/>
                <w:b w:val="0"/>
                <w:bCs w:val="0"/>
                <w:color w:val="000000"/>
                <w:sz w:val="20"/>
                <w:szCs w:val="20"/>
              </w:rPr>
              <w:t>Résultat net / CA</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05CF2B09">
            <w:pPr>
              <w:spacing w:before="60" w:after="60"/>
              <w:jc w:val="left"/>
            </w:pPr>
            <w:r>
              <w:rPr>
                <w:rFonts w:ascii="Arial" w:hAnsi="Arial" w:eastAsia="Arial" w:cs="Arial"/>
                <w:b w:val="0"/>
                <w:bCs w:val="0"/>
                <w:color w:val="000000"/>
                <w:sz w:val="20"/>
                <w:szCs w:val="20"/>
              </w:rPr>
              <w:t>Rentabilité finale après tous les coûts</w:t>
            </w:r>
          </w:p>
        </w:tc>
      </w:tr>
      <w:tr w14:paraId="33D1F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726DD0E8">
            <w:pPr>
              <w:spacing w:before="60" w:after="60"/>
              <w:jc w:val="left"/>
            </w:pPr>
            <w:r>
              <w:rPr>
                <w:rFonts w:ascii="Arial" w:hAnsi="Arial" w:eastAsia="Arial" w:cs="Arial"/>
                <w:b/>
                <w:bCs/>
                <w:color w:val="000000"/>
                <w:sz w:val="20"/>
                <w:szCs w:val="20"/>
              </w:rPr>
              <w:t>Seuil de rentabilité</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08EF37C2">
            <w:pPr>
              <w:spacing w:before="60" w:after="60"/>
              <w:jc w:val="left"/>
            </w:pPr>
            <w:r>
              <w:rPr>
                <w:rFonts w:ascii="Arial" w:hAnsi="Arial" w:eastAsia="Arial" w:cs="Arial"/>
                <w:b w:val="0"/>
                <w:bCs w:val="0"/>
                <w:color w:val="000000"/>
                <w:sz w:val="20"/>
                <w:szCs w:val="20"/>
              </w:rPr>
              <w:t>Charges fixes / Taux de marge sur coûts variables</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66AEEF19">
            <w:pPr>
              <w:spacing w:before="60" w:after="60"/>
              <w:jc w:val="left"/>
            </w:pPr>
            <w:r>
              <w:rPr>
                <w:rFonts w:ascii="Arial" w:hAnsi="Arial" w:eastAsia="Arial" w:cs="Arial"/>
                <w:b w:val="0"/>
                <w:bCs w:val="0"/>
                <w:color w:val="000000"/>
                <w:sz w:val="20"/>
                <w:szCs w:val="20"/>
              </w:rPr>
              <w:t>Chiffre d'affaires minimum pour ne pas perdre d'argent</w:t>
            </w:r>
          </w:p>
        </w:tc>
      </w:tr>
      <w:tr w14:paraId="6E0F3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50FE0468">
            <w:pPr>
              <w:spacing w:before="60" w:after="60"/>
              <w:jc w:val="left"/>
            </w:pPr>
            <w:r>
              <w:rPr>
                <w:rFonts w:ascii="Arial" w:hAnsi="Arial" w:eastAsia="Arial" w:cs="Arial"/>
                <w:b/>
                <w:bCs/>
                <w:color w:val="000000"/>
                <w:sz w:val="20"/>
                <w:szCs w:val="20"/>
              </w:rPr>
              <w:t>CAC (Coût d'Acquisition Client)</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10FB8CB2">
            <w:pPr>
              <w:spacing w:before="60" w:after="60"/>
              <w:jc w:val="left"/>
            </w:pPr>
            <w:r>
              <w:rPr>
                <w:rFonts w:ascii="Arial" w:hAnsi="Arial" w:eastAsia="Arial" w:cs="Arial"/>
                <w:b w:val="0"/>
                <w:bCs w:val="0"/>
                <w:color w:val="000000"/>
                <w:sz w:val="20"/>
                <w:szCs w:val="20"/>
              </w:rPr>
              <w:t>Budget marketing / Nombre de clients</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700D1DDF">
            <w:pPr>
              <w:spacing w:before="60" w:after="60"/>
              <w:jc w:val="left"/>
            </w:pPr>
            <w:r>
              <w:rPr>
                <w:rFonts w:ascii="Arial" w:hAnsi="Arial" w:eastAsia="Arial" w:cs="Arial"/>
                <w:b w:val="0"/>
                <w:bCs w:val="0"/>
                <w:color w:val="000000"/>
                <w:sz w:val="20"/>
                <w:szCs w:val="20"/>
              </w:rPr>
              <w:t>Efficacité des dépenses commerciales</w:t>
            </w:r>
          </w:p>
        </w:tc>
      </w:tr>
      <w:tr w14:paraId="525D4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72D245AD">
            <w:pPr>
              <w:spacing w:before="60" w:after="60"/>
              <w:jc w:val="left"/>
            </w:pPr>
            <w:r>
              <w:rPr>
                <w:rFonts w:ascii="Arial" w:hAnsi="Arial" w:eastAsia="Arial" w:cs="Arial"/>
                <w:b/>
                <w:bCs/>
                <w:color w:val="000000"/>
                <w:sz w:val="20"/>
                <w:szCs w:val="20"/>
              </w:rPr>
              <w:t>Taux de croissance annuel</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0DE5DE09">
            <w:pPr>
              <w:spacing w:before="60" w:after="60"/>
              <w:jc w:val="left"/>
            </w:pPr>
            <w:r>
              <w:rPr>
                <w:rFonts w:ascii="Arial" w:hAnsi="Arial" w:eastAsia="Arial" w:cs="Arial"/>
                <w:b w:val="0"/>
                <w:bCs w:val="0"/>
                <w:color w:val="000000"/>
                <w:sz w:val="20"/>
                <w:szCs w:val="20"/>
              </w:rPr>
              <w:t>(CA année N - CA année N-1) / CA année N-1</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6313B0C1">
            <w:pPr>
              <w:spacing w:before="60" w:after="60"/>
              <w:jc w:val="left"/>
            </w:pPr>
            <w:r>
              <w:rPr>
                <w:rFonts w:ascii="Arial" w:hAnsi="Arial" w:eastAsia="Arial" w:cs="Arial"/>
                <w:b w:val="0"/>
                <w:bCs w:val="0"/>
                <w:color w:val="000000"/>
                <w:sz w:val="20"/>
                <w:szCs w:val="20"/>
              </w:rPr>
              <w:t>Rythme de développement du projet</w:t>
            </w:r>
          </w:p>
        </w:tc>
      </w:tr>
      <w:tr w14:paraId="4A379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29F9CEFA">
            <w:pPr>
              <w:spacing w:before="60" w:after="60"/>
              <w:jc w:val="left"/>
            </w:pPr>
            <w:r>
              <w:rPr>
                <w:rFonts w:ascii="Arial" w:hAnsi="Arial" w:eastAsia="Arial" w:cs="Arial"/>
                <w:b/>
                <w:bCs/>
                <w:color w:val="000000"/>
                <w:sz w:val="20"/>
                <w:szCs w:val="20"/>
              </w:rPr>
              <w:t>Délai de récupération (Payback)</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768A742B">
            <w:pPr>
              <w:spacing w:before="60" w:after="60"/>
              <w:jc w:val="left"/>
            </w:pPr>
            <w:r>
              <w:rPr>
                <w:rFonts w:ascii="Arial" w:hAnsi="Arial" w:eastAsia="Arial" w:cs="Arial"/>
                <w:b w:val="0"/>
                <w:bCs w:val="0"/>
                <w:color w:val="000000"/>
                <w:sz w:val="20"/>
                <w:szCs w:val="20"/>
              </w:rPr>
              <w:t>Nombre d'années pour récupérer l'investissement initial</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109A5319">
            <w:pPr>
              <w:spacing w:before="60" w:after="60"/>
              <w:jc w:val="left"/>
            </w:pPr>
            <w:r>
              <w:rPr>
                <w:rFonts w:ascii="Arial" w:hAnsi="Arial" w:eastAsia="Arial" w:cs="Arial"/>
                <w:b w:val="0"/>
                <w:bCs w:val="0"/>
                <w:color w:val="000000"/>
                <w:sz w:val="20"/>
                <w:szCs w:val="20"/>
              </w:rPr>
              <w:t>Plus court = moins risqué</w:t>
            </w:r>
          </w:p>
        </w:tc>
      </w:tr>
    </w:tbl>
    <w:p w14:paraId="606F63CD">
      <w:pPr>
        <w:pStyle w:val="4"/>
        <w:spacing w:before="200" w:after="120"/>
      </w:pPr>
      <w:r>
        <w:rPr>
          <w:rFonts w:ascii="Arial" w:hAnsi="Arial" w:eastAsia="Arial" w:cs="Arial"/>
          <w:b/>
          <w:bCs/>
          <w:color w:val="F0A02B"/>
          <w:sz w:val="24"/>
          <w:szCs w:val="24"/>
        </w:rPr>
        <w:t>Fonctionnalités du Dashboard</w:t>
      </w:r>
    </w:p>
    <w:p w14:paraId="3D328254">
      <w:pPr>
        <w:pStyle w:val="16"/>
        <w:numPr>
          <w:ilvl w:val="0"/>
          <w:numId w:val="1"/>
        </w:numPr>
        <w:spacing w:before="60" w:after="60"/>
      </w:pPr>
      <w:r>
        <w:rPr>
          <w:rFonts w:ascii="Arial" w:hAnsi="Arial" w:eastAsia="Arial" w:cs="Arial"/>
          <w:sz w:val="22"/>
          <w:szCs w:val="22"/>
        </w:rPr>
        <w:t>Cartes KPIs : affichage visuel de chaque indicateur avec code couleur (vert / orange / rouge)</w:t>
      </w:r>
    </w:p>
    <w:p w14:paraId="0310EC48">
      <w:pPr>
        <w:pStyle w:val="16"/>
        <w:numPr>
          <w:ilvl w:val="0"/>
          <w:numId w:val="1"/>
        </w:numPr>
        <w:spacing w:before="60" w:after="60"/>
      </w:pPr>
      <w:r>
        <w:rPr>
          <w:rFonts w:ascii="Arial" w:hAnsi="Arial" w:eastAsia="Arial" w:cs="Arial"/>
          <w:sz w:val="22"/>
          <w:szCs w:val="22"/>
        </w:rPr>
        <w:t>Graphes interactifs : évolution du CA, des marges, de la trésorerie et du résultat net sur la durée du projet</w:t>
      </w:r>
    </w:p>
    <w:p w14:paraId="09DCAE85">
      <w:pPr>
        <w:pStyle w:val="16"/>
        <w:numPr>
          <w:ilvl w:val="0"/>
          <w:numId w:val="1"/>
        </w:numPr>
        <w:spacing w:before="60" w:after="60"/>
      </w:pPr>
      <w:r>
        <w:rPr>
          <w:rFonts w:ascii="Arial" w:hAnsi="Arial" w:eastAsia="Arial" w:cs="Arial"/>
          <w:sz w:val="22"/>
          <w:szCs w:val="22"/>
        </w:rPr>
        <w:t>Résumé exécutif automatique : synthèse en une page prête à être présentée</w:t>
      </w:r>
    </w:p>
    <w:p w14:paraId="5F55EAE7">
      <w:pPr>
        <w:pStyle w:val="16"/>
        <w:numPr>
          <w:ilvl w:val="0"/>
          <w:numId w:val="1"/>
        </w:numPr>
        <w:spacing w:before="60" w:after="60"/>
      </w:pPr>
      <w:r>
        <w:rPr>
          <w:rFonts w:ascii="Arial" w:hAnsi="Arial" w:eastAsia="Arial" w:cs="Arial"/>
          <w:sz w:val="22"/>
          <w:szCs w:val="22"/>
        </w:rPr>
        <w:t>Export PDF : rapport complet du Business Model en un clic</w:t>
      </w:r>
    </w:p>
    <w:p w14:paraId="7100018D">
      <w:pPr>
        <w:pStyle w:val="16"/>
        <w:numPr>
          <w:ilvl w:val="0"/>
          <w:numId w:val="1"/>
        </w:numPr>
        <w:spacing w:before="60" w:after="60"/>
      </w:pPr>
      <w:r>
        <w:rPr>
          <w:rFonts w:ascii="Arial" w:hAnsi="Arial" w:eastAsia="Arial" w:cs="Arial"/>
          <w:sz w:val="22"/>
          <w:szCs w:val="22"/>
        </w:rPr>
        <w:t>Export Excel : données brutes pour analyse complémentaire</w:t>
      </w:r>
    </w:p>
    <w:p w14:paraId="1154116C">
      <w:r>
        <w:br w:type="page"/>
      </w:r>
    </w:p>
    <w:p w14:paraId="692EF5D4">
      <w:pPr>
        <w:pStyle w:val="2"/>
        <w:spacing w:before="400" w:after="200"/>
      </w:pPr>
      <w:r>
        <w:rPr>
          <w:rFonts w:ascii="Arial" w:hAnsi="Arial" w:eastAsia="Arial" w:cs="Arial"/>
          <w:b/>
          <w:bCs/>
          <w:color w:val="0D2B55"/>
          <w:sz w:val="32"/>
          <w:szCs w:val="32"/>
        </w:rPr>
        <w:t>4. Gestion des Projets</w:t>
      </w:r>
    </w:p>
    <w:p w14:paraId="018A7464">
      <w:pPr>
        <w:pBdr>
          <w:bottom w:val="single" w:color="F0A02B" w:sz="8" w:space="1"/>
        </w:pBdr>
        <w:spacing w:before="100" w:after="140"/>
      </w:pPr>
    </w:p>
    <w:p w14:paraId="654E2C15">
      <w:pPr>
        <w:pStyle w:val="3"/>
        <w:spacing w:before="280" w:after="160"/>
      </w:pPr>
      <w:r>
        <w:rPr>
          <w:rFonts w:ascii="Arial" w:hAnsi="Arial" w:eastAsia="Arial" w:cs="Arial"/>
          <w:b/>
          <w:bCs/>
          <w:color w:val="169B86"/>
          <w:sz w:val="26"/>
          <w:szCs w:val="26"/>
        </w:rPr>
        <w:t>4.1 Cycle de vie d'un projet</w:t>
      </w:r>
    </w:p>
    <w:p w14:paraId="56EB6894">
      <w:pPr>
        <w:spacing w:before="80" w:after="100"/>
      </w:pPr>
      <w:r>
        <w:rPr>
          <w:rFonts w:ascii="Arial" w:hAnsi="Arial" w:eastAsia="Arial" w:cs="Arial"/>
          <w:sz w:val="22"/>
          <w:szCs w:val="22"/>
        </w:rPr>
        <w:t>Un projet Business Model passe par les étapes suivantes dans la plateforme :</w:t>
      </w:r>
    </w:p>
    <w:tbl>
      <w:tblPr>
        <w:tblStyle w:val="15"/>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000"/>
        <w:gridCol w:w="6886"/>
      </w:tblGrid>
      <w:tr w14:paraId="69092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0D2B55"/>
            <w:tcMar>
              <w:top w:w="100" w:type="dxa"/>
              <w:left w:w="140" w:type="dxa"/>
              <w:bottom w:w="100" w:type="dxa"/>
              <w:right w:w="140" w:type="dxa"/>
            </w:tcMar>
            <w:vAlign w:val="center"/>
          </w:tcPr>
          <w:p w14:paraId="018D31A7">
            <w:pPr>
              <w:spacing w:before="60" w:after="60"/>
              <w:jc w:val="center"/>
            </w:pPr>
            <w:r>
              <w:rPr>
                <w:rFonts w:ascii="Arial" w:hAnsi="Arial" w:eastAsia="Arial" w:cs="Arial"/>
                <w:b/>
                <w:bCs/>
                <w:color w:val="FFFFFF"/>
                <w:sz w:val="20"/>
                <w:szCs w:val="20"/>
              </w:rPr>
              <w:t>#</w:t>
            </w:r>
          </w:p>
        </w:tc>
        <w:tc>
          <w:tcPr>
            <w:tcW w:w="2000" w:type="dxa"/>
            <w:tcBorders>
              <w:top w:val="single" w:color="CCCCCC" w:sz="0" w:space="0"/>
              <w:left w:val="single" w:color="CCCCCC" w:sz="0" w:space="0"/>
              <w:bottom w:val="single" w:color="CCCCCC" w:sz="0" w:space="0"/>
              <w:right w:val="single" w:color="CCCCCC" w:sz="0" w:space="0"/>
            </w:tcBorders>
            <w:shd w:val="clear" w:color="auto" w:fill="0D2B55"/>
            <w:tcMar>
              <w:top w:w="100" w:type="dxa"/>
              <w:left w:w="140" w:type="dxa"/>
              <w:bottom w:w="100" w:type="dxa"/>
              <w:right w:w="140" w:type="dxa"/>
            </w:tcMar>
            <w:vAlign w:val="center"/>
          </w:tcPr>
          <w:p w14:paraId="165908CD">
            <w:pPr>
              <w:spacing w:before="60" w:after="60"/>
              <w:jc w:val="center"/>
            </w:pPr>
            <w:r>
              <w:rPr>
                <w:rFonts w:ascii="Arial" w:hAnsi="Arial" w:eastAsia="Arial" w:cs="Arial"/>
                <w:b/>
                <w:bCs/>
                <w:color w:val="FFFFFF"/>
                <w:sz w:val="20"/>
                <w:szCs w:val="20"/>
              </w:rPr>
              <w:t>Étape</w:t>
            </w:r>
          </w:p>
        </w:tc>
        <w:tc>
          <w:tcPr>
            <w:tcW w:w="6886" w:type="dxa"/>
            <w:tcBorders>
              <w:top w:val="single" w:color="CCCCCC" w:sz="0" w:space="0"/>
              <w:left w:val="single" w:color="CCCCCC" w:sz="0" w:space="0"/>
              <w:bottom w:val="single" w:color="CCCCCC" w:sz="0" w:space="0"/>
              <w:right w:val="single" w:color="CCCCCC" w:sz="0" w:space="0"/>
            </w:tcBorders>
            <w:shd w:val="clear" w:color="auto" w:fill="0D2B55"/>
            <w:tcMar>
              <w:top w:w="100" w:type="dxa"/>
              <w:left w:w="140" w:type="dxa"/>
              <w:bottom w:w="100" w:type="dxa"/>
              <w:right w:w="140" w:type="dxa"/>
            </w:tcMar>
            <w:vAlign w:val="center"/>
          </w:tcPr>
          <w:p w14:paraId="51DCE8BC">
            <w:pPr>
              <w:spacing w:before="60" w:after="60"/>
              <w:jc w:val="center"/>
            </w:pPr>
            <w:r>
              <w:rPr>
                <w:rFonts w:ascii="Arial" w:hAnsi="Arial" w:eastAsia="Arial" w:cs="Arial"/>
                <w:b/>
                <w:bCs/>
                <w:color w:val="FFFFFF"/>
                <w:sz w:val="20"/>
                <w:szCs w:val="20"/>
              </w:rPr>
              <w:t>Description</w:t>
            </w:r>
          </w:p>
        </w:tc>
      </w:tr>
      <w:tr w14:paraId="2B58C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0A02B"/>
            <w:tcMar>
              <w:top w:w="100" w:type="dxa"/>
              <w:left w:w="140" w:type="dxa"/>
              <w:bottom w:w="100" w:type="dxa"/>
              <w:right w:w="140" w:type="dxa"/>
            </w:tcMar>
            <w:vAlign w:val="center"/>
          </w:tcPr>
          <w:p w14:paraId="407C5A3E">
            <w:pPr>
              <w:spacing w:before="60" w:after="60"/>
              <w:jc w:val="center"/>
            </w:pPr>
            <w:r>
              <w:rPr>
                <w:rFonts w:ascii="Arial" w:hAnsi="Arial" w:eastAsia="Arial" w:cs="Arial"/>
                <w:b/>
                <w:bCs/>
                <w:color w:val="FFFFFF"/>
                <w:sz w:val="20"/>
                <w:szCs w:val="20"/>
              </w:rPr>
              <w:t>1</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12D59EA6">
            <w:pPr>
              <w:spacing w:before="60" w:after="60"/>
              <w:jc w:val="left"/>
            </w:pPr>
            <w:r>
              <w:rPr>
                <w:rFonts w:ascii="Arial" w:hAnsi="Arial" w:eastAsia="Arial" w:cs="Arial"/>
                <w:b/>
                <w:bCs/>
                <w:color w:val="000000"/>
                <w:sz w:val="20"/>
                <w:szCs w:val="20"/>
              </w:rPr>
              <w:t>Création</w:t>
            </w:r>
          </w:p>
        </w:tc>
        <w:tc>
          <w:tcPr>
            <w:tcW w:w="68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1C6018B6">
            <w:pPr>
              <w:spacing w:before="60" w:after="60"/>
              <w:jc w:val="left"/>
            </w:pPr>
            <w:r>
              <w:rPr>
                <w:rFonts w:ascii="Arial" w:hAnsi="Arial" w:eastAsia="Arial" w:cs="Arial"/>
                <w:b w:val="0"/>
                <w:bCs w:val="0"/>
                <w:color w:val="000000"/>
                <w:sz w:val="20"/>
                <w:szCs w:val="20"/>
              </w:rPr>
              <w:t>L'utilisateur crée un nouveau projet en renseignant le Bloc 1 (Informations)</w:t>
            </w:r>
          </w:p>
        </w:tc>
      </w:tr>
      <w:tr w14:paraId="5C979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0A02B"/>
            <w:tcMar>
              <w:top w:w="100" w:type="dxa"/>
              <w:left w:w="140" w:type="dxa"/>
              <w:bottom w:w="100" w:type="dxa"/>
              <w:right w:w="140" w:type="dxa"/>
            </w:tcMar>
            <w:vAlign w:val="center"/>
          </w:tcPr>
          <w:p w14:paraId="6E20A73E">
            <w:pPr>
              <w:spacing w:before="60" w:after="60"/>
              <w:jc w:val="center"/>
            </w:pPr>
            <w:r>
              <w:rPr>
                <w:rFonts w:ascii="Arial" w:hAnsi="Arial" w:eastAsia="Arial" w:cs="Arial"/>
                <w:b/>
                <w:bCs/>
                <w:color w:val="FFFFFF"/>
                <w:sz w:val="20"/>
                <w:szCs w:val="20"/>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0F36D56A">
            <w:pPr>
              <w:spacing w:before="60" w:after="60"/>
              <w:jc w:val="left"/>
            </w:pPr>
            <w:r>
              <w:rPr>
                <w:rFonts w:ascii="Arial" w:hAnsi="Arial" w:eastAsia="Arial" w:cs="Arial"/>
                <w:b/>
                <w:bCs/>
                <w:color w:val="000000"/>
                <w:sz w:val="20"/>
                <w:szCs w:val="20"/>
              </w:rPr>
              <w:t>Saisie</w:t>
            </w:r>
          </w:p>
        </w:tc>
        <w:tc>
          <w:tcPr>
            <w:tcW w:w="68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3741B0C7">
            <w:pPr>
              <w:spacing w:before="60" w:after="60"/>
              <w:jc w:val="left"/>
            </w:pPr>
            <w:r>
              <w:rPr>
                <w:rFonts w:ascii="Arial" w:hAnsi="Arial" w:eastAsia="Arial" w:cs="Arial"/>
                <w:b w:val="0"/>
                <w:bCs w:val="0"/>
                <w:color w:val="000000"/>
                <w:sz w:val="20"/>
                <w:szCs w:val="20"/>
              </w:rPr>
              <w:t>L'utilisateur remplit les blocs 2 à 5 dans l'ordre ou dans celui qu'il souhaite</w:t>
            </w:r>
          </w:p>
        </w:tc>
      </w:tr>
      <w:tr w14:paraId="3E61F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0A02B"/>
            <w:tcMar>
              <w:top w:w="100" w:type="dxa"/>
              <w:left w:w="140" w:type="dxa"/>
              <w:bottom w:w="100" w:type="dxa"/>
              <w:right w:w="140" w:type="dxa"/>
            </w:tcMar>
            <w:vAlign w:val="center"/>
          </w:tcPr>
          <w:p w14:paraId="363BB155">
            <w:pPr>
              <w:spacing w:before="60" w:after="60"/>
              <w:jc w:val="center"/>
            </w:pPr>
            <w:r>
              <w:rPr>
                <w:rFonts w:ascii="Arial" w:hAnsi="Arial" w:eastAsia="Arial" w:cs="Arial"/>
                <w:b/>
                <w:bCs/>
                <w:color w:val="FFFFFF"/>
                <w:sz w:val="20"/>
                <w:szCs w:val="20"/>
              </w:rPr>
              <w:t>3</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4E8415B3">
            <w:pPr>
              <w:spacing w:before="60" w:after="60"/>
              <w:jc w:val="left"/>
            </w:pPr>
            <w:r>
              <w:rPr>
                <w:rFonts w:ascii="Arial" w:hAnsi="Arial" w:eastAsia="Arial" w:cs="Arial"/>
                <w:b/>
                <w:bCs/>
                <w:color w:val="000000"/>
                <w:sz w:val="20"/>
                <w:szCs w:val="20"/>
              </w:rPr>
              <w:t>Calcul</w:t>
            </w:r>
          </w:p>
        </w:tc>
        <w:tc>
          <w:tcPr>
            <w:tcW w:w="68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169B734F">
            <w:pPr>
              <w:spacing w:before="60" w:after="60"/>
              <w:jc w:val="left"/>
            </w:pPr>
            <w:r>
              <w:rPr>
                <w:rFonts w:ascii="Arial" w:hAnsi="Arial" w:eastAsia="Arial" w:cs="Arial"/>
                <w:b w:val="0"/>
                <w:bCs w:val="0"/>
                <w:color w:val="000000"/>
                <w:sz w:val="20"/>
                <w:szCs w:val="20"/>
              </w:rPr>
              <w:t>La plateforme génère automatiquement les Blocs 6 et 7 à chaque modification</w:t>
            </w:r>
          </w:p>
        </w:tc>
      </w:tr>
      <w:tr w14:paraId="531D0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0A02B"/>
            <w:tcMar>
              <w:top w:w="100" w:type="dxa"/>
              <w:left w:w="140" w:type="dxa"/>
              <w:bottom w:w="100" w:type="dxa"/>
              <w:right w:w="140" w:type="dxa"/>
            </w:tcMar>
            <w:vAlign w:val="center"/>
          </w:tcPr>
          <w:p w14:paraId="66E8560D">
            <w:pPr>
              <w:spacing w:before="60" w:after="60"/>
              <w:jc w:val="center"/>
            </w:pPr>
            <w:r>
              <w:rPr>
                <w:rFonts w:ascii="Arial" w:hAnsi="Arial" w:eastAsia="Arial" w:cs="Arial"/>
                <w:b/>
                <w:bCs/>
                <w:color w:val="FFFFFF"/>
                <w:sz w:val="20"/>
                <w:szCs w:val="20"/>
              </w:rPr>
              <w:t>4</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66F4012F">
            <w:pPr>
              <w:spacing w:before="60" w:after="60"/>
              <w:jc w:val="left"/>
            </w:pPr>
            <w:r>
              <w:rPr>
                <w:rFonts w:ascii="Arial" w:hAnsi="Arial" w:eastAsia="Arial" w:cs="Arial"/>
                <w:b/>
                <w:bCs/>
                <w:color w:val="000000"/>
                <w:sz w:val="20"/>
                <w:szCs w:val="20"/>
              </w:rPr>
              <w:t>Analyse</w:t>
            </w:r>
          </w:p>
        </w:tc>
        <w:tc>
          <w:tcPr>
            <w:tcW w:w="68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66B06A5C">
            <w:pPr>
              <w:spacing w:before="60" w:after="60"/>
              <w:jc w:val="left"/>
            </w:pPr>
            <w:r>
              <w:rPr>
                <w:rFonts w:ascii="Arial" w:hAnsi="Arial" w:eastAsia="Arial" w:cs="Arial"/>
                <w:b w:val="0"/>
                <w:bCs w:val="0"/>
                <w:color w:val="000000"/>
                <w:sz w:val="20"/>
                <w:szCs w:val="20"/>
              </w:rPr>
              <w:t>L'utilisateur consulte le dashboard, ajuste les hypothèses, observe l'impact sur les KPIs</w:t>
            </w:r>
          </w:p>
        </w:tc>
      </w:tr>
      <w:tr w14:paraId="6CDA9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0A02B"/>
            <w:tcMar>
              <w:top w:w="100" w:type="dxa"/>
              <w:left w:w="140" w:type="dxa"/>
              <w:bottom w:w="100" w:type="dxa"/>
              <w:right w:w="140" w:type="dxa"/>
            </w:tcMar>
            <w:vAlign w:val="center"/>
          </w:tcPr>
          <w:p w14:paraId="3C42C5CA">
            <w:pPr>
              <w:spacing w:before="60" w:after="60"/>
              <w:jc w:val="center"/>
            </w:pPr>
            <w:r>
              <w:rPr>
                <w:rFonts w:ascii="Arial" w:hAnsi="Arial" w:eastAsia="Arial" w:cs="Arial"/>
                <w:b/>
                <w:bCs/>
                <w:color w:val="FFFFFF"/>
                <w:sz w:val="20"/>
                <w:szCs w:val="20"/>
              </w:rPr>
              <w:t>5</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31203B7D">
            <w:pPr>
              <w:spacing w:before="60" w:after="60"/>
              <w:jc w:val="left"/>
            </w:pPr>
            <w:r>
              <w:rPr>
                <w:rFonts w:ascii="Arial" w:hAnsi="Arial" w:eastAsia="Arial" w:cs="Arial"/>
                <w:b/>
                <w:bCs/>
                <w:color w:val="000000"/>
                <w:sz w:val="20"/>
                <w:szCs w:val="20"/>
              </w:rPr>
              <w:t>Finalisation</w:t>
            </w:r>
          </w:p>
        </w:tc>
        <w:tc>
          <w:tcPr>
            <w:tcW w:w="68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42DC63DC">
            <w:pPr>
              <w:spacing w:before="60" w:after="60"/>
              <w:jc w:val="left"/>
            </w:pPr>
            <w:r>
              <w:rPr>
                <w:rFonts w:ascii="Arial" w:hAnsi="Arial" w:eastAsia="Arial" w:cs="Arial"/>
                <w:b w:val="0"/>
                <w:bCs w:val="0"/>
                <w:color w:val="000000"/>
                <w:sz w:val="20"/>
                <w:szCs w:val="20"/>
              </w:rPr>
              <w:t>Le projet est marqué comme finalisé — ses données sont figées mais consultables</w:t>
            </w:r>
          </w:p>
        </w:tc>
      </w:tr>
      <w:tr w14:paraId="7FC7C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0A02B"/>
            <w:tcMar>
              <w:top w:w="100" w:type="dxa"/>
              <w:left w:w="140" w:type="dxa"/>
              <w:bottom w:w="100" w:type="dxa"/>
              <w:right w:w="140" w:type="dxa"/>
            </w:tcMar>
            <w:vAlign w:val="center"/>
          </w:tcPr>
          <w:p w14:paraId="69D4688F">
            <w:pPr>
              <w:spacing w:before="60" w:after="60"/>
              <w:jc w:val="center"/>
            </w:pPr>
            <w:r>
              <w:rPr>
                <w:rFonts w:ascii="Arial" w:hAnsi="Arial" w:eastAsia="Arial" w:cs="Arial"/>
                <w:b/>
                <w:bCs/>
                <w:color w:val="FFFFFF"/>
                <w:sz w:val="20"/>
                <w:szCs w:val="20"/>
              </w:rPr>
              <w:t>6</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722E9FF5">
            <w:pPr>
              <w:spacing w:before="60" w:after="60"/>
              <w:jc w:val="left"/>
            </w:pPr>
            <w:r>
              <w:rPr>
                <w:rFonts w:ascii="Arial" w:hAnsi="Arial" w:eastAsia="Arial" w:cs="Arial"/>
                <w:b/>
                <w:bCs/>
                <w:color w:val="000000"/>
                <w:sz w:val="20"/>
                <w:szCs w:val="20"/>
              </w:rPr>
              <w:t>Archivage</w:t>
            </w:r>
          </w:p>
        </w:tc>
        <w:tc>
          <w:tcPr>
            <w:tcW w:w="68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73E26BD1">
            <w:pPr>
              <w:spacing w:before="60" w:after="60"/>
              <w:jc w:val="left"/>
            </w:pPr>
            <w:r>
              <w:rPr>
                <w:rFonts w:ascii="Arial" w:hAnsi="Arial" w:eastAsia="Arial" w:cs="Arial"/>
                <w:b w:val="0"/>
                <w:bCs w:val="0"/>
                <w:color w:val="000000"/>
                <w:sz w:val="20"/>
                <w:szCs w:val="20"/>
              </w:rPr>
              <w:t>Le projet est archivé — visible en lecture seule, non modifiable</w:t>
            </w:r>
          </w:p>
        </w:tc>
      </w:tr>
    </w:tbl>
    <w:p w14:paraId="5B55E065">
      <w:pPr>
        <w:spacing w:before="60" w:after="60"/>
      </w:pPr>
    </w:p>
    <w:p w14:paraId="11CC551B">
      <w:pPr>
        <w:pStyle w:val="3"/>
        <w:spacing w:before="280" w:after="160"/>
      </w:pPr>
      <w:r>
        <w:rPr>
          <w:rFonts w:ascii="Arial" w:hAnsi="Arial" w:eastAsia="Arial" w:cs="Arial"/>
          <w:b/>
          <w:bCs/>
          <w:color w:val="169B86"/>
          <w:sz w:val="26"/>
          <w:szCs w:val="26"/>
        </w:rPr>
        <w:t>4.2 Fonctionnalités de gestion</w:t>
      </w:r>
    </w:p>
    <w:p w14:paraId="046A37E5">
      <w:pPr>
        <w:pStyle w:val="16"/>
        <w:numPr>
          <w:ilvl w:val="0"/>
          <w:numId w:val="1"/>
        </w:numPr>
        <w:spacing w:before="60" w:after="60"/>
      </w:pPr>
      <w:r>
        <w:rPr>
          <w:rFonts w:ascii="Arial" w:hAnsi="Arial" w:eastAsia="Arial" w:cs="Arial"/>
          <w:sz w:val="22"/>
          <w:szCs w:val="22"/>
        </w:rPr>
        <w:t>Liste de tous les projets avec statut, date de création et dernière modification</w:t>
      </w:r>
    </w:p>
    <w:p w14:paraId="4D95E172">
      <w:pPr>
        <w:pStyle w:val="16"/>
        <w:numPr>
          <w:ilvl w:val="0"/>
          <w:numId w:val="1"/>
        </w:numPr>
        <w:spacing w:before="60" w:after="60"/>
      </w:pPr>
      <w:r>
        <w:rPr>
          <w:rFonts w:ascii="Arial" w:hAnsi="Arial" w:eastAsia="Arial" w:cs="Arial"/>
          <w:sz w:val="22"/>
          <w:szCs w:val="22"/>
        </w:rPr>
        <w:t>Duplication d'un projet existant pour créer rapidement un nouveau Business Model similaire</w:t>
      </w:r>
    </w:p>
    <w:p w14:paraId="53A67C7E">
      <w:pPr>
        <w:pStyle w:val="16"/>
        <w:numPr>
          <w:ilvl w:val="0"/>
          <w:numId w:val="1"/>
        </w:numPr>
        <w:spacing w:before="60" w:after="60"/>
      </w:pPr>
      <w:r>
        <w:rPr>
          <w:rFonts w:ascii="Arial" w:hAnsi="Arial" w:eastAsia="Arial" w:cs="Arial"/>
          <w:sz w:val="22"/>
          <w:szCs w:val="22"/>
        </w:rPr>
        <w:t>Recherche et filtrage par nom, secteur, statut ou année</w:t>
      </w:r>
    </w:p>
    <w:p w14:paraId="4E4A3E92">
      <w:pPr>
        <w:pStyle w:val="16"/>
        <w:numPr>
          <w:ilvl w:val="0"/>
          <w:numId w:val="1"/>
        </w:numPr>
        <w:spacing w:before="60" w:after="60"/>
      </w:pPr>
      <w:r>
        <w:rPr>
          <w:rFonts w:ascii="Arial" w:hAnsi="Arial" w:eastAsia="Arial" w:cs="Arial"/>
          <w:sz w:val="22"/>
          <w:szCs w:val="22"/>
        </w:rPr>
        <w:t>Sauvegarde automatique à chaque modification — aucune perte de données</w:t>
      </w:r>
    </w:p>
    <w:p w14:paraId="36F93FEA">
      <w:pPr>
        <w:pStyle w:val="16"/>
        <w:numPr>
          <w:ilvl w:val="0"/>
          <w:numId w:val="1"/>
        </w:numPr>
        <w:spacing w:before="60" w:after="60"/>
      </w:pPr>
      <w:r>
        <w:rPr>
          <w:rFonts w:ascii="Arial" w:hAnsi="Arial" w:eastAsia="Arial" w:cs="Arial"/>
          <w:sz w:val="22"/>
          <w:szCs w:val="22"/>
        </w:rPr>
        <w:t>Historique des modifications : chaque changement est enregistré avec la date et la valeur précédente</w:t>
      </w:r>
    </w:p>
    <w:p w14:paraId="494EF30B">
      <w:r>
        <w:br w:type="page"/>
      </w:r>
    </w:p>
    <w:p w14:paraId="375C3DE3">
      <w:pPr>
        <w:pStyle w:val="2"/>
        <w:spacing w:before="400" w:after="200"/>
      </w:pPr>
      <w:r>
        <w:rPr>
          <w:rFonts w:ascii="Arial" w:hAnsi="Arial" w:eastAsia="Arial" w:cs="Arial"/>
          <w:b/>
          <w:bCs/>
          <w:color w:val="0D2B55"/>
          <w:sz w:val="32"/>
          <w:szCs w:val="32"/>
        </w:rPr>
        <w:t>5. Exigences Techniques</w:t>
      </w:r>
    </w:p>
    <w:p w14:paraId="7B5B2C44">
      <w:pPr>
        <w:pBdr>
          <w:bottom w:val="single" w:color="F0A02B" w:sz="8" w:space="1"/>
        </w:pBdr>
        <w:spacing w:before="100" w:after="140"/>
      </w:pPr>
    </w:p>
    <w:p w14:paraId="1CD0D4C0">
      <w:pPr>
        <w:pStyle w:val="3"/>
        <w:spacing w:before="280" w:after="160"/>
      </w:pPr>
      <w:r>
        <w:rPr>
          <w:rFonts w:ascii="Arial" w:hAnsi="Arial" w:eastAsia="Arial" w:cs="Arial"/>
          <w:b/>
          <w:bCs/>
          <w:color w:val="169B86"/>
          <w:sz w:val="26"/>
          <w:szCs w:val="26"/>
        </w:rPr>
        <w:t>5.1 Exigences non fonctionnelles</w:t>
      </w:r>
    </w:p>
    <w:tbl>
      <w:tblPr>
        <w:tblStyle w:val="15"/>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00"/>
        <w:gridCol w:w="3386"/>
      </w:tblGrid>
      <w:tr w14:paraId="642AE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0D2B55"/>
            <w:tcMar>
              <w:top w:w="100" w:type="dxa"/>
              <w:left w:w="140" w:type="dxa"/>
              <w:bottom w:w="100" w:type="dxa"/>
              <w:right w:w="140" w:type="dxa"/>
            </w:tcMar>
            <w:vAlign w:val="center"/>
          </w:tcPr>
          <w:p w14:paraId="5EFDB481">
            <w:pPr>
              <w:spacing w:before="60" w:after="60"/>
              <w:jc w:val="center"/>
            </w:pPr>
            <w:r>
              <w:rPr>
                <w:rFonts w:ascii="Arial" w:hAnsi="Arial" w:eastAsia="Arial" w:cs="Arial"/>
                <w:b/>
                <w:bCs/>
                <w:color w:val="FFFFFF"/>
                <w:sz w:val="20"/>
                <w:szCs w:val="20"/>
              </w:rPr>
              <w:t>Catégorie</w:t>
            </w:r>
          </w:p>
        </w:tc>
        <w:tc>
          <w:tcPr>
            <w:tcW w:w="4000" w:type="dxa"/>
            <w:tcBorders>
              <w:top w:val="single" w:color="CCCCCC" w:sz="0" w:space="0"/>
              <w:left w:val="single" w:color="CCCCCC" w:sz="0" w:space="0"/>
              <w:bottom w:val="single" w:color="CCCCCC" w:sz="0" w:space="0"/>
              <w:right w:val="single" w:color="CCCCCC" w:sz="0" w:space="0"/>
            </w:tcBorders>
            <w:shd w:val="clear" w:color="auto" w:fill="0D2B55"/>
            <w:tcMar>
              <w:top w:w="100" w:type="dxa"/>
              <w:left w:w="140" w:type="dxa"/>
              <w:bottom w:w="100" w:type="dxa"/>
              <w:right w:w="140" w:type="dxa"/>
            </w:tcMar>
            <w:vAlign w:val="center"/>
          </w:tcPr>
          <w:p w14:paraId="57251ED5">
            <w:pPr>
              <w:spacing w:before="60" w:after="60"/>
              <w:jc w:val="center"/>
            </w:pPr>
            <w:r>
              <w:rPr>
                <w:rFonts w:ascii="Arial" w:hAnsi="Arial" w:eastAsia="Arial" w:cs="Arial"/>
                <w:b/>
                <w:bCs/>
                <w:color w:val="FFFFFF"/>
                <w:sz w:val="20"/>
                <w:szCs w:val="20"/>
              </w:rPr>
              <w:t>Exigence</w:t>
            </w:r>
          </w:p>
        </w:tc>
        <w:tc>
          <w:tcPr>
            <w:tcW w:w="3386" w:type="dxa"/>
            <w:tcBorders>
              <w:top w:val="single" w:color="CCCCCC" w:sz="0" w:space="0"/>
              <w:left w:val="single" w:color="CCCCCC" w:sz="0" w:space="0"/>
              <w:bottom w:val="single" w:color="CCCCCC" w:sz="0" w:space="0"/>
              <w:right w:val="single" w:color="CCCCCC" w:sz="0" w:space="0"/>
            </w:tcBorders>
            <w:shd w:val="clear" w:color="auto" w:fill="0D2B55"/>
            <w:tcMar>
              <w:top w:w="100" w:type="dxa"/>
              <w:left w:w="140" w:type="dxa"/>
              <w:bottom w:w="100" w:type="dxa"/>
              <w:right w:w="140" w:type="dxa"/>
            </w:tcMar>
            <w:vAlign w:val="center"/>
          </w:tcPr>
          <w:p w14:paraId="6FC8BB6A">
            <w:pPr>
              <w:spacing w:before="60" w:after="60"/>
              <w:jc w:val="center"/>
            </w:pPr>
            <w:r>
              <w:rPr>
                <w:rFonts w:ascii="Arial" w:hAnsi="Arial" w:eastAsia="Arial" w:cs="Arial"/>
                <w:b/>
                <w:bCs/>
                <w:color w:val="FFFFFF"/>
                <w:sz w:val="20"/>
                <w:szCs w:val="20"/>
              </w:rPr>
              <w:t>Critère de validation</w:t>
            </w:r>
          </w:p>
        </w:tc>
      </w:tr>
      <w:tr w14:paraId="09BD5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1C280A87">
            <w:pPr>
              <w:spacing w:before="60" w:after="60"/>
              <w:jc w:val="left"/>
            </w:pPr>
            <w:r>
              <w:rPr>
                <w:rFonts w:ascii="Arial" w:hAnsi="Arial" w:eastAsia="Arial" w:cs="Arial"/>
                <w:b/>
                <w:bCs/>
                <w:color w:val="000000"/>
                <w:sz w:val="20"/>
                <w:szCs w:val="20"/>
              </w:rPr>
              <w:t>Performance</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3302C8A8">
            <w:pPr>
              <w:spacing w:before="60" w:after="60"/>
              <w:jc w:val="left"/>
            </w:pPr>
            <w:r>
              <w:rPr>
                <w:rFonts w:ascii="Arial" w:hAnsi="Arial" w:eastAsia="Arial" w:cs="Arial"/>
                <w:b w:val="0"/>
                <w:bCs w:val="0"/>
                <w:color w:val="000000"/>
                <w:sz w:val="20"/>
                <w:szCs w:val="20"/>
              </w:rPr>
              <w:t>Recalcul de tous les états financiers en moins de 3 secondes après une modification</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42ED351B">
            <w:pPr>
              <w:spacing w:before="60" w:after="60"/>
              <w:jc w:val="left"/>
            </w:pPr>
            <w:r>
              <w:rPr>
                <w:rFonts w:ascii="Arial" w:hAnsi="Arial" w:eastAsia="Arial" w:cs="Arial"/>
                <w:b w:val="0"/>
                <w:bCs w:val="0"/>
                <w:color w:val="000000"/>
                <w:sz w:val="20"/>
                <w:szCs w:val="20"/>
              </w:rPr>
              <w:t>Test mesuré avec un projet de 5 produits et 5 années</w:t>
            </w:r>
          </w:p>
        </w:tc>
      </w:tr>
      <w:tr w14:paraId="710BC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1E6091EE">
            <w:pPr>
              <w:spacing w:before="60" w:after="60"/>
              <w:jc w:val="left"/>
            </w:pPr>
            <w:r>
              <w:rPr>
                <w:rFonts w:ascii="Arial" w:hAnsi="Arial" w:eastAsia="Arial" w:cs="Arial"/>
                <w:b/>
                <w:bCs/>
                <w:color w:val="000000"/>
                <w:sz w:val="20"/>
                <w:szCs w:val="20"/>
              </w:rPr>
              <w:t>Disponibilité</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67C5D72B">
            <w:pPr>
              <w:spacing w:before="60" w:after="60"/>
              <w:jc w:val="left"/>
            </w:pPr>
            <w:r>
              <w:rPr>
                <w:rFonts w:ascii="Arial" w:hAnsi="Arial" w:eastAsia="Arial" w:cs="Arial"/>
                <w:b w:val="0"/>
                <w:bCs w:val="0"/>
                <w:color w:val="000000"/>
                <w:sz w:val="20"/>
                <w:szCs w:val="20"/>
              </w:rPr>
              <w:t>Accessible 24h/24, 7j/7 depuis un navigateur web</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3208BC20">
            <w:pPr>
              <w:spacing w:before="60" w:after="60"/>
              <w:jc w:val="left"/>
            </w:pPr>
            <w:r>
              <w:rPr>
                <w:rFonts w:ascii="Arial" w:hAnsi="Arial" w:eastAsia="Arial" w:cs="Arial"/>
                <w:b w:val="0"/>
                <w:bCs w:val="0"/>
                <w:color w:val="000000"/>
                <w:sz w:val="20"/>
                <w:szCs w:val="20"/>
              </w:rPr>
              <w:t>Hébergement avec taux de disponibilité ≥ 99%</w:t>
            </w:r>
          </w:p>
        </w:tc>
      </w:tr>
      <w:tr w14:paraId="405C3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1A5A3BEE">
            <w:pPr>
              <w:spacing w:before="60" w:after="60"/>
              <w:jc w:val="left"/>
            </w:pPr>
            <w:r>
              <w:rPr>
                <w:rFonts w:ascii="Arial" w:hAnsi="Arial" w:eastAsia="Arial" w:cs="Arial"/>
                <w:b/>
                <w:bCs/>
                <w:color w:val="000000"/>
                <w:sz w:val="20"/>
                <w:szCs w:val="20"/>
              </w:rPr>
              <w:t>Compatibilité</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46FAC54A">
            <w:pPr>
              <w:spacing w:before="60" w:after="60"/>
              <w:jc w:val="left"/>
            </w:pPr>
            <w:r>
              <w:rPr>
                <w:rFonts w:ascii="Arial" w:hAnsi="Arial" w:eastAsia="Arial" w:cs="Arial"/>
                <w:b w:val="0"/>
                <w:bCs w:val="0"/>
                <w:color w:val="000000"/>
                <w:sz w:val="20"/>
                <w:szCs w:val="20"/>
              </w:rPr>
              <w:t>Fonctionne sur Chrome, Firefox et Edge (versions récentes)</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2BDEB1BE">
            <w:pPr>
              <w:spacing w:before="60" w:after="60"/>
              <w:jc w:val="left"/>
            </w:pPr>
            <w:r>
              <w:rPr>
                <w:rFonts w:ascii="Arial" w:hAnsi="Arial" w:eastAsia="Arial" w:cs="Arial"/>
                <w:b w:val="0"/>
                <w:bCs w:val="0"/>
                <w:color w:val="000000"/>
                <w:sz w:val="20"/>
                <w:szCs w:val="20"/>
              </w:rPr>
              <w:t>Tests cross-browser validés</w:t>
            </w:r>
          </w:p>
        </w:tc>
      </w:tr>
      <w:tr w14:paraId="1B511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2E835159">
            <w:pPr>
              <w:spacing w:before="60" w:after="60"/>
              <w:jc w:val="left"/>
            </w:pPr>
            <w:r>
              <w:rPr>
                <w:rFonts w:ascii="Arial" w:hAnsi="Arial" w:eastAsia="Arial" w:cs="Arial"/>
                <w:b/>
                <w:bCs/>
                <w:color w:val="000000"/>
                <w:sz w:val="20"/>
                <w:szCs w:val="20"/>
              </w:rPr>
              <w:t>Sécurité</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34B020A6">
            <w:pPr>
              <w:spacing w:before="60" w:after="60"/>
              <w:jc w:val="left"/>
            </w:pPr>
            <w:r>
              <w:rPr>
                <w:rFonts w:ascii="Arial" w:hAnsi="Arial" w:eastAsia="Arial" w:cs="Arial"/>
                <w:b w:val="0"/>
                <w:bCs w:val="0"/>
                <w:color w:val="000000"/>
                <w:sz w:val="20"/>
                <w:szCs w:val="20"/>
              </w:rPr>
              <w:t>Authentification par identifiant et mot de passe, sessions sécurisées</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3C50FFC8">
            <w:pPr>
              <w:spacing w:before="60" w:after="60"/>
              <w:jc w:val="left"/>
            </w:pPr>
            <w:r>
              <w:rPr>
                <w:rFonts w:ascii="Arial" w:hAnsi="Arial" w:eastAsia="Arial" w:cs="Arial"/>
                <w:b w:val="0"/>
                <w:bCs w:val="0"/>
                <w:color w:val="000000"/>
                <w:sz w:val="20"/>
                <w:szCs w:val="20"/>
              </w:rPr>
              <w:t>Accès impossible sans connexion</w:t>
            </w:r>
          </w:p>
        </w:tc>
      </w:tr>
      <w:tr w14:paraId="5803A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4FDB4638">
            <w:pPr>
              <w:spacing w:before="60" w:after="60"/>
              <w:jc w:val="left"/>
            </w:pPr>
            <w:r>
              <w:rPr>
                <w:rFonts w:ascii="Arial" w:hAnsi="Arial" w:eastAsia="Arial" w:cs="Arial"/>
                <w:b/>
                <w:bCs/>
                <w:color w:val="000000"/>
                <w:sz w:val="20"/>
                <w:szCs w:val="20"/>
              </w:rPr>
              <w:t>Sauvegarde</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66178987">
            <w:pPr>
              <w:spacing w:before="60" w:after="60"/>
              <w:jc w:val="left"/>
            </w:pPr>
            <w:r>
              <w:rPr>
                <w:rFonts w:ascii="Arial" w:hAnsi="Arial" w:eastAsia="Arial" w:cs="Arial"/>
                <w:b w:val="0"/>
                <w:bCs w:val="0"/>
                <w:color w:val="000000"/>
                <w:sz w:val="20"/>
                <w:szCs w:val="20"/>
              </w:rPr>
              <w:t>Sauvegarde automatique à chaque modification, sauvegarde complète quotidienne</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6F4997A3">
            <w:pPr>
              <w:spacing w:before="60" w:after="60"/>
              <w:jc w:val="left"/>
            </w:pPr>
            <w:r>
              <w:rPr>
                <w:rFonts w:ascii="Arial" w:hAnsi="Arial" w:eastAsia="Arial" w:cs="Arial"/>
                <w:b w:val="0"/>
                <w:bCs w:val="0"/>
                <w:color w:val="000000"/>
                <w:sz w:val="20"/>
                <w:szCs w:val="20"/>
              </w:rPr>
              <w:t>Procédure de restauration testée et documentée</w:t>
            </w:r>
          </w:p>
        </w:tc>
      </w:tr>
      <w:tr w14:paraId="52DEE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5A2F5BA7">
            <w:pPr>
              <w:spacing w:before="60" w:after="60"/>
              <w:jc w:val="left"/>
            </w:pPr>
            <w:r>
              <w:rPr>
                <w:rFonts w:ascii="Arial" w:hAnsi="Arial" w:eastAsia="Arial" w:cs="Arial"/>
                <w:b/>
                <w:bCs/>
                <w:color w:val="000000"/>
                <w:sz w:val="20"/>
                <w:szCs w:val="20"/>
              </w:rPr>
              <w:t>Export</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3E147AD8">
            <w:pPr>
              <w:spacing w:before="60" w:after="60"/>
              <w:jc w:val="left"/>
            </w:pPr>
            <w:r>
              <w:rPr>
                <w:rFonts w:ascii="Arial" w:hAnsi="Arial" w:eastAsia="Arial" w:cs="Arial"/>
                <w:b w:val="0"/>
                <w:bCs w:val="0"/>
                <w:color w:val="000000"/>
                <w:sz w:val="20"/>
                <w:szCs w:val="20"/>
              </w:rPr>
              <w:t xml:space="preserve">Génération de PDF et Excel </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4D383D85">
            <w:pPr>
              <w:spacing w:before="60" w:after="60"/>
              <w:jc w:val="left"/>
            </w:pPr>
            <w:r>
              <w:rPr>
                <w:rFonts w:ascii="Arial" w:hAnsi="Arial" w:eastAsia="Arial" w:cs="Arial"/>
                <w:b w:val="0"/>
                <w:bCs w:val="0"/>
                <w:color w:val="000000"/>
                <w:sz w:val="20"/>
                <w:szCs w:val="20"/>
              </w:rPr>
              <w:t>Test sur un projet complet à 5 années</w:t>
            </w:r>
          </w:p>
        </w:tc>
      </w:tr>
      <w:tr w14:paraId="02CFB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60A3FF93">
            <w:pPr>
              <w:spacing w:before="60" w:after="60"/>
              <w:jc w:val="left"/>
            </w:pPr>
            <w:r>
              <w:rPr>
                <w:rFonts w:ascii="Arial" w:hAnsi="Arial" w:eastAsia="Arial" w:cs="Arial"/>
                <w:b/>
                <w:bCs/>
                <w:color w:val="000000"/>
                <w:sz w:val="20"/>
                <w:szCs w:val="20"/>
              </w:rPr>
              <w:t>Responsive</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4FC8D425">
            <w:pPr>
              <w:spacing w:before="60" w:after="60"/>
              <w:jc w:val="left"/>
            </w:pPr>
            <w:r>
              <w:rPr>
                <w:rFonts w:ascii="Arial" w:hAnsi="Arial" w:eastAsia="Arial" w:cs="Arial"/>
                <w:b w:val="0"/>
                <w:bCs w:val="0"/>
                <w:color w:val="000000"/>
                <w:sz w:val="20"/>
                <w:szCs w:val="20"/>
              </w:rPr>
              <w:t>Interface utilisable sur ordinateur et tablette</w:t>
            </w:r>
          </w:p>
        </w:tc>
        <w:tc>
          <w:tcPr>
            <w:tcW w:w="33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3DB89344">
            <w:pPr>
              <w:spacing w:before="60" w:after="60"/>
              <w:jc w:val="left"/>
            </w:pPr>
          </w:p>
        </w:tc>
      </w:tr>
    </w:tbl>
    <w:p w14:paraId="1E4B582A">
      <w:pPr>
        <w:spacing w:before="60" w:after="60"/>
      </w:pPr>
    </w:p>
    <w:p w14:paraId="357652C9">
      <w:pPr>
        <w:pStyle w:val="3"/>
        <w:spacing w:before="280" w:after="160"/>
      </w:pPr>
      <w:r>
        <w:rPr>
          <w:rFonts w:ascii="Arial" w:hAnsi="Arial" w:eastAsia="Arial" w:cs="Arial"/>
          <w:b/>
          <w:bCs/>
          <w:color w:val="169B86"/>
          <w:sz w:val="26"/>
          <w:szCs w:val="26"/>
        </w:rPr>
        <w:t xml:space="preserve">5.2 Architecture technique </w:t>
      </w:r>
      <w:bookmarkStart w:id="0" w:name="_GoBack"/>
      <w:bookmarkEnd w:id="0"/>
    </w:p>
    <w:tbl>
      <w:tblPr>
        <w:tblStyle w:val="15"/>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3886"/>
      </w:tblGrid>
      <w:tr w14:paraId="2A741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0D2B55"/>
            <w:tcMar>
              <w:top w:w="100" w:type="dxa"/>
              <w:left w:w="140" w:type="dxa"/>
              <w:bottom w:w="100" w:type="dxa"/>
              <w:right w:w="140" w:type="dxa"/>
            </w:tcMar>
            <w:vAlign w:val="center"/>
          </w:tcPr>
          <w:p w14:paraId="6A7D3F63">
            <w:pPr>
              <w:spacing w:before="60" w:after="60"/>
              <w:jc w:val="center"/>
            </w:pPr>
            <w:r>
              <w:rPr>
                <w:rFonts w:ascii="Arial" w:hAnsi="Arial" w:eastAsia="Arial" w:cs="Arial"/>
                <w:b/>
                <w:bCs/>
                <w:color w:val="FFFFFF"/>
                <w:sz w:val="20"/>
                <w:szCs w:val="20"/>
              </w:rPr>
              <w:t>Couche</w:t>
            </w:r>
          </w:p>
        </w:tc>
        <w:tc>
          <w:tcPr>
            <w:tcW w:w="3500" w:type="dxa"/>
            <w:tcBorders>
              <w:top w:val="single" w:color="CCCCCC" w:sz="0" w:space="0"/>
              <w:left w:val="single" w:color="CCCCCC" w:sz="0" w:space="0"/>
              <w:bottom w:val="single" w:color="CCCCCC" w:sz="0" w:space="0"/>
              <w:right w:val="single" w:color="CCCCCC" w:sz="0" w:space="0"/>
            </w:tcBorders>
            <w:shd w:val="clear" w:color="auto" w:fill="0D2B55"/>
            <w:tcMar>
              <w:top w:w="100" w:type="dxa"/>
              <w:left w:w="140" w:type="dxa"/>
              <w:bottom w:w="100" w:type="dxa"/>
              <w:right w:w="140" w:type="dxa"/>
            </w:tcMar>
            <w:vAlign w:val="center"/>
          </w:tcPr>
          <w:p w14:paraId="1B0E8154">
            <w:pPr>
              <w:spacing w:before="60" w:after="60"/>
              <w:jc w:val="center"/>
            </w:pPr>
            <w:r>
              <w:rPr>
                <w:rFonts w:ascii="Arial" w:hAnsi="Arial" w:eastAsia="Arial" w:cs="Arial"/>
                <w:b/>
                <w:bCs/>
                <w:color w:val="FFFFFF"/>
                <w:sz w:val="20"/>
                <w:szCs w:val="20"/>
              </w:rPr>
              <w:t>Technologie recommandée</w:t>
            </w:r>
          </w:p>
        </w:tc>
        <w:tc>
          <w:tcPr>
            <w:tcW w:w="3886" w:type="dxa"/>
            <w:tcBorders>
              <w:top w:val="single" w:color="CCCCCC" w:sz="0" w:space="0"/>
              <w:left w:val="single" w:color="CCCCCC" w:sz="0" w:space="0"/>
              <w:bottom w:val="single" w:color="CCCCCC" w:sz="0" w:space="0"/>
              <w:right w:val="single" w:color="CCCCCC" w:sz="0" w:space="0"/>
            </w:tcBorders>
            <w:shd w:val="clear" w:color="auto" w:fill="0D2B55"/>
            <w:tcMar>
              <w:top w:w="100" w:type="dxa"/>
              <w:left w:w="140" w:type="dxa"/>
              <w:bottom w:w="100" w:type="dxa"/>
              <w:right w:w="140" w:type="dxa"/>
            </w:tcMar>
            <w:vAlign w:val="center"/>
          </w:tcPr>
          <w:p w14:paraId="581B31FA">
            <w:pPr>
              <w:spacing w:before="60" w:after="60"/>
              <w:jc w:val="center"/>
            </w:pPr>
            <w:r>
              <w:rPr>
                <w:rFonts w:ascii="Arial" w:hAnsi="Arial" w:eastAsia="Arial" w:cs="Arial"/>
                <w:b/>
                <w:bCs/>
                <w:color w:val="FFFFFF"/>
                <w:sz w:val="20"/>
                <w:szCs w:val="20"/>
              </w:rPr>
              <w:t>Justification</w:t>
            </w:r>
          </w:p>
        </w:tc>
      </w:tr>
      <w:tr w14:paraId="0AC34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55F82FE4">
            <w:pPr>
              <w:spacing w:before="60" w:after="60"/>
              <w:jc w:val="left"/>
            </w:pPr>
            <w:r>
              <w:rPr>
                <w:rFonts w:ascii="Arial" w:hAnsi="Arial" w:eastAsia="Arial" w:cs="Arial"/>
                <w:b/>
                <w:bCs/>
                <w:color w:val="000000"/>
                <w:sz w:val="20"/>
                <w:szCs w:val="20"/>
              </w:rPr>
              <w:t>Interface (Frontend)</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4865C253">
            <w:pPr>
              <w:spacing w:before="60" w:after="60"/>
              <w:jc w:val="left"/>
            </w:pPr>
            <w:r>
              <w:rPr>
                <w:rFonts w:hint="default" w:cs="Arial"/>
                <w:b w:val="0"/>
                <w:bCs w:val="0"/>
                <w:color w:val="000000"/>
                <w:sz w:val="20"/>
                <w:szCs w:val="20"/>
                <w:lang w:val="fr-FR"/>
              </w:rPr>
              <w:t>Next</w:t>
            </w:r>
            <w:r>
              <w:rPr>
                <w:rFonts w:ascii="Arial" w:hAnsi="Arial" w:eastAsia="Arial" w:cs="Arial"/>
                <w:b w:val="0"/>
                <w:bCs w:val="0"/>
                <w:color w:val="000000"/>
                <w:sz w:val="20"/>
                <w:szCs w:val="20"/>
              </w:rPr>
              <w:t>.js + Recharts (graphes)</w:t>
            </w:r>
          </w:p>
        </w:tc>
        <w:tc>
          <w:tcPr>
            <w:tcW w:w="38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7777F4C1">
            <w:pPr>
              <w:spacing w:before="60" w:after="60"/>
              <w:jc w:val="left"/>
            </w:pPr>
            <w:r>
              <w:rPr>
                <w:rFonts w:ascii="Arial" w:hAnsi="Arial" w:eastAsia="Arial" w:cs="Arial"/>
                <w:b w:val="0"/>
                <w:bCs w:val="0"/>
                <w:color w:val="000000"/>
                <w:sz w:val="20"/>
                <w:szCs w:val="20"/>
              </w:rPr>
              <w:t>Interface dynamique, mise à jour en temps réel sans rechargement de page</w:t>
            </w:r>
          </w:p>
        </w:tc>
      </w:tr>
      <w:tr w14:paraId="10C24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0ED29FC1">
            <w:pPr>
              <w:spacing w:before="60" w:after="60"/>
              <w:jc w:val="left"/>
            </w:pPr>
            <w:r>
              <w:rPr>
                <w:rFonts w:ascii="Arial" w:hAnsi="Arial" w:eastAsia="Arial" w:cs="Arial"/>
                <w:b/>
                <w:bCs/>
                <w:color w:val="000000"/>
                <w:sz w:val="20"/>
                <w:szCs w:val="20"/>
              </w:rPr>
              <w:t>Serveur (Backend</w:t>
            </w:r>
            <w:r>
              <w:rPr>
                <w:rFonts w:hint="default" w:cs="Arial"/>
                <w:b/>
                <w:bCs/>
                <w:color w:val="000000"/>
                <w:sz w:val="20"/>
                <w:szCs w:val="20"/>
                <w:lang w:val="fr-FR"/>
              </w:rPr>
              <w:t xml:space="preserve"> ? </w:t>
            </w:r>
            <w:r>
              <w:rPr>
                <w:rFonts w:ascii="Arial" w:hAnsi="Arial" w:eastAsia="Arial" w:cs="Arial"/>
                <w:b/>
                <w:bCs/>
                <w:color w:val="000000"/>
                <w:sz w:val="20"/>
                <w:szCs w:val="20"/>
              </w:rPr>
              <w:t>)</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3995C4E6">
            <w:pPr>
              <w:spacing w:before="60" w:after="60"/>
              <w:jc w:val="left"/>
            </w:pPr>
          </w:p>
        </w:tc>
        <w:tc>
          <w:tcPr>
            <w:tcW w:w="38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28388DAC">
            <w:pPr>
              <w:spacing w:before="60" w:after="60"/>
              <w:jc w:val="left"/>
            </w:pPr>
          </w:p>
        </w:tc>
      </w:tr>
      <w:tr w14:paraId="21F03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4B39A74C">
            <w:pPr>
              <w:spacing w:before="60" w:after="60"/>
              <w:jc w:val="left"/>
            </w:pPr>
            <w:r>
              <w:rPr>
                <w:rFonts w:ascii="Arial" w:hAnsi="Arial" w:eastAsia="Arial" w:cs="Arial"/>
                <w:b/>
                <w:bCs/>
                <w:color w:val="000000"/>
                <w:sz w:val="20"/>
                <w:szCs w:val="20"/>
              </w:rPr>
              <w:t>Base de données</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5277992E">
            <w:pPr>
              <w:spacing w:before="60" w:after="60"/>
              <w:jc w:val="left"/>
            </w:pPr>
            <w:r>
              <w:rPr>
                <w:rFonts w:ascii="Arial" w:hAnsi="Arial" w:eastAsia="Arial" w:cs="Arial"/>
                <w:b w:val="0"/>
                <w:bCs w:val="0"/>
                <w:color w:val="000000"/>
                <w:sz w:val="20"/>
                <w:szCs w:val="20"/>
              </w:rPr>
              <w:t>PostgreSQL</w:t>
            </w:r>
          </w:p>
        </w:tc>
        <w:tc>
          <w:tcPr>
            <w:tcW w:w="38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0FE51057">
            <w:pPr>
              <w:spacing w:before="60" w:after="60"/>
              <w:jc w:val="left"/>
            </w:pPr>
            <w:r>
              <w:rPr>
                <w:rFonts w:ascii="Arial" w:hAnsi="Arial" w:eastAsia="Arial" w:cs="Arial"/>
                <w:b w:val="0"/>
                <w:bCs w:val="0"/>
                <w:color w:val="000000"/>
                <w:sz w:val="20"/>
                <w:szCs w:val="20"/>
              </w:rPr>
              <w:t>Données structurées et relationnelles, fiable pour les données financières</w:t>
            </w:r>
          </w:p>
        </w:tc>
      </w:tr>
      <w:tr w14:paraId="6B477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163B0E12">
            <w:pPr>
              <w:spacing w:before="60" w:after="60"/>
              <w:jc w:val="left"/>
            </w:pPr>
            <w:r>
              <w:rPr>
                <w:rFonts w:ascii="Arial" w:hAnsi="Arial" w:eastAsia="Arial" w:cs="Arial"/>
                <w:b/>
                <w:bCs/>
                <w:color w:val="000000"/>
                <w:sz w:val="20"/>
                <w:szCs w:val="20"/>
              </w:rPr>
              <w:t>Authentification</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644E5739">
            <w:pPr>
              <w:spacing w:before="60" w:after="60"/>
              <w:jc w:val="left"/>
            </w:pPr>
            <w:r>
              <w:rPr>
                <w:rFonts w:ascii="Arial" w:hAnsi="Arial" w:eastAsia="Arial" w:cs="Arial"/>
                <w:b w:val="0"/>
                <w:bCs w:val="0"/>
                <w:color w:val="000000"/>
                <w:sz w:val="20"/>
                <w:szCs w:val="20"/>
              </w:rPr>
              <w:t>JWT (JSON Web Tokens)</w:t>
            </w:r>
          </w:p>
        </w:tc>
        <w:tc>
          <w:tcPr>
            <w:tcW w:w="38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5839A287">
            <w:pPr>
              <w:spacing w:before="60" w:after="60"/>
              <w:jc w:val="left"/>
            </w:pPr>
            <w:r>
              <w:rPr>
                <w:rFonts w:ascii="Arial" w:hAnsi="Arial" w:eastAsia="Arial" w:cs="Arial"/>
                <w:b w:val="0"/>
                <w:bCs w:val="0"/>
                <w:color w:val="000000"/>
                <w:sz w:val="20"/>
                <w:szCs w:val="20"/>
              </w:rPr>
              <w:t>Sécurisé, adapté à une application mono-utilisateur extensible multi-utilisateurs</w:t>
            </w:r>
          </w:p>
        </w:tc>
      </w:tr>
      <w:tr w14:paraId="1569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3467020D">
            <w:pPr>
              <w:spacing w:before="60" w:after="60"/>
              <w:jc w:val="left"/>
            </w:pPr>
            <w:r>
              <w:rPr>
                <w:rFonts w:ascii="Arial" w:hAnsi="Arial" w:eastAsia="Arial" w:cs="Arial"/>
                <w:b/>
                <w:bCs/>
                <w:color w:val="000000"/>
                <w:sz w:val="20"/>
                <w:szCs w:val="20"/>
              </w:rPr>
              <w:t>Export PDF</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6B62797E">
            <w:pPr>
              <w:spacing w:before="60" w:after="60"/>
              <w:jc w:val="left"/>
            </w:pPr>
            <w:r>
              <w:rPr>
                <w:rFonts w:ascii="Arial" w:hAnsi="Arial" w:eastAsia="Arial" w:cs="Arial"/>
                <w:b w:val="0"/>
                <w:bCs w:val="0"/>
                <w:color w:val="000000"/>
                <w:sz w:val="20"/>
                <w:szCs w:val="20"/>
              </w:rPr>
              <w:t>Puppeteer ou jsPDF</w:t>
            </w:r>
          </w:p>
        </w:tc>
        <w:tc>
          <w:tcPr>
            <w:tcW w:w="38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16943EDC">
            <w:pPr>
              <w:spacing w:before="60" w:after="60"/>
              <w:jc w:val="left"/>
            </w:pPr>
            <w:r>
              <w:rPr>
                <w:rFonts w:ascii="Arial" w:hAnsi="Arial" w:eastAsia="Arial" w:cs="Arial"/>
                <w:b w:val="0"/>
                <w:bCs w:val="0"/>
                <w:color w:val="000000"/>
                <w:sz w:val="20"/>
                <w:szCs w:val="20"/>
              </w:rPr>
              <w:t>Génération de PDF haute qualité depuis les vues web</w:t>
            </w:r>
          </w:p>
        </w:tc>
      </w:tr>
      <w:tr w14:paraId="64F0F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066EB5A7">
            <w:pPr>
              <w:spacing w:before="60" w:after="60"/>
              <w:jc w:val="left"/>
            </w:pPr>
            <w:r>
              <w:rPr>
                <w:rFonts w:ascii="Arial" w:hAnsi="Arial" w:eastAsia="Arial" w:cs="Arial"/>
                <w:b/>
                <w:bCs/>
                <w:color w:val="000000"/>
                <w:sz w:val="20"/>
                <w:szCs w:val="20"/>
              </w:rPr>
              <w:t>Export Excel</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2C0E1986">
            <w:pPr>
              <w:spacing w:before="60" w:after="60"/>
              <w:jc w:val="left"/>
            </w:pPr>
            <w:r>
              <w:rPr>
                <w:rFonts w:ascii="Arial" w:hAnsi="Arial" w:eastAsia="Arial" w:cs="Arial"/>
                <w:b w:val="0"/>
                <w:bCs w:val="0"/>
                <w:color w:val="000000"/>
                <w:sz w:val="20"/>
                <w:szCs w:val="20"/>
              </w:rPr>
              <w:t>ExcelJS</w:t>
            </w:r>
          </w:p>
        </w:tc>
        <w:tc>
          <w:tcPr>
            <w:tcW w:w="3886"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40" w:type="dxa"/>
              <w:bottom w:w="100" w:type="dxa"/>
              <w:right w:w="140" w:type="dxa"/>
            </w:tcMar>
            <w:vAlign w:val="center"/>
          </w:tcPr>
          <w:p w14:paraId="3B691944">
            <w:pPr>
              <w:spacing w:before="60" w:after="60"/>
              <w:jc w:val="left"/>
            </w:pPr>
            <w:r>
              <w:rPr>
                <w:rFonts w:ascii="Arial" w:hAnsi="Arial" w:eastAsia="Arial" w:cs="Arial"/>
                <w:b w:val="0"/>
                <w:bCs w:val="0"/>
                <w:color w:val="000000"/>
                <w:sz w:val="20"/>
                <w:szCs w:val="20"/>
              </w:rPr>
              <w:t>Création de fichiers .xlsx avec mise en forme</w:t>
            </w:r>
          </w:p>
        </w:tc>
      </w:tr>
    </w:tbl>
    <w:p w14:paraId="33B2F525">
      <w:pPr>
        <w:spacing w:before="60" w:after="60"/>
      </w:pPr>
    </w:p>
    <w:p w14:paraId="2280994B">
      <w:pPr>
        <w:pStyle w:val="3"/>
        <w:spacing w:before="280" w:after="160"/>
      </w:pPr>
      <w:r>
        <w:rPr>
          <w:rFonts w:ascii="Arial" w:hAnsi="Arial" w:eastAsia="Arial" w:cs="Arial"/>
          <w:b/>
          <w:bCs/>
          <w:color w:val="169B86"/>
          <w:sz w:val="26"/>
          <w:szCs w:val="26"/>
        </w:rPr>
        <w:t>5.3 Modèle de données — Entités principales</w:t>
      </w:r>
    </w:p>
    <w:p w14:paraId="156391E5">
      <w:pPr>
        <w:spacing w:before="80" w:after="100"/>
      </w:pPr>
      <w:r>
        <w:rPr>
          <w:rFonts w:ascii="Arial" w:hAnsi="Arial" w:eastAsia="Arial" w:cs="Arial"/>
          <w:sz w:val="22"/>
          <w:szCs w:val="22"/>
        </w:rPr>
        <w:t>La base de données est organisée autour des entités suivantes, conçues pour être génériques et indépendantes de tout produit spécifique :</w:t>
      </w:r>
    </w:p>
    <w:tbl>
      <w:tblPr>
        <w:tblStyle w:val="15"/>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86"/>
      </w:tblGrid>
      <w:tr w14:paraId="5559D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69B86"/>
            <w:tcMar>
              <w:top w:w="100" w:type="dxa"/>
              <w:left w:w="140" w:type="dxa"/>
              <w:bottom w:w="100" w:type="dxa"/>
              <w:right w:w="140" w:type="dxa"/>
            </w:tcMar>
            <w:vAlign w:val="center"/>
          </w:tcPr>
          <w:p w14:paraId="308ACAE3">
            <w:pPr>
              <w:spacing w:before="60" w:after="60"/>
              <w:jc w:val="center"/>
            </w:pPr>
            <w:r>
              <w:rPr>
                <w:rFonts w:ascii="Arial" w:hAnsi="Arial" w:eastAsia="Arial" w:cs="Arial"/>
                <w:b/>
                <w:bCs/>
                <w:color w:val="FFFFFF"/>
                <w:sz w:val="20"/>
                <w:szCs w:val="20"/>
              </w:rPr>
              <w:t>Entité</w:t>
            </w:r>
          </w:p>
        </w:tc>
        <w:tc>
          <w:tcPr>
            <w:tcW w:w="7186" w:type="dxa"/>
            <w:tcBorders>
              <w:top w:val="single" w:color="CCCCCC" w:sz="0" w:space="0"/>
              <w:left w:val="single" w:color="CCCCCC" w:sz="0" w:space="0"/>
              <w:bottom w:val="single" w:color="CCCCCC" w:sz="0" w:space="0"/>
              <w:right w:val="single" w:color="CCCCCC" w:sz="0" w:space="0"/>
            </w:tcBorders>
            <w:shd w:val="clear" w:color="auto" w:fill="169B86"/>
            <w:tcMar>
              <w:top w:w="100" w:type="dxa"/>
              <w:left w:w="140" w:type="dxa"/>
              <w:bottom w:w="100" w:type="dxa"/>
              <w:right w:w="140" w:type="dxa"/>
            </w:tcMar>
            <w:vAlign w:val="center"/>
          </w:tcPr>
          <w:p w14:paraId="208B577D">
            <w:pPr>
              <w:spacing w:before="60" w:after="60"/>
              <w:jc w:val="center"/>
            </w:pPr>
            <w:r>
              <w:rPr>
                <w:rFonts w:ascii="Arial" w:hAnsi="Arial" w:eastAsia="Arial" w:cs="Arial"/>
                <w:b/>
                <w:bCs/>
                <w:color w:val="FFFFFF"/>
                <w:sz w:val="20"/>
                <w:szCs w:val="20"/>
              </w:rPr>
              <w:t>Attributs principaux</w:t>
            </w:r>
          </w:p>
        </w:tc>
      </w:tr>
      <w:tr w14:paraId="1B764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066F4F8A">
            <w:pPr>
              <w:spacing w:before="60" w:after="60"/>
              <w:jc w:val="left"/>
            </w:pPr>
            <w:r>
              <w:rPr>
                <w:rFonts w:ascii="Arial" w:hAnsi="Arial" w:eastAsia="Arial" w:cs="Arial"/>
                <w:b/>
                <w:bCs/>
                <w:color w:val="000000"/>
                <w:sz w:val="20"/>
                <w:szCs w:val="20"/>
              </w:rPr>
              <w:t>Projet</w:t>
            </w:r>
          </w:p>
        </w:tc>
        <w:tc>
          <w:tcPr>
            <w:tcW w:w="71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260BBCAE">
            <w:pPr>
              <w:spacing w:before="60" w:after="60"/>
              <w:jc w:val="left"/>
            </w:pPr>
            <w:r>
              <w:rPr>
                <w:rFonts w:ascii="Arial" w:hAnsi="Arial" w:eastAsia="Arial" w:cs="Arial"/>
                <w:b w:val="0"/>
                <w:bCs w:val="0"/>
                <w:color w:val="000000"/>
                <w:sz w:val="20"/>
                <w:szCs w:val="20"/>
              </w:rPr>
              <w:t>id, nom, description, secteur, année_démarrage, durée, statut, date_création, date_modification</w:t>
            </w:r>
          </w:p>
        </w:tc>
      </w:tr>
      <w:tr w14:paraId="2B135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2847D024">
            <w:pPr>
              <w:spacing w:before="60" w:after="60"/>
              <w:jc w:val="left"/>
            </w:pPr>
            <w:r>
              <w:rPr>
                <w:rFonts w:ascii="Arial" w:hAnsi="Arial" w:eastAsia="Arial" w:cs="Arial"/>
                <w:b/>
                <w:bCs/>
                <w:color w:val="000000"/>
                <w:sz w:val="20"/>
                <w:szCs w:val="20"/>
              </w:rPr>
              <w:t>Produit</w:t>
            </w:r>
          </w:p>
        </w:tc>
        <w:tc>
          <w:tcPr>
            <w:tcW w:w="71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2235D50F">
            <w:pPr>
              <w:spacing w:before="60" w:after="60"/>
              <w:jc w:val="left"/>
            </w:pPr>
            <w:r>
              <w:rPr>
                <w:rFonts w:ascii="Arial" w:hAnsi="Arial" w:eastAsia="Arial" w:cs="Arial"/>
                <w:b w:val="0"/>
                <w:bCs w:val="0"/>
                <w:color w:val="000000"/>
                <w:sz w:val="20"/>
                <w:szCs w:val="20"/>
              </w:rPr>
              <w:t>id, projet_id, nom, description, unité_vente, marge_securite, caractéristiques (JSON)</w:t>
            </w:r>
          </w:p>
        </w:tc>
      </w:tr>
      <w:tr w14:paraId="6A678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7441E2F0">
            <w:pPr>
              <w:spacing w:before="60" w:after="60"/>
              <w:jc w:val="left"/>
            </w:pPr>
            <w:r>
              <w:rPr>
                <w:rFonts w:ascii="Arial" w:hAnsi="Arial" w:eastAsia="Arial" w:cs="Arial"/>
                <w:b/>
                <w:bCs/>
                <w:color w:val="000000"/>
                <w:sz w:val="20"/>
                <w:szCs w:val="20"/>
              </w:rPr>
              <w:t>Composant</w:t>
            </w:r>
          </w:p>
        </w:tc>
        <w:tc>
          <w:tcPr>
            <w:tcW w:w="71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29367DCC">
            <w:pPr>
              <w:spacing w:before="60" w:after="60"/>
              <w:jc w:val="left"/>
            </w:pPr>
            <w:r>
              <w:rPr>
                <w:rFonts w:ascii="Arial" w:hAnsi="Arial" w:eastAsia="Arial" w:cs="Arial"/>
                <w:b w:val="0"/>
                <w:bCs w:val="0"/>
                <w:color w:val="000000"/>
                <w:sz w:val="20"/>
                <w:szCs w:val="20"/>
              </w:rPr>
              <w:t>id, produit_id, libellé, quantité, prix_unitaire, catégorie</w:t>
            </w:r>
          </w:p>
        </w:tc>
      </w:tr>
      <w:tr w14:paraId="656F9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56DBE1AB">
            <w:pPr>
              <w:spacing w:before="60" w:after="60"/>
              <w:jc w:val="left"/>
            </w:pPr>
            <w:r>
              <w:rPr>
                <w:rFonts w:ascii="Arial" w:hAnsi="Arial" w:eastAsia="Arial" w:cs="Arial"/>
                <w:b/>
                <w:bCs/>
                <w:color w:val="000000"/>
                <w:sz w:val="20"/>
                <w:szCs w:val="20"/>
              </w:rPr>
              <w:t>Hypothèse</w:t>
            </w:r>
          </w:p>
        </w:tc>
        <w:tc>
          <w:tcPr>
            <w:tcW w:w="71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5758021D">
            <w:pPr>
              <w:spacing w:before="60" w:after="60"/>
              <w:jc w:val="left"/>
            </w:pPr>
            <w:r>
              <w:rPr>
                <w:rFonts w:ascii="Arial" w:hAnsi="Arial" w:eastAsia="Arial" w:cs="Arial"/>
                <w:b w:val="0"/>
                <w:bCs w:val="0"/>
                <w:color w:val="000000"/>
                <w:sz w:val="20"/>
                <w:szCs w:val="20"/>
              </w:rPr>
              <w:t>id, projet_id, clé, valeur, unité, section, description</w:t>
            </w:r>
          </w:p>
        </w:tc>
      </w:tr>
      <w:tr w14:paraId="15DE2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0A1E9EA7">
            <w:pPr>
              <w:spacing w:before="60" w:after="60"/>
              <w:jc w:val="left"/>
            </w:pPr>
            <w:r>
              <w:rPr>
                <w:rFonts w:ascii="Arial" w:hAnsi="Arial" w:eastAsia="Arial" w:cs="Arial"/>
                <w:b/>
                <w:bCs/>
                <w:color w:val="000000"/>
                <w:sz w:val="20"/>
                <w:szCs w:val="20"/>
              </w:rPr>
              <w:t>PosteCapex</w:t>
            </w:r>
          </w:p>
        </w:tc>
        <w:tc>
          <w:tcPr>
            <w:tcW w:w="71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31016942">
            <w:pPr>
              <w:spacing w:before="60" w:after="60"/>
              <w:jc w:val="left"/>
            </w:pPr>
            <w:r>
              <w:rPr>
                <w:rFonts w:ascii="Arial" w:hAnsi="Arial" w:eastAsia="Arial" w:cs="Arial"/>
                <w:b w:val="0"/>
                <w:bCs w:val="0"/>
                <w:color w:val="000000"/>
                <w:sz w:val="20"/>
                <w:szCs w:val="20"/>
              </w:rPr>
              <w:t>id, projet_id, libellé, montant, taux_amortissement, catégorie, année</w:t>
            </w:r>
          </w:p>
        </w:tc>
      </w:tr>
      <w:tr w14:paraId="021D1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54E1D73B">
            <w:pPr>
              <w:spacing w:before="60" w:after="60"/>
              <w:jc w:val="left"/>
            </w:pPr>
            <w:r>
              <w:rPr>
                <w:rFonts w:ascii="Arial" w:hAnsi="Arial" w:eastAsia="Arial" w:cs="Arial"/>
                <w:b/>
                <w:bCs/>
                <w:color w:val="000000"/>
                <w:sz w:val="20"/>
                <w:szCs w:val="20"/>
              </w:rPr>
              <w:t>PosteOpex</w:t>
            </w:r>
          </w:p>
        </w:tc>
        <w:tc>
          <w:tcPr>
            <w:tcW w:w="71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08ADE159">
            <w:pPr>
              <w:spacing w:before="60" w:after="60"/>
              <w:jc w:val="left"/>
            </w:pPr>
            <w:r>
              <w:rPr>
                <w:rFonts w:ascii="Arial" w:hAnsi="Arial" w:eastAsia="Arial" w:cs="Arial"/>
                <w:b w:val="0"/>
                <w:bCs w:val="0"/>
                <w:color w:val="000000"/>
                <w:sz w:val="20"/>
                <w:szCs w:val="20"/>
              </w:rPr>
              <w:t>id, projet_id, libellé, type (fixe/pourcentage), valeur, catégorie</w:t>
            </w:r>
          </w:p>
        </w:tc>
      </w:tr>
      <w:tr w14:paraId="55D8C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69F81BB4">
            <w:pPr>
              <w:spacing w:before="60" w:after="60"/>
              <w:jc w:val="left"/>
            </w:pPr>
            <w:r>
              <w:rPr>
                <w:rFonts w:ascii="Arial" w:hAnsi="Arial" w:eastAsia="Arial" w:cs="Arial"/>
                <w:b/>
                <w:bCs/>
                <w:color w:val="000000"/>
                <w:sz w:val="20"/>
                <w:szCs w:val="20"/>
              </w:rPr>
              <w:t>RésultatFinancier</w:t>
            </w:r>
          </w:p>
        </w:tc>
        <w:tc>
          <w:tcPr>
            <w:tcW w:w="71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037686E1">
            <w:pPr>
              <w:spacing w:before="60" w:after="60"/>
              <w:jc w:val="left"/>
            </w:pPr>
            <w:r>
              <w:rPr>
                <w:rFonts w:ascii="Arial" w:hAnsi="Arial" w:eastAsia="Arial" w:cs="Arial"/>
                <w:b w:val="0"/>
                <w:bCs w:val="0"/>
                <w:color w:val="000000"/>
                <w:sz w:val="20"/>
                <w:szCs w:val="20"/>
              </w:rPr>
              <w:t>id, projet_id, année, ca_total, cout_revient, marge_brute, ebitda, resultat_net, tresorerie (stockage cache des calculs)</w:t>
            </w:r>
          </w:p>
        </w:tc>
      </w:tr>
      <w:tr w14:paraId="4C82E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39300584">
            <w:pPr>
              <w:spacing w:before="60" w:after="60"/>
              <w:jc w:val="left"/>
            </w:pPr>
            <w:r>
              <w:rPr>
                <w:rFonts w:ascii="Arial" w:hAnsi="Arial" w:eastAsia="Arial" w:cs="Arial"/>
                <w:b/>
                <w:bCs/>
                <w:color w:val="000000"/>
                <w:sz w:val="20"/>
                <w:szCs w:val="20"/>
              </w:rPr>
              <w:t>LogModification</w:t>
            </w:r>
          </w:p>
        </w:tc>
        <w:tc>
          <w:tcPr>
            <w:tcW w:w="71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37F2DE27">
            <w:pPr>
              <w:spacing w:before="60" w:after="60"/>
              <w:jc w:val="left"/>
            </w:pPr>
            <w:r>
              <w:rPr>
                <w:rFonts w:ascii="Arial" w:hAnsi="Arial" w:eastAsia="Arial" w:cs="Arial"/>
                <w:b w:val="0"/>
                <w:bCs w:val="0"/>
                <w:color w:val="000000"/>
                <w:sz w:val="20"/>
                <w:szCs w:val="20"/>
              </w:rPr>
              <w:t>id, projet_id, utilisateur_id, date, entité_modifiée, champ, ancienne_valeur, nouvelle_valeur</w:t>
            </w:r>
          </w:p>
        </w:tc>
      </w:tr>
      <w:tr w14:paraId="22F10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40" w:type="dxa"/>
              <w:bottom w:w="100" w:type="dxa"/>
              <w:right w:w="140" w:type="dxa"/>
            </w:tcMar>
            <w:vAlign w:val="center"/>
          </w:tcPr>
          <w:p w14:paraId="174F3888">
            <w:pPr>
              <w:spacing w:before="60" w:after="60"/>
              <w:jc w:val="left"/>
            </w:pPr>
            <w:r>
              <w:rPr>
                <w:rFonts w:ascii="Arial" w:hAnsi="Arial" w:eastAsia="Arial" w:cs="Arial"/>
                <w:b/>
                <w:bCs/>
                <w:color w:val="000000"/>
                <w:sz w:val="20"/>
                <w:szCs w:val="20"/>
              </w:rPr>
              <w:t>Utilisateur</w:t>
            </w:r>
          </w:p>
        </w:tc>
        <w:tc>
          <w:tcPr>
            <w:tcW w:w="71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708FF96B">
            <w:pPr>
              <w:spacing w:before="60" w:after="60"/>
              <w:jc w:val="left"/>
            </w:pPr>
            <w:r>
              <w:rPr>
                <w:rFonts w:ascii="Arial" w:hAnsi="Arial" w:eastAsia="Arial" w:cs="Arial"/>
                <w:b w:val="0"/>
                <w:bCs w:val="0"/>
                <w:color w:val="000000"/>
                <w:sz w:val="20"/>
                <w:szCs w:val="20"/>
              </w:rPr>
              <w:t xml:space="preserve">id, email, mot_de_passe_hash, rôle, date_création </w:t>
            </w:r>
          </w:p>
        </w:tc>
      </w:tr>
    </w:tbl>
    <w:p w14:paraId="49DBBD23"/>
    <w:sectPr>
      <w:pgSz w:w="11906" w:h="16838"/>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C5F955"/>
    <w:multiLevelType w:val="multilevel"/>
    <w:tmpl w:val="25C5F955"/>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71A2D33"/>
    <w:rsid w:val="31425E44"/>
    <w:rsid w:val="32A61AD2"/>
    <w:rsid w:val="38AE2389"/>
    <w:rsid w:val="3BBB4CF7"/>
    <w:rsid w:val="3BBC0CB1"/>
    <w:rsid w:val="62C040DA"/>
    <w:rsid w:val="65617242"/>
    <w:rsid w:val="69701C47"/>
    <w:rsid w:val="70A17A56"/>
    <w:rsid w:val="75BD7B4C"/>
    <w:rsid w:val="7C6F27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0D2B55"/>
      <w:sz w:val="32"/>
      <w:szCs w:val="32"/>
    </w:rPr>
  </w:style>
  <w:style w:type="paragraph" w:styleId="3">
    <w:name w:val="heading 2"/>
    <w:next w:val="1"/>
    <w:qFormat/>
    <w:uiPriority w:val="0"/>
    <w:pPr>
      <w:spacing w:before="280" w:after="160"/>
      <w:outlineLvl w:val="1"/>
    </w:pPr>
    <w:rPr>
      <w:rFonts w:ascii="Arial" w:hAnsi="Arial" w:eastAsia="Arial" w:cs="Arial"/>
      <w:b/>
      <w:bCs/>
      <w:color w:val="169B86"/>
      <w:sz w:val="26"/>
      <w:szCs w:val="26"/>
    </w:rPr>
  </w:style>
  <w:style w:type="paragraph" w:styleId="4">
    <w:name w:val="heading 3"/>
    <w:next w:val="1"/>
    <w:qFormat/>
    <w:uiPriority w:val="0"/>
    <w:pPr>
      <w:spacing w:before="200" w:after="120"/>
      <w:outlineLvl w:val="2"/>
    </w:pPr>
    <w:rPr>
      <w:rFonts w:ascii="Arial" w:hAnsi="Arial" w:eastAsia="Arial" w:cs="Arial"/>
      <w:b/>
      <w:bCs/>
      <w:color w:val="F0A02B"/>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18"/>
    <w:semiHidden/>
    <w:unhideWhenUsed/>
    <w:qFormat/>
    <w:uiPriority w:val="99"/>
    <w:pPr>
      <w:spacing w:after="0" w:line="240" w:lineRule="auto"/>
    </w:pPr>
    <w:rPr>
      <w:rFonts w:ascii="Arial" w:hAnsi="Arial" w:eastAsia="Arial" w:cs="Arial"/>
      <w:sz w:val="20"/>
      <w:szCs w:val="20"/>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paragraph" w:styleId="14">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627</Words>
  <Characters>3702</Characters>
  <TotalTime>59</TotalTime>
  <ScaleCrop>false</ScaleCrop>
  <LinksUpToDate>false</LinksUpToDate>
  <CharactersWithSpaces>4262</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2026-04-06T19:53:00Z</dcterms:created>
  <dc:creator>Un-named</dc:creator>
  <cp:lastModifiedBy>Xavier GBANDI</cp:lastModifiedBy>
  <dcterms:modified xsi:type="dcterms:W3CDTF">2026-04-07T09:01:17Z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eyJoZGlkIjoiZDE3MGQ0NmUxNDg3NDk4ZTg3NDI0YzFhZWNmNDM2YjMiLCJ1c2VySWQiOiIyMDM1ODgyNzUxMTgxMCJ9</vt:lpwstr>
  </property>
  <property fmtid="{D5CDD505-2E9C-101B-9397-08002B2CF9AE}" pid="3" name="KSOProductBuildVer">
    <vt:lpwstr>1036-12.1.0.25242</vt:lpwstr>
  </property>
  <property fmtid="{D5CDD505-2E9C-101B-9397-08002B2CF9AE}" pid="4" name="ICV">
    <vt:lpwstr>BD7BEB4A4F9746DCB211AA58DF330847_12</vt:lpwstr>
  </property>
</Properties>
</file>