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BB9" w:rsidRDefault="00C00BB9" w:rsidP="00C00BB9">
      <w:pPr>
        <w:jc w:val="center"/>
        <w:rPr>
          <w:b/>
          <w:sz w:val="24"/>
        </w:rPr>
      </w:pPr>
    </w:p>
    <w:p w:rsidR="005861F5" w:rsidRPr="003F676B" w:rsidRDefault="003867EE" w:rsidP="00C00BB9">
      <w:pPr>
        <w:pBdr>
          <w:top w:val="single" w:sz="4" w:space="1" w:color="auto" w:shadow="1"/>
          <w:left w:val="single" w:sz="4" w:space="4" w:color="auto" w:shadow="1"/>
          <w:bottom w:val="single" w:sz="4" w:space="1" w:color="auto" w:shadow="1"/>
          <w:right w:val="single" w:sz="4" w:space="4" w:color="auto" w:shadow="1"/>
        </w:pBdr>
        <w:shd w:val="clear" w:color="auto" w:fill="002060"/>
        <w:jc w:val="center"/>
        <w:rPr>
          <w:b/>
          <w:sz w:val="24"/>
        </w:rPr>
      </w:pPr>
      <w:r w:rsidRPr="003F676B">
        <w:rPr>
          <w:b/>
          <w:sz w:val="24"/>
        </w:rPr>
        <w:t>Fiche de lecture - Méthodologie</w:t>
      </w:r>
    </w:p>
    <w:p w:rsidR="0002706F" w:rsidRPr="00C00BB9" w:rsidRDefault="003867EE" w:rsidP="00394FC0">
      <w:pPr>
        <w:jc w:val="both"/>
        <w:rPr>
          <w:color w:val="002060"/>
          <w:sz w:val="28"/>
          <w:szCs w:val="28"/>
        </w:rPr>
      </w:pPr>
      <w:r w:rsidRPr="00C00BB9">
        <w:rPr>
          <w:color w:val="002060"/>
          <w:sz w:val="28"/>
          <w:szCs w:val="28"/>
        </w:rPr>
        <w:t>Objectifs</w:t>
      </w:r>
    </w:p>
    <w:p w:rsidR="0002706F" w:rsidRDefault="0002706F" w:rsidP="00394FC0">
      <w:pPr>
        <w:pStyle w:val="Paragraphedeliste"/>
        <w:numPr>
          <w:ilvl w:val="0"/>
          <w:numId w:val="1"/>
        </w:numPr>
        <w:jc w:val="both"/>
      </w:pPr>
      <w:r>
        <w:t>S’approprier des références théoriques</w:t>
      </w:r>
    </w:p>
    <w:p w:rsidR="0002706F" w:rsidRDefault="003867EE" w:rsidP="00394FC0">
      <w:pPr>
        <w:pStyle w:val="Paragraphedeliste"/>
        <w:numPr>
          <w:ilvl w:val="0"/>
          <w:numId w:val="1"/>
        </w:numPr>
        <w:jc w:val="both"/>
      </w:pPr>
      <w:r>
        <w:t>Comprendre en reformulant d</w:t>
      </w:r>
      <w:r w:rsidR="0002706F">
        <w:t>es notions et concepts d’auteurs</w:t>
      </w:r>
    </w:p>
    <w:p w:rsidR="00394FC0" w:rsidRDefault="00394FC0" w:rsidP="00394FC0">
      <w:pPr>
        <w:pStyle w:val="Paragraphedeliste"/>
        <w:numPr>
          <w:ilvl w:val="0"/>
          <w:numId w:val="1"/>
        </w:numPr>
        <w:jc w:val="both"/>
      </w:pPr>
      <w:r>
        <w:t xml:space="preserve">Se créer des outils pouvant appuyer </w:t>
      </w:r>
      <w:r w:rsidR="003867EE">
        <w:t xml:space="preserve">sa posture et </w:t>
      </w:r>
      <w:r>
        <w:t>ses cho</w:t>
      </w:r>
      <w:r w:rsidR="003867EE">
        <w:t>ix professionnel</w:t>
      </w:r>
      <w:r>
        <w:t>s</w:t>
      </w:r>
    </w:p>
    <w:p w:rsidR="00A1060F" w:rsidRDefault="00A1060F" w:rsidP="00394FC0">
      <w:pPr>
        <w:pStyle w:val="Paragraphedeliste"/>
        <w:numPr>
          <w:ilvl w:val="0"/>
          <w:numId w:val="1"/>
        </w:numPr>
        <w:jc w:val="both"/>
      </w:pPr>
      <w:r>
        <w:t>Se constituer une banque d</w:t>
      </w:r>
      <w:r w:rsidR="00CF6E7D">
        <w:t>e données en matière d’ingénieries de formation et pédagogique</w:t>
      </w:r>
    </w:p>
    <w:p w:rsidR="0002706F" w:rsidRDefault="0002706F" w:rsidP="00394FC0">
      <w:pPr>
        <w:pStyle w:val="Paragraphedeliste"/>
        <w:numPr>
          <w:ilvl w:val="0"/>
          <w:numId w:val="1"/>
        </w:numPr>
        <w:jc w:val="both"/>
      </w:pPr>
      <w:r>
        <w:t>Enrichir et partager ses connaissances aux membres du groupe</w:t>
      </w:r>
    </w:p>
    <w:p w:rsidR="00C00BB9" w:rsidRDefault="00C00BB9" w:rsidP="000631C0">
      <w:pPr>
        <w:pStyle w:val="Paragraphedeliste"/>
        <w:jc w:val="both"/>
      </w:pPr>
    </w:p>
    <w:p w:rsidR="0095597C" w:rsidRPr="00C00BB9" w:rsidRDefault="0095597C" w:rsidP="0095597C">
      <w:pPr>
        <w:jc w:val="both"/>
        <w:rPr>
          <w:color w:val="002060"/>
          <w:sz w:val="28"/>
          <w:szCs w:val="28"/>
        </w:rPr>
      </w:pPr>
      <w:r w:rsidRPr="00C00BB9">
        <w:rPr>
          <w:color w:val="002060"/>
          <w:sz w:val="28"/>
          <w:szCs w:val="28"/>
        </w:rPr>
        <w:t>Moyens</w:t>
      </w:r>
    </w:p>
    <w:p w:rsidR="0095597C" w:rsidRDefault="0095597C" w:rsidP="0095597C">
      <w:pPr>
        <w:spacing w:before="240"/>
        <w:jc w:val="both"/>
      </w:pPr>
      <w:r>
        <w:t xml:space="preserve">Vous devrez produire une fiche de lecture issue d’un ouvrage professionnel en lien avec l’ingénierie de formation et l’ingénierie pédagogique. </w:t>
      </w:r>
    </w:p>
    <w:p w:rsidR="0095597C" w:rsidRDefault="0095597C" w:rsidP="0095597C">
      <w:pPr>
        <w:spacing w:before="240"/>
        <w:jc w:val="both"/>
      </w:pPr>
      <w:r>
        <w:t>Selon un calendrier négocié entre vous, cette production fera l’objet d’une présentation orale et sera à remettre à l’équipe pédagogique qui vous fournira ultérieurement des commentaires sur cette fiche.</w:t>
      </w:r>
    </w:p>
    <w:p w:rsidR="0095597C" w:rsidRDefault="0095597C" w:rsidP="0095597C">
      <w:pPr>
        <w:spacing w:before="240"/>
        <w:jc w:val="both"/>
      </w:pPr>
      <w:r>
        <w:t>La fiche comportera entre 12 et 15 pages maximum.</w:t>
      </w:r>
    </w:p>
    <w:p w:rsidR="00C00BB9" w:rsidRDefault="00C00BB9" w:rsidP="0095597C">
      <w:pPr>
        <w:spacing w:before="240"/>
        <w:jc w:val="both"/>
      </w:pPr>
    </w:p>
    <w:p w:rsidR="003867EE" w:rsidRPr="00C00BB9" w:rsidRDefault="003867EE" w:rsidP="003867EE">
      <w:pPr>
        <w:jc w:val="both"/>
        <w:rPr>
          <w:color w:val="002060"/>
          <w:sz w:val="28"/>
          <w:szCs w:val="28"/>
        </w:rPr>
      </w:pPr>
      <w:r w:rsidRPr="00C00BB9">
        <w:rPr>
          <w:color w:val="002060"/>
          <w:sz w:val="28"/>
          <w:szCs w:val="28"/>
        </w:rPr>
        <w:t>Consignes</w:t>
      </w:r>
      <w:r w:rsidR="00736727" w:rsidRPr="00C00BB9">
        <w:rPr>
          <w:color w:val="002060"/>
          <w:sz w:val="28"/>
          <w:szCs w:val="28"/>
        </w:rPr>
        <w:t xml:space="preserve"> pour la rédaction de la fiche de lecture</w:t>
      </w:r>
    </w:p>
    <w:p w:rsidR="003867EE" w:rsidRPr="003867EE" w:rsidRDefault="003867EE" w:rsidP="003867EE">
      <w:pPr>
        <w:spacing w:after="0"/>
        <w:jc w:val="both"/>
      </w:pPr>
      <w:r w:rsidRPr="003867EE">
        <w:t>Il s’agit de la réalisation d’une synthèse d’un ouvrage</w:t>
      </w:r>
      <w:r>
        <w:t xml:space="preserve">. Elle peut se structurer comme </w:t>
      </w:r>
      <w:r w:rsidRPr="003867EE">
        <w:t>suit :</w:t>
      </w:r>
    </w:p>
    <w:p w:rsidR="003867EE" w:rsidRPr="003867EE" w:rsidRDefault="003867EE" w:rsidP="003867EE">
      <w:pPr>
        <w:numPr>
          <w:ilvl w:val="0"/>
          <w:numId w:val="2"/>
        </w:numPr>
        <w:spacing w:after="0"/>
        <w:jc w:val="both"/>
      </w:pPr>
      <w:proofErr w:type="gramStart"/>
      <w:r>
        <w:t>r</w:t>
      </w:r>
      <w:r w:rsidRPr="003867EE">
        <w:t>éférence</w:t>
      </w:r>
      <w:proofErr w:type="gramEnd"/>
      <w:r w:rsidRPr="003867EE">
        <w:t xml:space="preserve"> bibliographique complète selon une norme bibliographique au choix </w:t>
      </w:r>
    </w:p>
    <w:p w:rsidR="003867EE" w:rsidRPr="003867EE" w:rsidRDefault="003867EE" w:rsidP="003867EE">
      <w:pPr>
        <w:numPr>
          <w:ilvl w:val="0"/>
          <w:numId w:val="2"/>
        </w:numPr>
        <w:spacing w:after="0"/>
        <w:jc w:val="both"/>
      </w:pPr>
      <w:proofErr w:type="gramStart"/>
      <w:r>
        <w:t>o</w:t>
      </w:r>
      <w:r w:rsidRPr="003867EE">
        <w:t>bjet</w:t>
      </w:r>
      <w:proofErr w:type="gramEnd"/>
      <w:r w:rsidRPr="003867EE">
        <w:t>/ thème du livre (ex. : évaluation, ingénierie pédagogique, …)</w:t>
      </w:r>
    </w:p>
    <w:p w:rsidR="003867EE" w:rsidRDefault="003867EE" w:rsidP="003867EE">
      <w:pPr>
        <w:numPr>
          <w:ilvl w:val="0"/>
          <w:numId w:val="2"/>
        </w:numPr>
        <w:spacing w:after="0"/>
        <w:jc w:val="both"/>
      </w:pPr>
      <w:proofErr w:type="gramStart"/>
      <w:r>
        <w:t>a</w:t>
      </w:r>
      <w:r w:rsidRPr="003867EE">
        <w:t>uteur</w:t>
      </w:r>
      <w:proofErr w:type="gramEnd"/>
      <w:r w:rsidRPr="003867EE">
        <w:t>(s) : présenter quelques caractéristiques</w:t>
      </w:r>
      <w:r>
        <w:t xml:space="preserve">, et citer certains de leurs autres ouvrages </w:t>
      </w:r>
    </w:p>
    <w:p w:rsidR="003867EE" w:rsidRDefault="003867EE" w:rsidP="003867EE">
      <w:pPr>
        <w:numPr>
          <w:ilvl w:val="0"/>
          <w:numId w:val="2"/>
        </w:numPr>
        <w:spacing w:after="0"/>
        <w:jc w:val="both"/>
      </w:pPr>
      <w:proofErr w:type="gramStart"/>
      <w:r>
        <w:t>résumé</w:t>
      </w:r>
      <w:proofErr w:type="gramEnd"/>
      <w:r>
        <w:t xml:space="preserve"> de l’ouvrage en quelques lignes</w:t>
      </w:r>
    </w:p>
    <w:p w:rsidR="003867EE" w:rsidRPr="003867EE" w:rsidRDefault="003867EE" w:rsidP="003867EE">
      <w:pPr>
        <w:numPr>
          <w:ilvl w:val="0"/>
          <w:numId w:val="2"/>
        </w:numPr>
        <w:spacing w:after="0"/>
        <w:jc w:val="both"/>
      </w:pPr>
      <w:proofErr w:type="gramStart"/>
      <w:r>
        <w:t>i</w:t>
      </w:r>
      <w:r w:rsidRPr="003867EE">
        <w:t>dées</w:t>
      </w:r>
      <w:proofErr w:type="gramEnd"/>
      <w:r w:rsidRPr="003867EE">
        <w:t xml:space="preserve"> principales</w:t>
      </w:r>
      <w:r>
        <w:t>, chapitre par chapitre</w:t>
      </w:r>
    </w:p>
    <w:p w:rsidR="003867EE" w:rsidRPr="003867EE" w:rsidRDefault="003867EE" w:rsidP="003867EE">
      <w:pPr>
        <w:numPr>
          <w:ilvl w:val="0"/>
          <w:numId w:val="2"/>
        </w:numPr>
        <w:spacing w:after="0"/>
        <w:jc w:val="both"/>
      </w:pPr>
      <w:proofErr w:type="gramStart"/>
      <w:r>
        <w:t>c</w:t>
      </w:r>
      <w:r w:rsidRPr="003867EE">
        <w:t>ourants</w:t>
      </w:r>
      <w:proofErr w:type="gramEnd"/>
      <w:r w:rsidRPr="003867EE">
        <w:t xml:space="preserve"> théoriques de référence</w:t>
      </w:r>
      <w:r>
        <w:t>, éventuellement</w:t>
      </w:r>
    </w:p>
    <w:p w:rsidR="003867EE" w:rsidRDefault="00441BBC" w:rsidP="003867EE">
      <w:pPr>
        <w:numPr>
          <w:ilvl w:val="0"/>
          <w:numId w:val="2"/>
        </w:numPr>
        <w:spacing w:after="0"/>
        <w:jc w:val="both"/>
      </w:pPr>
      <w:proofErr w:type="gramStart"/>
      <w:r>
        <w:t>vos</w:t>
      </w:r>
      <w:proofErr w:type="gramEnd"/>
      <w:r>
        <w:t xml:space="preserve"> remarques, vos commentaires personnels</w:t>
      </w:r>
    </w:p>
    <w:p w:rsidR="00441BBC" w:rsidRDefault="00441BBC" w:rsidP="00441BBC">
      <w:pPr>
        <w:spacing w:after="0"/>
        <w:jc w:val="both"/>
      </w:pPr>
      <w:r>
        <w:t xml:space="preserve">La fiche de lecture telle qu’elle est demandée ici </w:t>
      </w:r>
      <w:r w:rsidRPr="00441BBC">
        <w:rPr>
          <w:b/>
        </w:rPr>
        <w:t>ne doit pas laisser de place à l’interprétation personnelle</w:t>
      </w:r>
      <w:r>
        <w:t xml:space="preserve"> du lecteur. </w:t>
      </w:r>
    </w:p>
    <w:p w:rsidR="00C00BB9" w:rsidRDefault="00C00BB9" w:rsidP="00441BBC">
      <w:pPr>
        <w:spacing w:after="0"/>
        <w:jc w:val="both"/>
      </w:pPr>
    </w:p>
    <w:p w:rsidR="00736727" w:rsidRPr="00C00BB9" w:rsidRDefault="00736727" w:rsidP="009B4144">
      <w:pPr>
        <w:spacing w:before="240" w:after="0"/>
        <w:jc w:val="both"/>
        <w:rPr>
          <w:color w:val="002060"/>
          <w:sz w:val="28"/>
          <w:szCs w:val="28"/>
        </w:rPr>
      </w:pPr>
      <w:r w:rsidRPr="00C00BB9">
        <w:rPr>
          <w:color w:val="002060"/>
          <w:sz w:val="28"/>
          <w:szCs w:val="28"/>
        </w:rPr>
        <w:t>Consignes pour la présentation de la fiche de lecture</w:t>
      </w:r>
    </w:p>
    <w:p w:rsidR="00736727" w:rsidRDefault="00736727" w:rsidP="00736727">
      <w:pPr>
        <w:spacing w:before="240" w:after="0"/>
        <w:jc w:val="both"/>
      </w:pPr>
      <w:r>
        <w:t>Il s’agit de permettre à tous de profiter des lectures des uns et des autres, afin d’enrichir vos références théoriques.</w:t>
      </w:r>
    </w:p>
    <w:p w:rsidR="00736727" w:rsidRPr="003867EE" w:rsidRDefault="00736727" w:rsidP="00736727">
      <w:pPr>
        <w:spacing w:before="240" w:after="0"/>
        <w:jc w:val="both"/>
      </w:pPr>
      <w:r>
        <w:t>Sur les dates dédiées (inscrites plus bas dans le tableau d’inscription ou sur le calendrier), vous devrez résumer et présenter les idées principales de l’ouvrage. Vous disposerez de 15 minutes. Vous réaliserez la présentation selon la modalité de votre choix.</w:t>
      </w:r>
    </w:p>
    <w:p w:rsidR="009B4144" w:rsidRDefault="009B4144">
      <w:pPr>
        <w:rPr>
          <w:b/>
          <w:u w:val="single"/>
        </w:rPr>
      </w:pPr>
      <w:r>
        <w:rPr>
          <w:b/>
          <w:u w:val="single"/>
        </w:rPr>
        <w:br w:type="page"/>
      </w:r>
    </w:p>
    <w:p w:rsidR="003867EE" w:rsidRPr="00C00BB9" w:rsidRDefault="003867EE" w:rsidP="0095597C">
      <w:pPr>
        <w:spacing w:before="240"/>
        <w:jc w:val="both"/>
        <w:rPr>
          <w:color w:val="002060"/>
          <w:sz w:val="28"/>
          <w:szCs w:val="28"/>
        </w:rPr>
      </w:pPr>
      <w:r w:rsidRPr="00C00BB9">
        <w:rPr>
          <w:color w:val="002060"/>
          <w:sz w:val="28"/>
          <w:szCs w:val="28"/>
        </w:rPr>
        <w:lastRenderedPageBreak/>
        <w:t>Liste d’ouvrages recommandés</w:t>
      </w:r>
    </w:p>
    <w:p w:rsidR="00AD77DF" w:rsidRDefault="0002706F" w:rsidP="005C329C">
      <w:pPr>
        <w:jc w:val="both"/>
      </w:pPr>
      <w:r w:rsidRPr="00D86236">
        <w:t>Voici une liste d’ouvrages recommandés</w:t>
      </w:r>
      <w:r w:rsidR="00394FC0" w:rsidRPr="00D86236">
        <w:t xml:space="preserve"> </w:t>
      </w:r>
      <w:r w:rsidR="003867EE" w:rsidRPr="00D86236">
        <w:t>(</w:t>
      </w:r>
      <w:r w:rsidR="00394FC0" w:rsidRPr="00D86236">
        <w:t>vous pouvez proposer d’autres ouvrages professionnels</w:t>
      </w:r>
      <w:r w:rsidR="0095597C" w:rsidRPr="00D86236">
        <w:t>, sous couvert de validation par l’équipe pédagogique</w:t>
      </w:r>
      <w:r w:rsidR="003867EE" w:rsidRPr="00D86236">
        <w:t>)</w:t>
      </w:r>
      <w:r w:rsidRPr="00D86236">
        <w:t> :</w:t>
      </w:r>
    </w:p>
    <w:p w:rsidR="00C00BB9" w:rsidRDefault="00C00BB9" w:rsidP="005C329C">
      <w:pPr>
        <w:jc w:val="both"/>
      </w:pPr>
    </w:p>
    <w:p w:rsidR="00AD77DF" w:rsidRDefault="005C329C" w:rsidP="00AD77DF">
      <w:pPr>
        <w:rPr>
          <w:b/>
        </w:rPr>
      </w:pPr>
      <w:r w:rsidRPr="00B06A68">
        <w:rPr>
          <w:b/>
        </w:rPr>
        <w:t xml:space="preserve">MARTIN, </w:t>
      </w:r>
      <w:r>
        <w:rPr>
          <w:b/>
        </w:rPr>
        <w:t>J-P.</w:t>
      </w:r>
      <w:r w:rsidRPr="00B06A68">
        <w:rPr>
          <w:b/>
        </w:rPr>
        <w:t xml:space="preserve"> SAVARY, E</w:t>
      </w:r>
      <w:r>
        <w:rPr>
          <w:b/>
        </w:rPr>
        <w:t>.</w:t>
      </w:r>
      <w:r w:rsidRPr="00B06A68">
        <w:rPr>
          <w:b/>
        </w:rPr>
        <w:t>-</w:t>
      </w:r>
      <w:r w:rsidRPr="005C329C">
        <w:t xml:space="preserve"> :</w:t>
      </w:r>
      <w:r w:rsidR="00AD77DF" w:rsidRPr="005C329C">
        <w:t xml:space="preserve"> </w:t>
      </w:r>
      <w:r w:rsidRPr="005C329C">
        <w:rPr>
          <w:b/>
          <w:i/>
        </w:rPr>
        <w:t>Formateur d'adultes se professionnaliser exercer au quotidien</w:t>
      </w:r>
      <w:r>
        <w:t xml:space="preserve"> </w:t>
      </w:r>
      <w:r w:rsidRPr="005C329C">
        <w:t xml:space="preserve">Lyon [France] </w:t>
      </w:r>
      <w:r w:rsidR="00AD77DF" w:rsidRPr="005C329C">
        <w:t>Chronique Sociale ; Bruxelles [Belgique] 2008 et 2013</w:t>
      </w:r>
      <w:r>
        <w:t>– 5</w:t>
      </w:r>
      <w:r w:rsidRPr="00B06A68">
        <w:rPr>
          <w:vertAlign w:val="superscript"/>
        </w:rPr>
        <w:t>ème</w:t>
      </w:r>
      <w:r>
        <w:t xml:space="preserve"> et 7</w:t>
      </w:r>
      <w:r w:rsidRPr="00A81398">
        <w:rPr>
          <w:vertAlign w:val="superscript"/>
        </w:rPr>
        <w:t>ème</w:t>
      </w:r>
      <w:r>
        <w:t xml:space="preserve"> édition</w:t>
      </w:r>
    </w:p>
    <w:p w:rsidR="00AD77DF" w:rsidRDefault="00AD77DF" w:rsidP="00AD77DF">
      <w:r w:rsidRPr="00CB56BF">
        <w:rPr>
          <w:noProof/>
          <w:sz w:val="16"/>
        </w:rPr>
        <w:drawing>
          <wp:anchor distT="0" distB="0" distL="114300" distR="114300" simplePos="0" relativeHeight="251663360" behindDoc="0" locked="0" layoutInCell="1" allowOverlap="1" wp14:anchorId="4C408E6C" wp14:editId="63A49C60">
            <wp:simplePos x="0" y="0"/>
            <wp:positionH relativeFrom="margin">
              <wp:align>left</wp:align>
            </wp:positionH>
            <wp:positionV relativeFrom="paragraph">
              <wp:posOffset>61595</wp:posOffset>
            </wp:positionV>
            <wp:extent cx="817245" cy="1200150"/>
            <wp:effectExtent l="0" t="0" r="1905" b="0"/>
            <wp:wrapSquare wrapText="bothSides"/>
            <wp:docPr id="19" name="imgBlkFront" descr="https://images-na.ssl-images-amazon.com/images/I/41KG4CGxaSL._SX338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41KG4CGxaSL._SX338_BO1,204,203,200_.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7245"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r>
        <w:t>La formation, confrontée aux évolutions du travail, de l'emploi et de la vie sociale, exige des praticiens rigueur, implication professionnalisme - Cet ouvrage leur fournit les repères théoriques et méthodologiques nécessaires - Le formateur, débutant, expérimenté ou en cours de formation, trouvera les éléments pour analyser sa pratique, l'étayer, la diversifier - L'ouvrage s'appuie sur de nombreux exemples, exercices et études de cas pour présenter les idées-clés - Il propose des pistes d'approfondissement diversifiées.</w:t>
      </w:r>
    </w:p>
    <w:p w:rsidR="000D29FB" w:rsidRPr="00D86236" w:rsidRDefault="000D29FB" w:rsidP="000D29FB">
      <w:pPr>
        <w:spacing w:after="0" w:line="240" w:lineRule="auto"/>
        <w:jc w:val="both"/>
        <w:rPr>
          <w:rFonts w:cs="Calibri"/>
        </w:rPr>
      </w:pPr>
      <w:r w:rsidRPr="00AD77DF">
        <w:rPr>
          <w:rFonts w:cs="Calibri"/>
          <w:b/>
        </w:rPr>
        <w:t xml:space="preserve">NOYÉ D., PIVETEAU J., </w:t>
      </w:r>
      <w:r w:rsidRPr="00AD77DF">
        <w:rPr>
          <w:rFonts w:cs="Calibri"/>
          <w:b/>
          <w:i/>
          <w:iCs/>
        </w:rPr>
        <w:t>Guide pratique du formateur</w:t>
      </w:r>
      <w:r w:rsidR="00AD77DF">
        <w:rPr>
          <w:rFonts w:cs="Calibri"/>
          <w:b/>
          <w:i/>
          <w:iCs/>
        </w:rPr>
        <w:t xml:space="preserve"> </w:t>
      </w:r>
      <w:r w:rsidRPr="00D86236">
        <w:rPr>
          <w:rFonts w:cs="Calibri"/>
          <w:i/>
          <w:iCs/>
        </w:rPr>
        <w:t xml:space="preserve">: Concevoir, animer, </w:t>
      </w:r>
      <w:proofErr w:type="spellStart"/>
      <w:r w:rsidRPr="00D86236">
        <w:rPr>
          <w:rFonts w:cs="Calibri"/>
          <w:i/>
          <w:iCs/>
        </w:rPr>
        <w:t>évaluer</w:t>
      </w:r>
      <w:proofErr w:type="spellEnd"/>
      <w:r w:rsidRPr="00D86236">
        <w:rPr>
          <w:rFonts w:cs="Calibri"/>
          <w:i/>
          <w:iCs/>
        </w:rPr>
        <w:t xml:space="preserve"> une formation</w:t>
      </w:r>
      <w:r w:rsidRPr="00D86236">
        <w:rPr>
          <w:rFonts w:cs="Calibri"/>
        </w:rPr>
        <w:t xml:space="preserve">. Paris : INSEP Consulting </w:t>
      </w:r>
      <w:proofErr w:type="spellStart"/>
      <w:r w:rsidRPr="00D86236">
        <w:rPr>
          <w:rFonts w:cs="Calibri"/>
        </w:rPr>
        <w:t>Éditions</w:t>
      </w:r>
      <w:proofErr w:type="spellEnd"/>
      <w:r w:rsidRPr="00D86236">
        <w:rPr>
          <w:rFonts w:cs="Calibri"/>
        </w:rPr>
        <w:t xml:space="preserve"> ; 2013. </w:t>
      </w:r>
    </w:p>
    <w:p w:rsidR="000D29FB" w:rsidRPr="00D86236" w:rsidRDefault="000D29FB" w:rsidP="000D29FB">
      <w:pPr>
        <w:spacing w:after="240" w:line="240" w:lineRule="auto"/>
        <w:jc w:val="both"/>
        <w:rPr>
          <w:rFonts w:cs="Calibri"/>
          <w:i/>
        </w:rPr>
      </w:pPr>
      <w:r w:rsidRPr="00D86236">
        <w:rPr>
          <w:rFonts w:cs="Calibri"/>
          <w:i/>
        </w:rPr>
        <w:t>Ouvrage très complet, à la fois très documenté et très concret. L’un des ouvrages fondamentaux pour tout formateur occasionnel débutant.</w:t>
      </w:r>
    </w:p>
    <w:p w:rsidR="000D29FB" w:rsidRPr="00D86236" w:rsidRDefault="000D29FB" w:rsidP="000D29FB">
      <w:pPr>
        <w:spacing w:before="240" w:after="0" w:line="240" w:lineRule="auto"/>
        <w:jc w:val="both"/>
        <w:rPr>
          <w:rFonts w:cs="Calibri"/>
        </w:rPr>
      </w:pPr>
      <w:r w:rsidRPr="000D29FB">
        <w:rPr>
          <w:rFonts w:cs="Calibri"/>
          <w:b/>
        </w:rPr>
        <w:t>BELLIER S.,</w:t>
      </w:r>
      <w:r w:rsidRPr="00D86236">
        <w:rPr>
          <w:rFonts w:cs="Calibri"/>
        </w:rPr>
        <w:t xml:space="preserve"> </w:t>
      </w:r>
      <w:r w:rsidR="00924464" w:rsidRPr="005C329C">
        <w:rPr>
          <w:rFonts w:cs="Calibri"/>
          <w:b/>
          <w:i/>
          <w:iCs/>
        </w:rPr>
        <w:t>Ingénierie</w:t>
      </w:r>
      <w:r w:rsidRPr="005C329C">
        <w:rPr>
          <w:rFonts w:cs="Calibri"/>
          <w:b/>
          <w:i/>
          <w:iCs/>
        </w:rPr>
        <w:t xml:space="preserve"> en formation d’adultes</w:t>
      </w:r>
      <w:r w:rsidRPr="00D86236">
        <w:rPr>
          <w:rFonts w:cs="Calibri"/>
        </w:rPr>
        <w:t xml:space="preserve">. Rueil-Malmaison : Ed. Liaisons, 2002. </w:t>
      </w:r>
    </w:p>
    <w:p w:rsidR="000D29FB" w:rsidRPr="00D86236" w:rsidRDefault="000D29FB" w:rsidP="000D29FB">
      <w:pPr>
        <w:spacing w:after="240" w:line="240" w:lineRule="auto"/>
        <w:jc w:val="both"/>
        <w:rPr>
          <w:rFonts w:cs="Calibri"/>
          <w:i/>
        </w:rPr>
      </w:pPr>
      <w:r w:rsidRPr="00D86236">
        <w:rPr>
          <w:rFonts w:cs="Calibri"/>
          <w:i/>
        </w:rPr>
        <w:t>Précis théorique et pratique : excellente synthèse des points de repères à prendre en compte dans la formation pour adultes.</w:t>
      </w:r>
    </w:p>
    <w:p w:rsidR="000D29FB" w:rsidRPr="00D86236" w:rsidRDefault="000D29FB" w:rsidP="000D29FB">
      <w:pPr>
        <w:spacing w:after="0" w:line="240" w:lineRule="auto"/>
        <w:jc w:val="both"/>
      </w:pPr>
      <w:r w:rsidRPr="000D29FB">
        <w:rPr>
          <w:rFonts w:cs="Calibri"/>
          <w:b/>
        </w:rPr>
        <w:t>CARRE P</w:t>
      </w:r>
      <w:r w:rsidRPr="000D29FB">
        <w:rPr>
          <w:b/>
        </w:rPr>
        <w:t>.,</w:t>
      </w:r>
      <w:r w:rsidRPr="00D86236">
        <w:t xml:space="preserve"> </w:t>
      </w:r>
      <w:r w:rsidRPr="00D86236">
        <w:rPr>
          <w:i/>
        </w:rPr>
        <w:t xml:space="preserve">L’apprenance, </w:t>
      </w:r>
      <w:r w:rsidRPr="005C329C">
        <w:rPr>
          <w:b/>
          <w:i/>
        </w:rPr>
        <w:t>Vers un nouveau rapport au savoir</w:t>
      </w:r>
      <w:r w:rsidRPr="00D86236">
        <w:t>, Ed. Dunod ; 2005</w:t>
      </w:r>
    </w:p>
    <w:p w:rsidR="000D29FB" w:rsidRDefault="00924464" w:rsidP="000D29FB">
      <w:pPr>
        <w:spacing w:after="0" w:line="240" w:lineRule="auto"/>
        <w:jc w:val="both"/>
        <w:rPr>
          <w:rFonts w:cs="Calibri"/>
          <w:i/>
        </w:rPr>
      </w:pPr>
      <w:r w:rsidRPr="00D86236">
        <w:rPr>
          <w:rFonts w:cs="Calibri"/>
          <w:i/>
        </w:rPr>
        <w:t>« L’apprenance »</w:t>
      </w:r>
      <w:r w:rsidR="000D29FB" w:rsidRPr="00D86236">
        <w:rPr>
          <w:rFonts w:cs="Calibri"/>
          <w:i/>
        </w:rPr>
        <w:t xml:space="preserve"> tend à se substituer au terme</w:t>
      </w:r>
      <w:r w:rsidRPr="00D86236">
        <w:rPr>
          <w:rFonts w:cs="Calibri"/>
          <w:i/>
        </w:rPr>
        <w:t xml:space="preserve"> « d’apprentissage »</w:t>
      </w:r>
      <w:r w:rsidR="000D29FB" w:rsidRPr="00D86236">
        <w:rPr>
          <w:rFonts w:cs="Calibri"/>
          <w:i/>
        </w:rPr>
        <w:t xml:space="preserve"> et désigne l'acte d'apprendre envisagé dans sa dynamique et ses composants. Cet ouvrage propose un inventaire détaillé de ce concept</w:t>
      </w:r>
      <w:r w:rsidRPr="00D86236">
        <w:rPr>
          <w:rFonts w:cs="Calibri"/>
          <w:i/>
        </w:rPr>
        <w:t xml:space="preserve"> « fédérateur »</w:t>
      </w:r>
      <w:r w:rsidR="000D29FB" w:rsidRPr="00D86236">
        <w:rPr>
          <w:rFonts w:cs="Calibri"/>
          <w:i/>
        </w:rPr>
        <w:t xml:space="preserve"> pour répondre aux questions : pourquoi, comment et où apprendre</w:t>
      </w:r>
    </w:p>
    <w:p w:rsidR="00924464" w:rsidRDefault="00924464" w:rsidP="000D29FB">
      <w:pPr>
        <w:spacing w:after="0" w:line="240" w:lineRule="auto"/>
        <w:jc w:val="both"/>
        <w:rPr>
          <w:rFonts w:cs="Calibri"/>
          <w:i/>
        </w:rPr>
      </w:pPr>
    </w:p>
    <w:p w:rsidR="00924464" w:rsidRPr="00924464" w:rsidRDefault="00924464" w:rsidP="00025BB3">
      <w:pPr>
        <w:spacing w:after="120" w:line="240" w:lineRule="auto"/>
        <w:jc w:val="both"/>
        <w:rPr>
          <w:rFonts w:cs="Calibri"/>
          <w:b/>
          <w:i/>
          <w:iCs/>
        </w:rPr>
      </w:pPr>
      <w:r>
        <w:rPr>
          <w:rFonts w:cs="Calibri"/>
          <w:b/>
          <w:i/>
          <w:iCs/>
        </w:rPr>
        <w:t xml:space="preserve">CRISTOL D., </w:t>
      </w:r>
      <w:r w:rsidRPr="00924464">
        <w:rPr>
          <w:rFonts w:cs="Calibri"/>
          <w:b/>
          <w:i/>
          <w:iCs/>
        </w:rPr>
        <w:t>Former, se former et apprendre à l'ère numérique</w:t>
      </w:r>
      <w:r w:rsidR="00025BB3" w:rsidRPr="00025BB3">
        <w:t xml:space="preserve"> </w:t>
      </w:r>
      <w:r w:rsidR="00025BB3" w:rsidRPr="00025BB3">
        <w:rPr>
          <w:rFonts w:cs="Calibri"/>
          <w:i/>
          <w:iCs/>
        </w:rPr>
        <w:t>Ed. ESF Editeur, 201</w:t>
      </w:r>
      <w:r w:rsidR="00025BB3">
        <w:rPr>
          <w:rFonts w:cs="Calibri"/>
          <w:i/>
          <w:iCs/>
        </w:rPr>
        <w:t>9</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3"/>
        <w:gridCol w:w="7263"/>
      </w:tblGrid>
      <w:tr w:rsidR="00924464" w:rsidTr="00025BB3">
        <w:tc>
          <w:tcPr>
            <w:tcW w:w="2235" w:type="dxa"/>
          </w:tcPr>
          <w:p w:rsidR="00924464" w:rsidRDefault="00924464" w:rsidP="000D29FB">
            <w:pPr>
              <w:spacing w:before="240"/>
              <w:jc w:val="both"/>
              <w:rPr>
                <w:rFonts w:cs="Calibri"/>
                <w:b/>
              </w:rPr>
            </w:pPr>
            <w:r w:rsidRPr="00924464">
              <w:rPr>
                <w:rFonts w:cs="Calibri"/>
                <w:b/>
                <w:noProof/>
              </w:rPr>
              <w:drawing>
                <wp:inline distT="0" distB="0" distL="0" distR="0" wp14:anchorId="51BD5978" wp14:editId="6A935BDF">
                  <wp:extent cx="1247775" cy="152453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147" cy="1535988"/>
                          </a:xfrm>
                          <a:prstGeom prst="rect">
                            <a:avLst/>
                          </a:prstGeom>
                        </pic:spPr>
                      </pic:pic>
                    </a:graphicData>
                  </a:graphic>
                </wp:inline>
              </w:drawing>
            </w:r>
          </w:p>
        </w:tc>
        <w:tc>
          <w:tcPr>
            <w:tcW w:w="7401" w:type="dxa"/>
          </w:tcPr>
          <w:p w:rsidR="00025BB3" w:rsidRPr="00025BB3" w:rsidRDefault="00025BB3" w:rsidP="00025BB3">
            <w:pPr>
              <w:jc w:val="both"/>
              <w:rPr>
                <w:rFonts w:asciiTheme="minorHAnsi" w:eastAsiaTheme="minorHAnsi" w:hAnsiTheme="minorHAnsi" w:cs="Calibri"/>
                <w:i/>
                <w:sz w:val="22"/>
                <w:szCs w:val="22"/>
                <w:lang w:eastAsia="en-US"/>
              </w:rPr>
            </w:pPr>
            <w:r w:rsidRPr="00025BB3">
              <w:rPr>
                <w:rFonts w:asciiTheme="minorHAnsi" w:eastAsiaTheme="minorHAnsi" w:hAnsiTheme="minorHAnsi" w:cs="Calibri"/>
                <w:i/>
                <w:sz w:val="22"/>
                <w:szCs w:val="22"/>
                <w:lang w:eastAsia="en-US"/>
              </w:rPr>
              <w:t>Face à la déferlante numérique, </w:t>
            </w:r>
            <w:r w:rsidRPr="00025BB3">
              <w:rPr>
                <w:rFonts w:asciiTheme="minorHAnsi" w:eastAsiaTheme="minorHAnsi" w:hAnsiTheme="minorHAnsi" w:cs="Calibri"/>
                <w:b/>
                <w:bCs/>
                <w:i/>
                <w:sz w:val="22"/>
                <w:szCs w:val="22"/>
                <w:lang w:eastAsia="en-US"/>
              </w:rPr>
              <w:t>les façons d’enseigner et d’apprendre se transforment, laissant la place à plus d’apprentissages informels et d’innovation pédagogique</w:t>
            </w:r>
            <w:r w:rsidRPr="00025BB3">
              <w:rPr>
                <w:rFonts w:asciiTheme="minorHAnsi" w:eastAsiaTheme="minorHAnsi" w:hAnsiTheme="minorHAnsi" w:cs="Calibri"/>
                <w:i/>
                <w:sz w:val="22"/>
                <w:szCs w:val="22"/>
                <w:lang w:eastAsia="en-US"/>
              </w:rPr>
              <w:t>. Cet ouvrage rend accessibles les fondements de ces évolutions sociales, numériques, cognitives, économiques…</w:t>
            </w:r>
          </w:p>
          <w:p w:rsidR="00025BB3" w:rsidRPr="00025BB3" w:rsidRDefault="00025BB3" w:rsidP="00025BB3">
            <w:pPr>
              <w:jc w:val="both"/>
              <w:rPr>
                <w:rFonts w:asciiTheme="minorHAnsi" w:eastAsiaTheme="minorHAnsi" w:hAnsiTheme="minorHAnsi" w:cs="Calibri"/>
                <w:i/>
                <w:sz w:val="22"/>
                <w:szCs w:val="22"/>
                <w:lang w:eastAsia="en-US"/>
              </w:rPr>
            </w:pPr>
            <w:r w:rsidRPr="00025BB3">
              <w:rPr>
                <w:rFonts w:asciiTheme="minorHAnsi" w:eastAsiaTheme="minorHAnsi" w:hAnsiTheme="minorHAnsi" w:cs="Calibri"/>
                <w:i/>
                <w:sz w:val="22"/>
                <w:szCs w:val="22"/>
                <w:lang w:eastAsia="en-US"/>
              </w:rPr>
              <w:t xml:space="preserve">Denis </w:t>
            </w:r>
            <w:proofErr w:type="spellStart"/>
            <w:r w:rsidRPr="00025BB3">
              <w:rPr>
                <w:rFonts w:asciiTheme="minorHAnsi" w:eastAsiaTheme="minorHAnsi" w:hAnsiTheme="minorHAnsi" w:cs="Calibri"/>
                <w:i/>
                <w:sz w:val="22"/>
                <w:szCs w:val="22"/>
                <w:lang w:eastAsia="en-US"/>
              </w:rPr>
              <w:t>Cristol</w:t>
            </w:r>
            <w:proofErr w:type="spellEnd"/>
            <w:r w:rsidRPr="00025BB3">
              <w:rPr>
                <w:rFonts w:asciiTheme="minorHAnsi" w:eastAsiaTheme="minorHAnsi" w:hAnsiTheme="minorHAnsi" w:cs="Calibri"/>
                <w:i/>
                <w:sz w:val="22"/>
                <w:szCs w:val="22"/>
                <w:lang w:eastAsia="en-US"/>
              </w:rPr>
              <w:t> développe le sujet en quatre parties :</w:t>
            </w:r>
          </w:p>
          <w:p w:rsidR="00025BB3" w:rsidRPr="00025BB3" w:rsidRDefault="00025BB3" w:rsidP="00025BB3">
            <w:pPr>
              <w:jc w:val="both"/>
              <w:rPr>
                <w:rFonts w:asciiTheme="minorHAnsi" w:eastAsiaTheme="minorHAnsi" w:hAnsiTheme="minorHAnsi" w:cs="Calibri"/>
                <w:i/>
                <w:sz w:val="22"/>
                <w:szCs w:val="22"/>
                <w:lang w:eastAsia="en-US"/>
              </w:rPr>
            </w:pPr>
            <w:r w:rsidRPr="00025BB3">
              <w:rPr>
                <w:rFonts w:asciiTheme="minorHAnsi" w:eastAsiaTheme="minorHAnsi" w:hAnsiTheme="minorHAnsi" w:cs="Calibri"/>
                <w:i/>
                <w:sz w:val="22"/>
                <w:szCs w:val="22"/>
                <w:lang w:eastAsia="en-US"/>
              </w:rPr>
              <w:t>• Il redonne le sens du savoir comme un rapport à soi, aux autres et au monde ;</w:t>
            </w:r>
          </w:p>
          <w:p w:rsidR="00025BB3" w:rsidRPr="00025BB3" w:rsidRDefault="00025BB3" w:rsidP="00025BB3">
            <w:pPr>
              <w:jc w:val="both"/>
              <w:rPr>
                <w:rFonts w:asciiTheme="minorHAnsi" w:eastAsiaTheme="minorHAnsi" w:hAnsiTheme="minorHAnsi" w:cs="Calibri"/>
                <w:i/>
                <w:sz w:val="22"/>
                <w:szCs w:val="22"/>
                <w:lang w:eastAsia="en-US"/>
              </w:rPr>
            </w:pPr>
            <w:r w:rsidRPr="00025BB3">
              <w:rPr>
                <w:rFonts w:asciiTheme="minorHAnsi" w:eastAsiaTheme="minorHAnsi" w:hAnsiTheme="minorHAnsi" w:cs="Calibri"/>
                <w:i/>
                <w:sz w:val="22"/>
                <w:szCs w:val="22"/>
                <w:lang w:eastAsia="en-US"/>
              </w:rPr>
              <w:t>• Il repositionne les approches classiques des apprentissages pour penser l’évolution du stage vers les écosystèmes d’apprentissage ;</w:t>
            </w:r>
          </w:p>
          <w:p w:rsidR="00025BB3" w:rsidRPr="00025BB3" w:rsidRDefault="00025BB3" w:rsidP="00025BB3">
            <w:pPr>
              <w:jc w:val="both"/>
              <w:rPr>
                <w:rFonts w:asciiTheme="minorHAnsi" w:eastAsiaTheme="minorHAnsi" w:hAnsiTheme="minorHAnsi" w:cs="Calibri"/>
                <w:i/>
                <w:sz w:val="22"/>
                <w:szCs w:val="22"/>
                <w:lang w:eastAsia="en-US"/>
              </w:rPr>
            </w:pPr>
            <w:r w:rsidRPr="00025BB3">
              <w:rPr>
                <w:rFonts w:asciiTheme="minorHAnsi" w:eastAsiaTheme="minorHAnsi" w:hAnsiTheme="minorHAnsi" w:cs="Calibri"/>
                <w:i/>
                <w:sz w:val="22"/>
                <w:szCs w:val="22"/>
                <w:lang w:eastAsia="en-US"/>
              </w:rPr>
              <w:t>• Il propose de transformer des environnements afin de les rendre apprenants (architecture des bâtiments, interactions sociales et espaces numériques) ;</w:t>
            </w:r>
          </w:p>
          <w:p w:rsidR="00025BB3" w:rsidRPr="00025BB3" w:rsidRDefault="00025BB3" w:rsidP="00025BB3">
            <w:pPr>
              <w:jc w:val="both"/>
              <w:rPr>
                <w:rFonts w:asciiTheme="minorHAnsi" w:eastAsiaTheme="minorHAnsi" w:hAnsiTheme="minorHAnsi" w:cs="Calibri"/>
                <w:i/>
                <w:sz w:val="22"/>
                <w:szCs w:val="22"/>
                <w:lang w:eastAsia="en-US"/>
              </w:rPr>
            </w:pPr>
            <w:r w:rsidRPr="00025BB3">
              <w:rPr>
                <w:rFonts w:asciiTheme="minorHAnsi" w:eastAsiaTheme="minorHAnsi" w:hAnsiTheme="minorHAnsi" w:cs="Calibri"/>
                <w:i/>
                <w:sz w:val="22"/>
                <w:szCs w:val="22"/>
                <w:lang w:eastAsia="en-US"/>
              </w:rPr>
              <w:t>• Il traite des nouvelles postures des formateurs comme facilitateurs du savoir et donne des repères pour développer l’intelligence collective.</w:t>
            </w:r>
          </w:p>
          <w:p w:rsidR="00025BB3" w:rsidRPr="00025BB3" w:rsidRDefault="00025BB3" w:rsidP="00025BB3">
            <w:pPr>
              <w:jc w:val="both"/>
              <w:rPr>
                <w:rFonts w:asciiTheme="minorHAnsi" w:eastAsiaTheme="minorHAnsi" w:hAnsiTheme="minorHAnsi" w:cs="Calibri"/>
                <w:i/>
                <w:sz w:val="22"/>
                <w:szCs w:val="22"/>
                <w:lang w:eastAsia="en-US"/>
              </w:rPr>
            </w:pPr>
            <w:r w:rsidRPr="00025BB3">
              <w:rPr>
                <w:rFonts w:asciiTheme="minorHAnsi" w:eastAsiaTheme="minorHAnsi" w:hAnsiTheme="minorHAnsi" w:cs="Calibri"/>
                <w:i/>
                <w:sz w:val="22"/>
                <w:szCs w:val="22"/>
                <w:lang w:eastAsia="en-US"/>
              </w:rPr>
              <w:t>Ce manuel de référence sur le social learning donne les clés pour décider de nouvelles stratégies, enrichir et recombiner des pratiques pédagogiques à l’ère du numérique. Il est régulièrement mis à jour pour tenir compte des évolutions des usages et des techniques.</w:t>
            </w:r>
          </w:p>
          <w:p w:rsidR="00924464" w:rsidRPr="00025BB3" w:rsidRDefault="00924464" w:rsidP="00025BB3">
            <w:pPr>
              <w:jc w:val="both"/>
              <w:rPr>
                <w:rFonts w:asciiTheme="minorHAnsi" w:eastAsiaTheme="minorHAnsi" w:hAnsiTheme="minorHAnsi" w:cs="Calibri"/>
                <w:i/>
                <w:sz w:val="22"/>
                <w:szCs w:val="22"/>
                <w:lang w:eastAsia="en-US"/>
              </w:rPr>
            </w:pPr>
          </w:p>
        </w:tc>
      </w:tr>
    </w:tbl>
    <w:p w:rsidR="00924464" w:rsidRDefault="00924464" w:rsidP="000D29FB">
      <w:pPr>
        <w:spacing w:before="240" w:after="0" w:line="240" w:lineRule="auto"/>
        <w:jc w:val="both"/>
        <w:rPr>
          <w:rFonts w:cs="Calibri"/>
          <w:b/>
        </w:rPr>
      </w:pPr>
    </w:p>
    <w:p w:rsidR="000D29FB" w:rsidRPr="00D86236" w:rsidRDefault="000D29FB" w:rsidP="000D29FB">
      <w:pPr>
        <w:spacing w:before="240" w:after="0" w:line="240" w:lineRule="auto"/>
        <w:jc w:val="both"/>
        <w:rPr>
          <w:rFonts w:cs="Calibri"/>
        </w:rPr>
      </w:pPr>
      <w:r w:rsidRPr="000D29FB">
        <w:rPr>
          <w:rFonts w:cs="Calibri"/>
          <w:b/>
        </w:rPr>
        <w:t>BARTH B-M.,</w:t>
      </w:r>
      <w:r w:rsidRPr="00D86236">
        <w:rPr>
          <w:rFonts w:cs="Calibri"/>
        </w:rPr>
        <w:t xml:space="preserve"> </w:t>
      </w:r>
      <w:r w:rsidRPr="005C329C">
        <w:rPr>
          <w:rFonts w:cs="Calibri"/>
          <w:b/>
          <w:i/>
          <w:iCs/>
        </w:rPr>
        <w:t>L’apprentissage de l’abstraction</w:t>
      </w:r>
      <w:r w:rsidRPr="00D86236">
        <w:rPr>
          <w:rFonts w:cs="Calibri"/>
        </w:rPr>
        <w:t xml:space="preserve">. Paris : Retz ; 1988. </w:t>
      </w:r>
    </w:p>
    <w:p w:rsidR="000D29FB" w:rsidRPr="00D86236" w:rsidRDefault="000D29FB" w:rsidP="000D29FB">
      <w:pPr>
        <w:spacing w:after="240" w:line="240" w:lineRule="auto"/>
        <w:jc w:val="both"/>
        <w:rPr>
          <w:rFonts w:cs="Calibri"/>
          <w:i/>
        </w:rPr>
      </w:pPr>
      <w:r w:rsidRPr="00D86236">
        <w:rPr>
          <w:rFonts w:cs="Calibri"/>
          <w:i/>
        </w:rPr>
        <w:t>L’approche-concept : des repères théoriques solides et de nombreux exemples pratiques pour mettre en place une pédagogie centrée sur l’apprenant. Ouvrage fondamental pour qui s’interroge sur l’apprentissage des concepts.</w:t>
      </w:r>
    </w:p>
    <w:p w:rsidR="00AD77DF" w:rsidRPr="00924464" w:rsidRDefault="005C329C" w:rsidP="00AD77DF">
      <w:pPr>
        <w:rPr>
          <w:rFonts w:eastAsiaTheme="majorEastAsia"/>
          <w:i/>
        </w:rPr>
      </w:pPr>
      <w:r w:rsidRPr="00A85C8F">
        <w:rPr>
          <w:rFonts w:eastAsiaTheme="majorEastAsia"/>
          <w:b/>
        </w:rPr>
        <w:t>MUSIAL, M</w:t>
      </w:r>
      <w:r w:rsidR="00924464">
        <w:rPr>
          <w:rFonts w:eastAsiaTheme="majorEastAsia"/>
          <w:b/>
        </w:rPr>
        <w:t>.</w:t>
      </w:r>
      <w:r w:rsidRPr="00A85C8F">
        <w:rPr>
          <w:rFonts w:eastAsiaTheme="majorEastAsia"/>
          <w:b/>
        </w:rPr>
        <w:t xml:space="preserve"> TRICOT A</w:t>
      </w:r>
      <w:r w:rsidR="00924464">
        <w:rPr>
          <w:rFonts w:eastAsiaTheme="majorEastAsia"/>
          <w:b/>
        </w:rPr>
        <w:t>.</w:t>
      </w:r>
      <w:r w:rsidRPr="00A85C8F">
        <w:rPr>
          <w:rFonts w:eastAsiaTheme="majorEastAsia"/>
          <w:b/>
        </w:rPr>
        <w:t>,</w:t>
      </w:r>
      <w:r w:rsidR="00AD77DF" w:rsidRPr="00A85C8F">
        <w:rPr>
          <w:rFonts w:eastAsiaTheme="majorEastAsia"/>
          <w:b/>
        </w:rPr>
        <w:t xml:space="preserve"> </w:t>
      </w:r>
      <w:r w:rsidR="00924464" w:rsidRPr="00924464">
        <w:rPr>
          <w:rFonts w:eastAsiaTheme="majorEastAsia"/>
          <w:b/>
          <w:i/>
        </w:rPr>
        <w:t>Précis d'ingénierie pédagogique</w:t>
      </w:r>
      <w:r w:rsidR="00924464" w:rsidRPr="00924464">
        <w:rPr>
          <w:rFonts w:eastAsiaTheme="majorEastAsia"/>
          <w:b/>
        </w:rPr>
        <w:t xml:space="preserve"> </w:t>
      </w:r>
      <w:r w:rsidRPr="00924464">
        <w:rPr>
          <w:rFonts w:eastAsiaTheme="majorEastAsia"/>
        </w:rPr>
        <w:t>de Boeck supérieur</w:t>
      </w:r>
      <w:r w:rsidR="00AD77DF" w:rsidRPr="00924464">
        <w:rPr>
          <w:rFonts w:eastAsiaTheme="majorEastAsia"/>
        </w:rPr>
        <w:t>, 02/2020.</w:t>
      </w:r>
      <w:r w:rsidRPr="00924464">
        <w:t xml:space="preserve"> </w:t>
      </w:r>
    </w:p>
    <w:p w:rsidR="00AD77DF" w:rsidRDefault="00AD77DF" w:rsidP="005C329C">
      <w:pPr>
        <w:rPr>
          <w:rFonts w:eastAsiaTheme="majorEastAsia"/>
        </w:rPr>
      </w:pPr>
      <w:r>
        <w:rPr>
          <w:noProof/>
        </w:rPr>
        <w:drawing>
          <wp:anchor distT="0" distB="0" distL="114300" distR="114300" simplePos="0" relativeHeight="251665408" behindDoc="0" locked="0" layoutInCell="1" allowOverlap="1" wp14:anchorId="481D0F7E" wp14:editId="1DE840BF">
            <wp:simplePos x="0" y="0"/>
            <wp:positionH relativeFrom="margin">
              <wp:align>left</wp:align>
            </wp:positionH>
            <wp:positionV relativeFrom="paragraph">
              <wp:posOffset>40005</wp:posOffset>
            </wp:positionV>
            <wp:extent cx="635000" cy="952500"/>
            <wp:effectExtent l="0" t="0" r="0" b="0"/>
            <wp:wrapSquare wrapText="bothSides"/>
            <wp:docPr id="16" name="Image 16" descr="couverture 9782807324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verture 97828073241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50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C8F">
        <w:rPr>
          <w:rFonts w:eastAsiaTheme="majorEastAsia"/>
        </w:rPr>
        <w:t xml:space="preserve">Associant l'approche didactique à celle pédagogique, ce </w:t>
      </w:r>
      <w:r>
        <w:rPr>
          <w:rFonts w:eastAsiaTheme="majorEastAsia"/>
        </w:rPr>
        <w:t xml:space="preserve">précis contient une théorie en 3 </w:t>
      </w:r>
      <w:r w:rsidRPr="00A85C8F">
        <w:rPr>
          <w:rFonts w:eastAsiaTheme="majorEastAsia"/>
        </w:rPr>
        <w:t>actes : apprendre, enseigner et concevoir un enseignement.</w:t>
      </w:r>
      <w:r>
        <w:rPr>
          <w:rFonts w:eastAsiaTheme="majorEastAsia"/>
        </w:rPr>
        <w:t xml:space="preserve"> </w:t>
      </w:r>
      <w:r w:rsidRPr="00A85C8F">
        <w:rPr>
          <w:rFonts w:eastAsiaTheme="majorEastAsia"/>
        </w:rPr>
        <w:t>La « Théorie des 3 actes » est un cadre prescriptif sur le « Comment s'y prendre » pour « faire apprendre » sachant ce qu'est « apprendre », en accord avec les résultats des recherches empiriques actuelles en sciences cognitives. L'ouvrage propose 11 exemples applications de cette théorie-prescript</w:t>
      </w:r>
      <w:r>
        <w:rPr>
          <w:rFonts w:eastAsiaTheme="majorEastAsia"/>
        </w:rPr>
        <w:t>ive</w:t>
      </w:r>
      <w:r w:rsidRPr="00A85C8F">
        <w:rPr>
          <w:rFonts w:eastAsiaTheme="majorEastAsia"/>
        </w:rPr>
        <w:t>.</w:t>
      </w:r>
    </w:p>
    <w:p w:rsidR="00AD77DF" w:rsidRPr="00025BB3" w:rsidRDefault="005C329C" w:rsidP="005C329C">
      <w:pPr>
        <w:rPr>
          <w:rFonts w:eastAsiaTheme="majorEastAsia"/>
          <w:i/>
        </w:rPr>
      </w:pPr>
      <w:r w:rsidRPr="005C329C">
        <w:rPr>
          <w:rFonts w:cs="Calibri"/>
          <w:b/>
        </w:rPr>
        <w:t xml:space="preserve">COURAU </w:t>
      </w:r>
      <w:r w:rsidR="00025BB3" w:rsidRPr="005C329C">
        <w:rPr>
          <w:rFonts w:cs="Calibri"/>
          <w:b/>
        </w:rPr>
        <w:t>S</w:t>
      </w:r>
      <w:r w:rsidR="00025BB3">
        <w:rPr>
          <w:rFonts w:cs="Calibri"/>
          <w:b/>
        </w:rPr>
        <w:t>.</w:t>
      </w:r>
      <w:r w:rsidR="00025BB3" w:rsidRPr="005C329C">
        <w:rPr>
          <w:rFonts w:cs="Calibri"/>
          <w:b/>
        </w:rPr>
        <w:t>,</w:t>
      </w:r>
      <w:r>
        <w:rPr>
          <w:rFonts w:cs="Calibri"/>
          <w:b/>
        </w:rPr>
        <w:t xml:space="preserve"> </w:t>
      </w:r>
      <w:r w:rsidRPr="00025BB3">
        <w:rPr>
          <w:rFonts w:eastAsiaTheme="majorEastAsia"/>
          <w:b/>
          <w:i/>
        </w:rPr>
        <w:t>Les outils d'excellence du formateur Concevoir et animer des sessions de formation</w:t>
      </w:r>
      <w:r w:rsidR="00025BB3" w:rsidRPr="00025BB3">
        <w:rPr>
          <w:rFonts w:cs="Calibri"/>
          <w:b/>
        </w:rPr>
        <w:t xml:space="preserve"> </w:t>
      </w:r>
      <w:r w:rsidR="00025BB3" w:rsidRPr="00025BB3">
        <w:rPr>
          <w:rFonts w:cs="Calibri"/>
        </w:rPr>
        <w:t>Ed. ESF Editeur, 2017</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6"/>
        <w:gridCol w:w="7540"/>
      </w:tblGrid>
      <w:tr w:rsidR="00AD77DF" w:rsidTr="00AD77DF">
        <w:tc>
          <w:tcPr>
            <w:tcW w:w="1951" w:type="dxa"/>
          </w:tcPr>
          <w:p w:rsidR="00AD77DF" w:rsidRDefault="00AD77DF" w:rsidP="000D29FB">
            <w:pPr>
              <w:jc w:val="both"/>
              <w:rPr>
                <w:rFonts w:cs="Calibri"/>
                <w:b/>
              </w:rPr>
            </w:pPr>
            <w:r w:rsidRPr="00AD77DF">
              <w:rPr>
                <w:rFonts w:cs="Calibri"/>
                <w:b/>
                <w:noProof/>
              </w:rPr>
              <w:drawing>
                <wp:inline distT="0" distB="0" distL="0" distR="0" wp14:anchorId="59FCA149" wp14:editId="1609A430">
                  <wp:extent cx="1100667" cy="133350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11365" cy="1346461"/>
                          </a:xfrm>
                          <a:prstGeom prst="rect">
                            <a:avLst/>
                          </a:prstGeom>
                        </pic:spPr>
                      </pic:pic>
                    </a:graphicData>
                  </a:graphic>
                </wp:inline>
              </w:drawing>
            </w:r>
          </w:p>
        </w:tc>
        <w:tc>
          <w:tcPr>
            <w:tcW w:w="7685" w:type="dxa"/>
          </w:tcPr>
          <w:p w:rsidR="00AD77DF" w:rsidRPr="00AD77DF" w:rsidRDefault="00AD77DF" w:rsidP="00AD77DF">
            <w:pPr>
              <w:spacing w:line="276" w:lineRule="auto"/>
              <w:rPr>
                <w:rFonts w:asciiTheme="minorHAnsi" w:eastAsiaTheme="majorEastAsia" w:hAnsiTheme="minorHAnsi" w:cstheme="minorHAnsi"/>
              </w:rPr>
            </w:pPr>
            <w:r w:rsidRPr="00AD77DF">
              <w:rPr>
                <w:rFonts w:asciiTheme="minorHAnsi" w:eastAsiaTheme="majorEastAsia" w:hAnsiTheme="minorHAnsi" w:cstheme="minorHAnsi"/>
              </w:rPr>
              <w:t xml:space="preserve">Former est un vrai métier qui appelle des outils et </w:t>
            </w:r>
            <w:proofErr w:type="gramStart"/>
            <w:r w:rsidRPr="00AD77DF">
              <w:rPr>
                <w:rFonts w:asciiTheme="minorHAnsi" w:eastAsiaTheme="majorEastAsia" w:hAnsiTheme="minorHAnsi" w:cstheme="minorHAnsi"/>
              </w:rPr>
              <w:t>une méthodologie solides</w:t>
            </w:r>
            <w:proofErr w:type="gramEnd"/>
            <w:r w:rsidRPr="00AD77DF">
              <w:rPr>
                <w:rFonts w:asciiTheme="minorHAnsi" w:eastAsiaTheme="majorEastAsia" w:hAnsiTheme="minorHAnsi" w:cstheme="minorHAnsi"/>
              </w:rPr>
              <w:t>.</w:t>
            </w:r>
          </w:p>
          <w:p w:rsidR="00AD77DF" w:rsidRPr="00AD77DF" w:rsidRDefault="00AD77DF" w:rsidP="00AD77DF">
            <w:pPr>
              <w:spacing w:line="276" w:lineRule="auto"/>
              <w:rPr>
                <w:rFonts w:asciiTheme="minorHAnsi" w:eastAsiaTheme="majorEastAsia" w:hAnsiTheme="minorHAnsi" w:cstheme="minorHAnsi"/>
              </w:rPr>
            </w:pPr>
            <w:r w:rsidRPr="00AD77DF">
              <w:rPr>
                <w:rFonts w:asciiTheme="minorHAnsi" w:eastAsiaTheme="majorEastAsia" w:hAnsiTheme="minorHAnsi" w:cstheme="minorHAnsi"/>
              </w:rPr>
              <w:t>De plus en plus de professionnels sont amenés à créer et animer des séances de formation, ponctuellement ou régulièrement.</w:t>
            </w:r>
          </w:p>
          <w:p w:rsidR="00AD77DF" w:rsidRPr="00AD77DF" w:rsidRDefault="00AD77DF" w:rsidP="00AD77DF">
            <w:pPr>
              <w:spacing w:line="276" w:lineRule="auto"/>
              <w:rPr>
                <w:rFonts w:asciiTheme="minorHAnsi" w:eastAsiaTheme="majorEastAsia" w:hAnsiTheme="minorHAnsi" w:cstheme="minorHAnsi"/>
              </w:rPr>
            </w:pPr>
            <w:r w:rsidRPr="00AD77DF">
              <w:rPr>
                <w:rFonts w:asciiTheme="minorHAnsi" w:eastAsiaTheme="majorEastAsia" w:hAnsiTheme="minorHAnsi" w:cstheme="minorHAnsi"/>
              </w:rPr>
              <w:t>L’auteur développe une méthode et des outils d’excellence du formateur en répondant aux questions suivantes :</w:t>
            </w:r>
          </w:p>
          <w:p w:rsidR="00AD77DF" w:rsidRPr="00AD77DF" w:rsidRDefault="00AD77DF" w:rsidP="00AD77DF">
            <w:pPr>
              <w:spacing w:line="276" w:lineRule="auto"/>
              <w:rPr>
                <w:rFonts w:asciiTheme="minorHAnsi" w:eastAsiaTheme="majorEastAsia" w:hAnsiTheme="minorHAnsi" w:cstheme="minorHAnsi"/>
              </w:rPr>
            </w:pPr>
            <w:r w:rsidRPr="00AD77DF">
              <w:rPr>
                <w:rFonts w:asciiTheme="minorHAnsi" w:eastAsiaTheme="majorEastAsia" w:hAnsiTheme="minorHAnsi" w:cstheme="minorHAnsi"/>
              </w:rPr>
              <w:t>• Comment concevoir les solutions formatives et les contractualiser ?</w:t>
            </w:r>
          </w:p>
          <w:p w:rsidR="00AD77DF" w:rsidRPr="00AD77DF" w:rsidRDefault="00AD77DF" w:rsidP="00AD77DF">
            <w:pPr>
              <w:spacing w:line="276" w:lineRule="auto"/>
              <w:rPr>
                <w:rFonts w:asciiTheme="minorHAnsi" w:eastAsiaTheme="majorEastAsia" w:hAnsiTheme="minorHAnsi" w:cstheme="minorHAnsi"/>
              </w:rPr>
            </w:pPr>
            <w:r w:rsidRPr="00AD77DF">
              <w:rPr>
                <w:rFonts w:asciiTheme="minorHAnsi" w:eastAsiaTheme="majorEastAsia" w:hAnsiTheme="minorHAnsi" w:cstheme="minorHAnsi"/>
              </w:rPr>
              <w:t>• Comment penser et construire l’architecture d’un stage ?</w:t>
            </w:r>
          </w:p>
          <w:p w:rsidR="00AD77DF" w:rsidRPr="00AD77DF" w:rsidRDefault="00AD77DF" w:rsidP="00AD77DF">
            <w:pPr>
              <w:spacing w:line="276" w:lineRule="auto"/>
              <w:rPr>
                <w:rFonts w:asciiTheme="minorHAnsi" w:eastAsiaTheme="majorEastAsia" w:hAnsiTheme="minorHAnsi" w:cstheme="minorHAnsi"/>
              </w:rPr>
            </w:pPr>
            <w:r w:rsidRPr="00AD77DF">
              <w:rPr>
                <w:rFonts w:asciiTheme="minorHAnsi" w:eastAsiaTheme="majorEastAsia" w:hAnsiTheme="minorHAnsi" w:cstheme="minorHAnsi"/>
              </w:rPr>
              <w:t>• Comment choisir les différents outils et supports d’animation ?</w:t>
            </w:r>
          </w:p>
          <w:p w:rsidR="00AD77DF" w:rsidRPr="00AD77DF" w:rsidRDefault="00AD77DF" w:rsidP="00AD77DF">
            <w:pPr>
              <w:spacing w:line="276" w:lineRule="auto"/>
              <w:rPr>
                <w:rFonts w:asciiTheme="minorHAnsi" w:eastAsiaTheme="majorEastAsia" w:hAnsiTheme="minorHAnsi" w:cstheme="minorHAnsi"/>
              </w:rPr>
            </w:pPr>
            <w:r w:rsidRPr="00AD77DF">
              <w:rPr>
                <w:rFonts w:asciiTheme="minorHAnsi" w:eastAsiaTheme="majorEastAsia" w:hAnsiTheme="minorHAnsi" w:cstheme="minorHAnsi"/>
              </w:rPr>
              <w:t>• Comment animer et gérer les phénomènes de groupe en formation ?</w:t>
            </w:r>
          </w:p>
          <w:p w:rsidR="00AD77DF" w:rsidRPr="00AD77DF" w:rsidRDefault="00AD77DF" w:rsidP="00AD77DF">
            <w:pPr>
              <w:spacing w:line="276" w:lineRule="auto"/>
              <w:rPr>
                <w:rFonts w:asciiTheme="minorHAnsi" w:eastAsiaTheme="majorEastAsia" w:hAnsiTheme="minorHAnsi" w:cstheme="minorHAnsi"/>
              </w:rPr>
            </w:pPr>
          </w:p>
          <w:p w:rsidR="00AD77DF" w:rsidRDefault="00AD77DF" w:rsidP="00AD77DF">
            <w:pPr>
              <w:spacing w:line="276" w:lineRule="auto"/>
              <w:rPr>
                <w:rFonts w:cs="Calibri"/>
                <w:b/>
              </w:rPr>
            </w:pPr>
            <w:r w:rsidRPr="00AD77DF">
              <w:rPr>
                <w:rFonts w:asciiTheme="minorHAnsi" w:eastAsiaTheme="majorEastAsia" w:hAnsiTheme="minorHAnsi" w:cstheme="minorHAnsi"/>
              </w:rPr>
              <w:t>Dans cet ouvrage, Sophie Courau approfondit les techniques du métier de formateur abordées dans le tome 1, Les outils de base du formateur.</w:t>
            </w:r>
          </w:p>
        </w:tc>
      </w:tr>
    </w:tbl>
    <w:p w:rsidR="00AD77DF" w:rsidRDefault="00AD77DF" w:rsidP="000D29FB">
      <w:pPr>
        <w:spacing w:after="0" w:line="240" w:lineRule="auto"/>
        <w:jc w:val="both"/>
        <w:rPr>
          <w:rFonts w:cs="Calibri"/>
          <w:b/>
        </w:rPr>
      </w:pPr>
    </w:p>
    <w:p w:rsidR="000D29FB" w:rsidRPr="00D86236" w:rsidRDefault="000D29FB" w:rsidP="000D29FB">
      <w:pPr>
        <w:spacing w:after="0" w:line="240" w:lineRule="auto"/>
        <w:jc w:val="both"/>
      </w:pPr>
      <w:r w:rsidRPr="000D29FB">
        <w:rPr>
          <w:rFonts w:cs="Calibri"/>
          <w:b/>
        </w:rPr>
        <w:t>BOURGEOIS E., CHAPELLE G., 2011</w:t>
      </w:r>
      <w:r w:rsidRPr="00D86236">
        <w:rPr>
          <w:rFonts w:cs="Calibri"/>
        </w:rPr>
        <w:t xml:space="preserve">. </w:t>
      </w:r>
      <w:r w:rsidRPr="00924464">
        <w:rPr>
          <w:rFonts w:cs="Calibri"/>
          <w:b/>
          <w:i/>
        </w:rPr>
        <w:t>Apprendre et faire apprendre</w:t>
      </w:r>
      <w:r w:rsidRPr="00D86236">
        <w:rPr>
          <w:rFonts w:cs="Calibri"/>
        </w:rPr>
        <w:t xml:space="preserve">. Paris : PUF, coll. Apprendre. </w:t>
      </w:r>
    </w:p>
    <w:p w:rsidR="000D29FB" w:rsidRPr="00D86236" w:rsidRDefault="000D29FB" w:rsidP="000D29FB">
      <w:pPr>
        <w:spacing w:after="240" w:line="240" w:lineRule="auto"/>
        <w:jc w:val="both"/>
      </w:pPr>
      <w:r w:rsidRPr="00D86236">
        <w:rPr>
          <w:i/>
        </w:rPr>
        <w:t>Cet ouvrage collectif et pluridisciplinaire propose un état des lieux complet, accessible et très documenté sur les travaux de recherches en apprentissage. Une référence pour approfondir ses connaissances théoriques.</w:t>
      </w:r>
    </w:p>
    <w:p w:rsidR="00AD77DF" w:rsidRPr="00924464" w:rsidRDefault="00924464" w:rsidP="00924464">
      <w:pPr>
        <w:autoSpaceDE w:val="0"/>
        <w:autoSpaceDN w:val="0"/>
        <w:adjustRightInd w:val="0"/>
        <w:spacing w:after="0" w:line="240" w:lineRule="auto"/>
        <w:jc w:val="both"/>
      </w:pPr>
      <w:r w:rsidRPr="00924464">
        <w:rPr>
          <w:rFonts w:eastAsia="Calibri" w:cs="Times New Roman"/>
          <w:b/>
        </w:rPr>
        <w:t>JEZEGOU</w:t>
      </w:r>
      <w:r w:rsidR="00AD77DF" w:rsidRPr="00924464">
        <w:rPr>
          <w:rFonts w:eastAsia="Calibri" w:cs="Times New Roman"/>
          <w:b/>
        </w:rPr>
        <w:t xml:space="preserve"> A</w:t>
      </w:r>
      <w:r w:rsidRPr="00924464">
        <w:rPr>
          <w:rFonts w:eastAsia="Calibri" w:cs="Times New Roman"/>
          <w:b/>
        </w:rPr>
        <w:t>.</w:t>
      </w:r>
      <w:r w:rsidR="00AD77DF" w:rsidRPr="00924464">
        <w:rPr>
          <w:rFonts w:eastAsia="Calibri" w:cs="Times New Roman"/>
          <w:b/>
        </w:rPr>
        <w:t xml:space="preserve">, </w:t>
      </w:r>
      <w:r w:rsidRPr="00924464">
        <w:rPr>
          <w:rFonts w:eastAsia="Calibri" w:cs="Times New Roman"/>
          <w:b/>
        </w:rPr>
        <w:t>Traité de la e-formation des adultes :</w:t>
      </w:r>
      <w:r w:rsidR="00AD77DF" w:rsidRPr="00924464">
        <w:rPr>
          <w:rFonts w:eastAsia="Calibri" w:cs="Times New Roman"/>
          <w:b/>
        </w:rPr>
        <w:t xml:space="preserve"> </w:t>
      </w:r>
      <w:r w:rsidR="00AD77DF" w:rsidRPr="00924464">
        <w:rPr>
          <w:rFonts w:eastAsia="Calibri" w:cs="Times New Roman"/>
        </w:rPr>
        <w:t xml:space="preserve">De Boeck supérieur, </w:t>
      </w:r>
      <w:r w:rsidRPr="00924464">
        <w:rPr>
          <w:rFonts w:eastAsia="Calibri" w:cs="Times New Roman"/>
        </w:rPr>
        <w:t xml:space="preserve">Louvain-La-Neuve (Belgique) </w:t>
      </w:r>
      <w:r w:rsidR="00AD77DF" w:rsidRPr="00924464">
        <w:rPr>
          <w:rFonts w:eastAsia="Calibri" w:cs="Times New Roman"/>
        </w:rPr>
        <w:t>21/05/2019</w:t>
      </w:r>
      <w:r w:rsidR="005C329C" w:rsidRPr="00924464">
        <w:rPr>
          <w:rFonts w:eastAsia="Calibri" w:cs="Times New Roman"/>
        </w:rPr>
        <w:t>,</w:t>
      </w:r>
      <w:r w:rsidR="005C329C" w:rsidRPr="00924464">
        <w:t xml:space="preserve"> </w:t>
      </w:r>
    </w:p>
    <w:p w:rsidR="00AD77DF" w:rsidRDefault="00AD77DF" w:rsidP="00AD77DF">
      <w:pPr>
        <w:rPr>
          <w:rFonts w:eastAsia="Times New Roman"/>
        </w:rPr>
      </w:pPr>
      <w:r w:rsidRPr="00F441AC">
        <w:rPr>
          <w:rFonts w:eastAsia="Times New Roman"/>
          <w:sz w:val="6"/>
          <w:szCs w:val="6"/>
        </w:rPr>
        <w:br/>
      </w:r>
      <w:r w:rsidRPr="00355A03">
        <w:rPr>
          <w:rFonts w:eastAsia="Times New Roman"/>
          <w:noProof/>
        </w:rPr>
        <w:drawing>
          <wp:anchor distT="0" distB="0" distL="114300" distR="114300" simplePos="0" relativeHeight="251659264" behindDoc="0" locked="0" layoutInCell="1" allowOverlap="1" wp14:anchorId="3F6514C9" wp14:editId="23DB36F1">
            <wp:simplePos x="0" y="0"/>
            <wp:positionH relativeFrom="column">
              <wp:posOffset>-4445</wp:posOffset>
            </wp:positionH>
            <wp:positionV relativeFrom="paragraph">
              <wp:posOffset>48895</wp:posOffset>
            </wp:positionV>
            <wp:extent cx="676275" cy="1014095"/>
            <wp:effectExtent l="0" t="0" r="9525" b="0"/>
            <wp:wrapSquare wrapText="bothSides"/>
            <wp:docPr id="4" name="Image 4" descr="couverture 978280732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verture 97828073230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6275" cy="1014095"/>
                    </a:xfrm>
                    <a:prstGeom prst="rect">
                      <a:avLst/>
                    </a:prstGeom>
                    <a:noFill/>
                    <a:ln>
                      <a:noFill/>
                    </a:ln>
                  </pic:spPr>
                </pic:pic>
              </a:graphicData>
            </a:graphic>
          </wp:anchor>
        </w:drawing>
      </w:r>
      <w:r w:rsidRPr="00355A03">
        <w:rPr>
          <w:rFonts w:eastAsia="Times New Roman"/>
        </w:rPr>
        <w:t>Une synthèse des savoirs de référence dans le domaine de l'e-formation des adultes, abordant les dynamiques individuelles et collectives des apprenants ainsi que les caractéristiques instrumentales, technico-pédagogiques ou socio</w:t>
      </w:r>
      <w:r>
        <w:rPr>
          <w:rFonts w:eastAsia="Times New Roman"/>
        </w:rPr>
        <w:t>-</w:t>
      </w:r>
      <w:r w:rsidRPr="00355A03">
        <w:rPr>
          <w:rFonts w:eastAsia="Times New Roman"/>
        </w:rPr>
        <w:t>pédagogiques des environnements de e-formation en lien avec l'apprentissage des adultes.</w:t>
      </w:r>
    </w:p>
    <w:p w:rsidR="00AD77DF" w:rsidRPr="008B49CC" w:rsidRDefault="00AD77DF" w:rsidP="00AD77DF">
      <w:pPr>
        <w:rPr>
          <w:rFonts w:eastAsia="Times New Roman"/>
          <w:sz w:val="6"/>
          <w:szCs w:val="6"/>
        </w:rPr>
      </w:pPr>
    </w:p>
    <w:p w:rsidR="005C329C" w:rsidRPr="00D86236" w:rsidRDefault="005C329C" w:rsidP="005C329C">
      <w:pPr>
        <w:spacing w:after="0" w:line="240" w:lineRule="auto"/>
        <w:jc w:val="both"/>
      </w:pPr>
      <w:r w:rsidRPr="005C329C">
        <w:rPr>
          <w:b/>
        </w:rPr>
        <w:t>MEIRIEU P</w:t>
      </w:r>
      <w:r w:rsidRPr="005C329C">
        <w:rPr>
          <w:b/>
          <w:i/>
        </w:rPr>
        <w:t>., Apprendre… oui, mais comment</w:t>
      </w:r>
      <w:r w:rsidRPr="00D86236">
        <w:t xml:space="preserve">, ESF, 14 </w:t>
      </w:r>
      <w:proofErr w:type="gramStart"/>
      <w:r w:rsidRPr="00D86236">
        <w:t>édition</w:t>
      </w:r>
      <w:proofErr w:type="gramEnd"/>
      <w:r w:rsidRPr="00D86236">
        <w:t> ; 1995</w:t>
      </w:r>
    </w:p>
    <w:p w:rsidR="005C329C" w:rsidRPr="00D86236" w:rsidRDefault="005C329C" w:rsidP="005C329C">
      <w:pPr>
        <w:spacing w:after="240" w:line="240" w:lineRule="auto"/>
        <w:jc w:val="both"/>
        <w:rPr>
          <w:rFonts w:cs="Calibri"/>
          <w:i/>
          <w:iCs/>
        </w:rPr>
      </w:pPr>
      <w:r w:rsidRPr="00D86236">
        <w:rPr>
          <w:rFonts w:cs="Calibri"/>
          <w:i/>
          <w:iCs/>
        </w:rPr>
        <w:t xml:space="preserve">Philippe Meirieu poursuit et approfondit la réflexion entreprise dans L'Ecole, mode d'emploi, mais il s'attache, plus particulièrement, à l'acte d'apprentissage... Il en débusque les représentations trompeuses, dénonce les illusions qui traînent à son sujet et tente d'établir quelques repères à partir desquels l'enseignant puisse élaborer, réguler et évaluer son action. C'est ainsi qu'il aborde aussi bien la relation pédagogique, la rationalisation didactique et les stratégies individuelles d'apprentissage. Il montre comment l'attention à ces trois dimensions permet de maintenir "l'équilibre écologique du système apprendre". Le lecteur se trouve mis en situation d'activité, confronté à des exercices, des récits d'expériences pédagogiques ou </w:t>
      </w:r>
      <w:r w:rsidRPr="00D86236">
        <w:rPr>
          <w:rFonts w:cs="Calibri"/>
          <w:i/>
          <w:iCs/>
        </w:rPr>
        <w:lastRenderedPageBreak/>
        <w:t>d'événements de la vie scolaire. A partir de là, l'auteur dégage quelques principes fondamentaux et propose toute une série d'outils qui pourront être utilisés par les instituteurs, professeurs, formateurs. Un livre vite devenu une référence pour tous les "professionnels de l'apprentissage"</w:t>
      </w:r>
    </w:p>
    <w:p w:rsidR="00924464" w:rsidRPr="00D86236" w:rsidRDefault="00924464" w:rsidP="00924464">
      <w:pPr>
        <w:autoSpaceDE w:val="0"/>
        <w:autoSpaceDN w:val="0"/>
        <w:adjustRightInd w:val="0"/>
        <w:spacing w:after="0" w:line="240" w:lineRule="auto"/>
        <w:jc w:val="both"/>
        <w:rPr>
          <w:rFonts w:eastAsia="Calibri" w:cs="Times New Roman"/>
        </w:rPr>
      </w:pPr>
      <w:r w:rsidRPr="000D29FB">
        <w:rPr>
          <w:rFonts w:eastAsia="Calibri" w:cs="Times New Roman"/>
          <w:b/>
        </w:rPr>
        <w:t>MALGLAIVE G.,</w:t>
      </w:r>
      <w:r w:rsidRPr="00D86236">
        <w:rPr>
          <w:rFonts w:eastAsia="Calibri" w:cs="Times New Roman"/>
        </w:rPr>
        <w:t xml:space="preserve"> </w:t>
      </w:r>
      <w:r w:rsidRPr="00924464">
        <w:rPr>
          <w:rFonts w:eastAsia="Calibri" w:cs="Times New Roman"/>
          <w:b/>
          <w:i/>
        </w:rPr>
        <w:t>Enseigner à des adultes</w:t>
      </w:r>
      <w:r w:rsidRPr="00D86236">
        <w:rPr>
          <w:rFonts w:eastAsia="Calibri" w:cs="Times New Roman"/>
        </w:rPr>
        <w:t>, Paris : PUF ; 1990, 285 p.</w:t>
      </w:r>
    </w:p>
    <w:p w:rsidR="00924464" w:rsidRPr="00D86236" w:rsidRDefault="00924464" w:rsidP="00924464">
      <w:pPr>
        <w:spacing w:after="240" w:line="240" w:lineRule="auto"/>
        <w:jc w:val="both"/>
        <w:rPr>
          <w:rFonts w:cs="Calibri"/>
          <w:i/>
        </w:rPr>
      </w:pPr>
      <w:r w:rsidRPr="00D86236">
        <w:rPr>
          <w:rFonts w:cs="Calibri"/>
          <w:i/>
          <w:iCs/>
        </w:rPr>
        <w:t>Dans de trop nombreux cas, l’enseignement est considéré comme exclusivement relatif à la transmission formelle de savoirs théoriques. Mais, si la pratique a aujourd’hui besoin des « théories », celles-ci ne peuvent-elles pas « s’apprendre par la pratique » ? C’est à proposer les fondements et les moyens d’une telle démarche pédagogique que cet ouvrage est consacré. Si cette question se pose en formation d’adultes, elle se pose aussi, et de plus en plus, à l’école. Ce livre ne s’adresse donc pas seulement aux formateurs d’adultes, mais aussi à tous les enseignants soucieux d’aider leurs élèves à vaincre les obstacles qu’ils rencontrent dans l’accès au savoir.</w:t>
      </w:r>
    </w:p>
    <w:p w:rsidR="00AD77DF" w:rsidRDefault="00AD77DF" w:rsidP="00AD77DF">
      <w:pPr>
        <w:spacing w:after="160" w:line="259" w:lineRule="auto"/>
      </w:pPr>
    </w:p>
    <w:p w:rsidR="000D29FB" w:rsidRDefault="000D29FB" w:rsidP="0040167E">
      <w:pPr>
        <w:spacing w:after="0"/>
        <w:rPr>
          <w:b/>
          <w:i/>
        </w:rPr>
      </w:pPr>
    </w:p>
    <w:p w:rsidR="00736727" w:rsidRDefault="00736727" w:rsidP="00FB31E4">
      <w:pPr>
        <w:jc w:val="center"/>
        <w:rPr>
          <w:rFonts w:cs="Calibri"/>
          <w:b/>
          <w:iCs/>
          <w:sz w:val="28"/>
          <w:szCs w:val="24"/>
        </w:rPr>
        <w:sectPr w:rsidR="00736727" w:rsidSect="00C00BB9">
          <w:headerReference w:type="default" r:id="rId12"/>
          <w:footerReference w:type="default" r:id="rId13"/>
          <w:pgSz w:w="11906" w:h="16838"/>
          <w:pgMar w:top="1417" w:right="993" w:bottom="993" w:left="1417" w:header="426" w:footer="708" w:gutter="0"/>
          <w:cols w:space="708"/>
          <w:docGrid w:linePitch="360"/>
        </w:sectPr>
      </w:pPr>
    </w:p>
    <w:p w:rsidR="00FB31E4" w:rsidRPr="00601333" w:rsidRDefault="000E7380" w:rsidP="000E7380">
      <w:pPr>
        <w:jc w:val="center"/>
        <w:rPr>
          <w:rFonts w:cs="Calibri"/>
          <w:b/>
          <w:iCs/>
          <w:color w:val="002060"/>
          <w:sz w:val="28"/>
          <w:szCs w:val="24"/>
        </w:rPr>
      </w:pPr>
      <w:r w:rsidRPr="00601333">
        <w:rPr>
          <w:rFonts w:cs="Calibri"/>
          <w:b/>
          <w:iCs/>
          <w:color w:val="002060"/>
          <w:sz w:val="28"/>
          <w:szCs w:val="24"/>
        </w:rPr>
        <w:lastRenderedPageBreak/>
        <w:t>Grille d’évaluation fiche de lecture</w:t>
      </w:r>
    </w:p>
    <w:p w:rsidR="000E7380" w:rsidRPr="009D342A" w:rsidRDefault="000E7380" w:rsidP="000E7380">
      <w:pPr>
        <w:jc w:val="center"/>
        <w:rPr>
          <w:rFonts w:cs="Calibri"/>
          <w:b/>
          <w:iCs/>
          <w:sz w:val="18"/>
          <w:szCs w:val="24"/>
        </w:rPr>
      </w:pPr>
    </w:p>
    <w:tbl>
      <w:tblPr>
        <w:tblStyle w:val="Grilledutableau"/>
        <w:tblW w:w="0" w:type="auto"/>
        <w:tblLook w:val="00A0" w:firstRow="1" w:lastRow="0" w:firstColumn="1" w:lastColumn="0" w:noHBand="0" w:noVBand="0"/>
      </w:tblPr>
      <w:tblGrid>
        <w:gridCol w:w="3053"/>
        <w:gridCol w:w="6673"/>
        <w:gridCol w:w="4266"/>
      </w:tblGrid>
      <w:tr w:rsidR="000E7380" w:rsidRPr="00976BF5" w:rsidTr="00601333">
        <w:tc>
          <w:tcPr>
            <w:tcW w:w="3085" w:type="dxa"/>
            <w:shd w:val="clear" w:color="auto" w:fill="17365D" w:themeFill="text2" w:themeFillShade="BF"/>
          </w:tcPr>
          <w:p w:rsidR="000E7380" w:rsidRPr="00601333" w:rsidRDefault="000E7380" w:rsidP="000B0F35">
            <w:pPr>
              <w:jc w:val="center"/>
              <w:rPr>
                <w:rFonts w:asciiTheme="minorHAnsi" w:hAnsiTheme="minorHAnsi"/>
                <w:b/>
                <w:color w:val="FFFFFF" w:themeColor="background1"/>
                <w:sz w:val="28"/>
              </w:rPr>
            </w:pPr>
            <w:r w:rsidRPr="00601333">
              <w:rPr>
                <w:rFonts w:asciiTheme="minorHAnsi" w:hAnsiTheme="minorHAnsi"/>
                <w:b/>
                <w:color w:val="FFFFFF" w:themeColor="background1"/>
                <w:sz w:val="28"/>
              </w:rPr>
              <w:t>Critères</w:t>
            </w:r>
          </w:p>
        </w:tc>
        <w:tc>
          <w:tcPr>
            <w:tcW w:w="6804" w:type="dxa"/>
            <w:shd w:val="clear" w:color="auto" w:fill="17365D" w:themeFill="text2" w:themeFillShade="BF"/>
          </w:tcPr>
          <w:p w:rsidR="000E7380" w:rsidRPr="00601333" w:rsidRDefault="00945DB8" w:rsidP="00945DB8">
            <w:pPr>
              <w:jc w:val="center"/>
              <w:rPr>
                <w:rFonts w:asciiTheme="minorHAnsi" w:hAnsiTheme="minorHAnsi"/>
                <w:b/>
                <w:color w:val="FFFFFF" w:themeColor="background1"/>
                <w:sz w:val="28"/>
              </w:rPr>
            </w:pPr>
            <w:r w:rsidRPr="00601333">
              <w:rPr>
                <w:rFonts w:asciiTheme="minorHAnsi" w:hAnsiTheme="minorHAnsi"/>
                <w:b/>
                <w:color w:val="FFFFFF" w:themeColor="background1"/>
                <w:sz w:val="28"/>
              </w:rPr>
              <w:t>Indicateurs</w:t>
            </w:r>
          </w:p>
        </w:tc>
        <w:tc>
          <w:tcPr>
            <w:tcW w:w="4329" w:type="dxa"/>
            <w:shd w:val="clear" w:color="auto" w:fill="17365D" w:themeFill="text2" w:themeFillShade="BF"/>
          </w:tcPr>
          <w:p w:rsidR="000E7380" w:rsidRPr="00601333" w:rsidRDefault="000E7380" w:rsidP="000B0F35">
            <w:pPr>
              <w:jc w:val="center"/>
              <w:rPr>
                <w:rFonts w:asciiTheme="minorHAnsi" w:hAnsiTheme="minorHAnsi"/>
                <w:b/>
                <w:color w:val="FFFFFF" w:themeColor="background1"/>
                <w:sz w:val="28"/>
              </w:rPr>
            </w:pPr>
            <w:r w:rsidRPr="00601333">
              <w:rPr>
                <w:rFonts w:asciiTheme="minorHAnsi" w:hAnsiTheme="minorHAnsi"/>
                <w:b/>
                <w:color w:val="FFFFFF" w:themeColor="background1"/>
                <w:sz w:val="28"/>
              </w:rPr>
              <w:t>Commentaires</w:t>
            </w:r>
          </w:p>
        </w:tc>
      </w:tr>
      <w:tr w:rsidR="00441BBC" w:rsidRPr="00976BF5" w:rsidTr="000631C0">
        <w:tc>
          <w:tcPr>
            <w:tcW w:w="3085" w:type="dxa"/>
            <w:vMerge w:val="restart"/>
            <w:shd w:val="clear" w:color="auto" w:fill="DBE5F1" w:themeFill="accent1" w:themeFillTint="33"/>
          </w:tcPr>
          <w:p w:rsidR="00441BBC" w:rsidRPr="000631C0" w:rsidRDefault="00441BBC" w:rsidP="00F71174">
            <w:pPr>
              <w:rPr>
                <w:rFonts w:asciiTheme="minorHAnsi" w:hAnsiTheme="minorHAnsi"/>
                <w:b/>
                <w:color w:val="002060"/>
                <w:sz w:val="24"/>
                <w:szCs w:val="24"/>
              </w:rPr>
            </w:pPr>
            <w:r w:rsidRPr="000631C0">
              <w:rPr>
                <w:rFonts w:asciiTheme="minorHAnsi" w:hAnsiTheme="minorHAnsi"/>
                <w:b/>
                <w:color w:val="002060"/>
                <w:sz w:val="24"/>
                <w:szCs w:val="24"/>
              </w:rPr>
              <w:t>Respect des règles d’écriture des références bibliographiques</w:t>
            </w:r>
          </w:p>
        </w:tc>
        <w:tc>
          <w:tcPr>
            <w:tcW w:w="6804" w:type="dxa"/>
          </w:tcPr>
          <w:p w:rsidR="00441BBC" w:rsidRPr="000E7380" w:rsidRDefault="00441BBC" w:rsidP="00441BBC">
            <w:pPr>
              <w:rPr>
                <w:rFonts w:asciiTheme="minorHAnsi" w:hAnsiTheme="minorHAnsi"/>
                <w:sz w:val="24"/>
                <w:szCs w:val="24"/>
              </w:rPr>
            </w:pPr>
            <w:r>
              <w:rPr>
                <w:rFonts w:asciiTheme="minorHAnsi" w:hAnsiTheme="minorHAnsi"/>
                <w:sz w:val="24"/>
                <w:szCs w:val="24"/>
              </w:rPr>
              <w:t xml:space="preserve">La </w:t>
            </w:r>
            <w:r w:rsidRPr="00441BBC">
              <w:rPr>
                <w:rFonts w:asciiTheme="minorHAnsi" w:hAnsiTheme="minorHAnsi"/>
                <w:b/>
                <w:sz w:val="24"/>
                <w:szCs w:val="24"/>
              </w:rPr>
              <w:t>référence bibliographique</w:t>
            </w:r>
            <w:r w:rsidRPr="000E7380">
              <w:rPr>
                <w:rFonts w:asciiTheme="minorHAnsi" w:hAnsiTheme="minorHAnsi"/>
                <w:sz w:val="24"/>
                <w:szCs w:val="24"/>
              </w:rPr>
              <w:t xml:space="preserve"> complète </w:t>
            </w:r>
            <w:r>
              <w:rPr>
                <w:rFonts w:asciiTheme="minorHAnsi" w:hAnsiTheme="minorHAnsi"/>
                <w:sz w:val="24"/>
                <w:szCs w:val="24"/>
              </w:rPr>
              <w:t xml:space="preserve">est reportée dans la fiche de lecture. </w:t>
            </w:r>
          </w:p>
        </w:tc>
        <w:tc>
          <w:tcPr>
            <w:tcW w:w="4329" w:type="dxa"/>
          </w:tcPr>
          <w:p w:rsidR="00441BBC" w:rsidRDefault="00441BBC" w:rsidP="000B0F35">
            <w:pPr>
              <w:jc w:val="center"/>
              <w:rPr>
                <w:rFonts w:asciiTheme="minorHAnsi" w:hAnsiTheme="minorHAnsi"/>
                <w:sz w:val="28"/>
              </w:rPr>
            </w:pPr>
          </w:p>
          <w:p w:rsidR="00441BBC" w:rsidRPr="000E7380" w:rsidRDefault="00441BBC" w:rsidP="00441BBC">
            <w:pPr>
              <w:rPr>
                <w:rFonts w:asciiTheme="minorHAnsi" w:hAnsiTheme="minorHAnsi"/>
                <w:sz w:val="28"/>
              </w:rPr>
            </w:pPr>
          </w:p>
        </w:tc>
      </w:tr>
      <w:tr w:rsidR="00441BBC" w:rsidRPr="00976BF5" w:rsidTr="000631C0">
        <w:tc>
          <w:tcPr>
            <w:tcW w:w="3085" w:type="dxa"/>
            <w:vMerge/>
            <w:shd w:val="clear" w:color="auto" w:fill="DBE5F1" w:themeFill="accent1" w:themeFillTint="33"/>
          </w:tcPr>
          <w:p w:rsidR="00441BBC" w:rsidRPr="000631C0" w:rsidRDefault="00441BBC" w:rsidP="00F71174">
            <w:pPr>
              <w:rPr>
                <w:b/>
                <w:color w:val="002060"/>
                <w:sz w:val="24"/>
                <w:szCs w:val="24"/>
              </w:rPr>
            </w:pPr>
          </w:p>
        </w:tc>
        <w:tc>
          <w:tcPr>
            <w:tcW w:w="6804" w:type="dxa"/>
          </w:tcPr>
          <w:p w:rsidR="00441BBC" w:rsidRPr="000E7380" w:rsidRDefault="00441BBC" w:rsidP="000B0F35">
            <w:pPr>
              <w:jc w:val="both"/>
              <w:rPr>
                <w:sz w:val="24"/>
                <w:szCs w:val="24"/>
              </w:rPr>
            </w:pPr>
            <w:r>
              <w:rPr>
                <w:rFonts w:asciiTheme="minorHAnsi" w:hAnsiTheme="minorHAnsi"/>
                <w:sz w:val="24"/>
                <w:szCs w:val="24"/>
              </w:rPr>
              <w:t>Elle est conforme à</w:t>
            </w:r>
            <w:r w:rsidRPr="000E7380">
              <w:rPr>
                <w:rFonts w:asciiTheme="minorHAnsi" w:hAnsiTheme="minorHAnsi"/>
                <w:sz w:val="24"/>
                <w:szCs w:val="24"/>
              </w:rPr>
              <w:t xml:space="preserve"> une norme choisie</w:t>
            </w:r>
          </w:p>
        </w:tc>
        <w:tc>
          <w:tcPr>
            <w:tcW w:w="4329" w:type="dxa"/>
          </w:tcPr>
          <w:p w:rsidR="00441BBC" w:rsidRDefault="00441BBC" w:rsidP="000B0F35">
            <w:pPr>
              <w:jc w:val="center"/>
              <w:rPr>
                <w:sz w:val="28"/>
              </w:rPr>
            </w:pPr>
          </w:p>
          <w:p w:rsidR="00441BBC" w:rsidRDefault="00441BBC" w:rsidP="000B0F35">
            <w:pPr>
              <w:jc w:val="center"/>
              <w:rPr>
                <w:sz w:val="28"/>
              </w:rPr>
            </w:pPr>
          </w:p>
        </w:tc>
      </w:tr>
      <w:tr w:rsidR="000E7380" w:rsidRPr="00976BF5" w:rsidTr="000631C0">
        <w:tc>
          <w:tcPr>
            <w:tcW w:w="3085" w:type="dxa"/>
            <w:vMerge w:val="restart"/>
            <w:shd w:val="clear" w:color="auto" w:fill="DBE5F1" w:themeFill="accent1" w:themeFillTint="33"/>
          </w:tcPr>
          <w:p w:rsidR="000E7380" w:rsidRPr="000631C0" w:rsidRDefault="000E7380" w:rsidP="00F71174">
            <w:pPr>
              <w:rPr>
                <w:rFonts w:asciiTheme="minorHAnsi" w:hAnsiTheme="minorHAnsi"/>
                <w:b/>
                <w:color w:val="002060"/>
                <w:sz w:val="24"/>
                <w:szCs w:val="24"/>
              </w:rPr>
            </w:pPr>
            <w:r w:rsidRPr="000631C0">
              <w:rPr>
                <w:rFonts w:asciiTheme="minorHAnsi" w:hAnsiTheme="minorHAnsi"/>
                <w:b/>
                <w:color w:val="002060"/>
                <w:sz w:val="24"/>
                <w:szCs w:val="24"/>
              </w:rPr>
              <w:t>Respect des règles d’écriture d’un résumé</w:t>
            </w:r>
          </w:p>
        </w:tc>
        <w:tc>
          <w:tcPr>
            <w:tcW w:w="6804" w:type="dxa"/>
          </w:tcPr>
          <w:p w:rsidR="000E7380" w:rsidRPr="000E7380" w:rsidRDefault="000E7380" w:rsidP="000B0F35">
            <w:pPr>
              <w:jc w:val="both"/>
              <w:rPr>
                <w:rFonts w:asciiTheme="minorHAnsi" w:hAnsiTheme="minorHAnsi"/>
                <w:sz w:val="24"/>
                <w:szCs w:val="24"/>
              </w:rPr>
            </w:pPr>
            <w:r w:rsidRPr="000E7380">
              <w:rPr>
                <w:rFonts w:asciiTheme="minorHAnsi" w:hAnsiTheme="minorHAnsi"/>
                <w:sz w:val="24"/>
                <w:szCs w:val="24"/>
              </w:rPr>
              <w:t xml:space="preserve">Les idées principales sont retrouvées dans le </w:t>
            </w:r>
            <w:r w:rsidRPr="00441BBC">
              <w:rPr>
                <w:rFonts w:asciiTheme="minorHAnsi" w:hAnsiTheme="minorHAnsi"/>
                <w:b/>
                <w:sz w:val="24"/>
                <w:szCs w:val="24"/>
              </w:rPr>
              <w:t>résumé</w:t>
            </w:r>
          </w:p>
        </w:tc>
        <w:tc>
          <w:tcPr>
            <w:tcW w:w="4329" w:type="dxa"/>
          </w:tcPr>
          <w:p w:rsidR="000E7380" w:rsidRDefault="000E7380" w:rsidP="000B0F35">
            <w:pPr>
              <w:jc w:val="center"/>
              <w:rPr>
                <w:rFonts w:asciiTheme="minorHAnsi" w:hAnsiTheme="minorHAnsi"/>
                <w:sz w:val="28"/>
              </w:rPr>
            </w:pPr>
          </w:p>
          <w:p w:rsidR="00C16DCA" w:rsidRPr="000E7380" w:rsidRDefault="00C16DCA" w:rsidP="000B0F35">
            <w:pPr>
              <w:jc w:val="center"/>
              <w:rPr>
                <w:rFonts w:asciiTheme="minorHAnsi" w:hAnsiTheme="minorHAnsi"/>
                <w:sz w:val="28"/>
              </w:rPr>
            </w:pPr>
          </w:p>
        </w:tc>
      </w:tr>
      <w:tr w:rsidR="000E7380" w:rsidRPr="00976BF5" w:rsidTr="000631C0">
        <w:tc>
          <w:tcPr>
            <w:tcW w:w="3085" w:type="dxa"/>
            <w:vMerge/>
            <w:shd w:val="clear" w:color="auto" w:fill="DBE5F1" w:themeFill="accent1" w:themeFillTint="33"/>
          </w:tcPr>
          <w:p w:rsidR="000E7380" w:rsidRPr="000631C0" w:rsidRDefault="000E7380" w:rsidP="00F71174">
            <w:pPr>
              <w:rPr>
                <w:rFonts w:asciiTheme="minorHAnsi" w:hAnsiTheme="minorHAnsi"/>
                <w:b/>
                <w:color w:val="002060"/>
                <w:sz w:val="24"/>
                <w:szCs w:val="24"/>
              </w:rPr>
            </w:pPr>
          </w:p>
        </w:tc>
        <w:tc>
          <w:tcPr>
            <w:tcW w:w="6804" w:type="dxa"/>
          </w:tcPr>
          <w:p w:rsidR="000E7380" w:rsidRPr="000E7380" w:rsidRDefault="000E7380" w:rsidP="000E7380">
            <w:pPr>
              <w:jc w:val="both"/>
              <w:rPr>
                <w:rFonts w:asciiTheme="minorHAnsi" w:hAnsiTheme="minorHAnsi"/>
                <w:sz w:val="24"/>
                <w:szCs w:val="24"/>
              </w:rPr>
            </w:pPr>
            <w:r w:rsidRPr="000E7380">
              <w:rPr>
                <w:rFonts w:asciiTheme="minorHAnsi" w:hAnsiTheme="minorHAnsi"/>
                <w:sz w:val="24"/>
                <w:szCs w:val="24"/>
              </w:rPr>
              <w:t xml:space="preserve">Le </w:t>
            </w:r>
            <w:r w:rsidRPr="00441BBC">
              <w:rPr>
                <w:rFonts w:asciiTheme="minorHAnsi" w:hAnsiTheme="minorHAnsi"/>
                <w:b/>
                <w:sz w:val="24"/>
                <w:szCs w:val="24"/>
              </w:rPr>
              <w:t>résumé</w:t>
            </w:r>
            <w:r w:rsidRPr="000E7380">
              <w:rPr>
                <w:rFonts w:asciiTheme="minorHAnsi" w:hAnsiTheme="minorHAnsi"/>
                <w:sz w:val="24"/>
                <w:szCs w:val="24"/>
              </w:rPr>
              <w:t xml:space="preserve"> est de taille convenable : max. 20 lignes</w:t>
            </w:r>
          </w:p>
        </w:tc>
        <w:tc>
          <w:tcPr>
            <w:tcW w:w="4329" w:type="dxa"/>
          </w:tcPr>
          <w:p w:rsidR="000E7380" w:rsidRDefault="000E7380" w:rsidP="000B0F35">
            <w:pPr>
              <w:jc w:val="center"/>
              <w:rPr>
                <w:rFonts w:asciiTheme="minorHAnsi" w:hAnsiTheme="minorHAnsi"/>
                <w:sz w:val="28"/>
              </w:rPr>
            </w:pPr>
          </w:p>
          <w:p w:rsidR="00C16DCA" w:rsidRPr="000E7380" w:rsidRDefault="00C16DCA" w:rsidP="000B0F35">
            <w:pPr>
              <w:jc w:val="center"/>
              <w:rPr>
                <w:rFonts w:asciiTheme="minorHAnsi" w:hAnsiTheme="minorHAnsi"/>
                <w:sz w:val="28"/>
              </w:rPr>
            </w:pPr>
          </w:p>
        </w:tc>
      </w:tr>
      <w:tr w:rsidR="00F71174" w:rsidRPr="00976BF5" w:rsidTr="000631C0">
        <w:tc>
          <w:tcPr>
            <w:tcW w:w="3085" w:type="dxa"/>
            <w:shd w:val="clear" w:color="auto" w:fill="DBE5F1" w:themeFill="accent1" w:themeFillTint="33"/>
          </w:tcPr>
          <w:p w:rsidR="00F71174" w:rsidRPr="000631C0" w:rsidRDefault="00F71174" w:rsidP="00F71174">
            <w:pPr>
              <w:rPr>
                <w:rFonts w:asciiTheme="minorHAnsi" w:hAnsiTheme="minorHAnsi"/>
                <w:b/>
                <w:color w:val="002060"/>
                <w:sz w:val="24"/>
                <w:szCs w:val="24"/>
              </w:rPr>
            </w:pPr>
            <w:r w:rsidRPr="000631C0">
              <w:rPr>
                <w:rFonts w:asciiTheme="minorHAnsi" w:hAnsiTheme="minorHAnsi"/>
                <w:b/>
                <w:color w:val="002060"/>
                <w:sz w:val="24"/>
                <w:szCs w:val="24"/>
              </w:rPr>
              <w:t>Présentation de l’auteur</w:t>
            </w:r>
          </w:p>
        </w:tc>
        <w:tc>
          <w:tcPr>
            <w:tcW w:w="6804" w:type="dxa"/>
          </w:tcPr>
          <w:p w:rsidR="00F71174" w:rsidRPr="00F71174" w:rsidRDefault="00F71174" w:rsidP="000B0F35">
            <w:pPr>
              <w:jc w:val="both"/>
              <w:rPr>
                <w:rFonts w:asciiTheme="minorHAnsi" w:hAnsiTheme="minorHAnsi"/>
                <w:sz w:val="24"/>
                <w:szCs w:val="24"/>
              </w:rPr>
            </w:pPr>
            <w:r w:rsidRPr="00F71174">
              <w:rPr>
                <w:rFonts w:asciiTheme="minorHAnsi" w:hAnsiTheme="minorHAnsi"/>
                <w:sz w:val="24"/>
                <w:szCs w:val="24"/>
              </w:rPr>
              <w:t xml:space="preserve">L’(les) </w:t>
            </w:r>
            <w:r w:rsidRPr="00441BBC">
              <w:rPr>
                <w:rFonts w:asciiTheme="minorHAnsi" w:hAnsiTheme="minorHAnsi"/>
                <w:b/>
                <w:sz w:val="24"/>
                <w:szCs w:val="24"/>
              </w:rPr>
              <w:t>auteur</w:t>
            </w:r>
            <w:r w:rsidRPr="00F71174">
              <w:rPr>
                <w:rFonts w:asciiTheme="minorHAnsi" w:hAnsiTheme="minorHAnsi"/>
                <w:sz w:val="24"/>
                <w:szCs w:val="24"/>
              </w:rPr>
              <w:t>(s) sont présenté</w:t>
            </w:r>
            <w:r w:rsidR="00441BBC">
              <w:rPr>
                <w:rFonts w:asciiTheme="minorHAnsi" w:hAnsiTheme="minorHAnsi"/>
                <w:sz w:val="24"/>
                <w:szCs w:val="24"/>
              </w:rPr>
              <w:t>(</w:t>
            </w:r>
            <w:r w:rsidRPr="00F71174">
              <w:rPr>
                <w:rFonts w:asciiTheme="minorHAnsi" w:hAnsiTheme="minorHAnsi"/>
                <w:sz w:val="24"/>
                <w:szCs w:val="24"/>
              </w:rPr>
              <w:t>s</w:t>
            </w:r>
            <w:r w:rsidR="00441BBC">
              <w:rPr>
                <w:rFonts w:asciiTheme="minorHAnsi" w:hAnsiTheme="minorHAnsi"/>
                <w:sz w:val="24"/>
                <w:szCs w:val="24"/>
              </w:rPr>
              <w:t>)</w:t>
            </w:r>
            <w:r w:rsidRPr="00F71174">
              <w:rPr>
                <w:rFonts w:asciiTheme="minorHAnsi" w:hAnsiTheme="minorHAnsi"/>
                <w:sz w:val="24"/>
                <w:szCs w:val="24"/>
              </w:rPr>
              <w:t> : éventuellement quelques caractéristiques, et certains de ses/leurs autre</w:t>
            </w:r>
            <w:r w:rsidR="00441BBC">
              <w:rPr>
                <w:rFonts w:asciiTheme="minorHAnsi" w:hAnsiTheme="minorHAnsi"/>
                <w:sz w:val="24"/>
                <w:szCs w:val="24"/>
              </w:rPr>
              <w:t>(</w:t>
            </w:r>
            <w:r w:rsidRPr="00F71174">
              <w:rPr>
                <w:rFonts w:asciiTheme="minorHAnsi" w:hAnsiTheme="minorHAnsi"/>
                <w:sz w:val="24"/>
                <w:szCs w:val="24"/>
              </w:rPr>
              <w:t>s</w:t>
            </w:r>
            <w:r w:rsidR="00441BBC">
              <w:rPr>
                <w:rFonts w:asciiTheme="minorHAnsi" w:hAnsiTheme="minorHAnsi"/>
                <w:sz w:val="24"/>
                <w:szCs w:val="24"/>
              </w:rPr>
              <w:t>)</w:t>
            </w:r>
            <w:r w:rsidRPr="00F71174">
              <w:rPr>
                <w:rFonts w:asciiTheme="minorHAnsi" w:hAnsiTheme="minorHAnsi"/>
                <w:sz w:val="24"/>
                <w:szCs w:val="24"/>
              </w:rPr>
              <w:t xml:space="preserve"> ouvrage</w:t>
            </w:r>
            <w:r w:rsidR="00441BBC">
              <w:rPr>
                <w:rFonts w:asciiTheme="minorHAnsi" w:hAnsiTheme="minorHAnsi"/>
                <w:sz w:val="24"/>
                <w:szCs w:val="24"/>
              </w:rPr>
              <w:t>(</w:t>
            </w:r>
            <w:r w:rsidRPr="00F71174">
              <w:rPr>
                <w:rFonts w:asciiTheme="minorHAnsi" w:hAnsiTheme="minorHAnsi"/>
                <w:sz w:val="24"/>
                <w:szCs w:val="24"/>
              </w:rPr>
              <w:t>s</w:t>
            </w:r>
            <w:r w:rsidR="00441BBC">
              <w:rPr>
                <w:rFonts w:asciiTheme="minorHAnsi" w:hAnsiTheme="minorHAnsi"/>
                <w:sz w:val="24"/>
                <w:szCs w:val="24"/>
              </w:rPr>
              <w:t>)</w:t>
            </w:r>
            <w:r w:rsidRPr="00F71174">
              <w:rPr>
                <w:rFonts w:asciiTheme="minorHAnsi" w:hAnsiTheme="minorHAnsi"/>
                <w:sz w:val="24"/>
                <w:szCs w:val="24"/>
              </w:rPr>
              <w:t xml:space="preserve"> </w:t>
            </w:r>
          </w:p>
        </w:tc>
        <w:tc>
          <w:tcPr>
            <w:tcW w:w="4329" w:type="dxa"/>
          </w:tcPr>
          <w:p w:rsidR="00F71174" w:rsidRDefault="00F71174" w:rsidP="000B0F35">
            <w:pPr>
              <w:jc w:val="center"/>
              <w:rPr>
                <w:sz w:val="28"/>
              </w:rPr>
            </w:pPr>
          </w:p>
          <w:p w:rsidR="00C16DCA" w:rsidRDefault="00C16DCA" w:rsidP="000B0F35">
            <w:pPr>
              <w:jc w:val="center"/>
              <w:rPr>
                <w:sz w:val="28"/>
              </w:rPr>
            </w:pPr>
          </w:p>
          <w:p w:rsidR="00C16DCA" w:rsidRPr="000E7380" w:rsidRDefault="00C16DCA" w:rsidP="000B0F35">
            <w:pPr>
              <w:jc w:val="center"/>
              <w:rPr>
                <w:sz w:val="28"/>
              </w:rPr>
            </w:pPr>
          </w:p>
        </w:tc>
      </w:tr>
      <w:tr w:rsidR="000E7380" w:rsidRPr="00976BF5" w:rsidTr="000631C0">
        <w:tc>
          <w:tcPr>
            <w:tcW w:w="3085" w:type="dxa"/>
            <w:shd w:val="clear" w:color="auto" w:fill="DBE5F1" w:themeFill="accent1" w:themeFillTint="33"/>
          </w:tcPr>
          <w:p w:rsidR="000E7380" w:rsidRPr="000631C0" w:rsidRDefault="000E7380" w:rsidP="00F71174">
            <w:pPr>
              <w:rPr>
                <w:rFonts w:asciiTheme="minorHAnsi" w:hAnsiTheme="minorHAnsi"/>
                <w:b/>
                <w:color w:val="002060"/>
                <w:sz w:val="24"/>
                <w:szCs w:val="24"/>
              </w:rPr>
            </w:pPr>
            <w:r w:rsidRPr="000631C0">
              <w:rPr>
                <w:rFonts w:asciiTheme="minorHAnsi" w:hAnsiTheme="minorHAnsi"/>
                <w:b/>
                <w:color w:val="002060"/>
                <w:sz w:val="24"/>
                <w:szCs w:val="24"/>
              </w:rPr>
              <w:t>Respect des idées de l’auteur</w:t>
            </w:r>
          </w:p>
        </w:tc>
        <w:tc>
          <w:tcPr>
            <w:tcW w:w="6804" w:type="dxa"/>
          </w:tcPr>
          <w:p w:rsidR="000E7380" w:rsidRPr="000E7380" w:rsidRDefault="000E7380" w:rsidP="000B0F35">
            <w:pPr>
              <w:jc w:val="both"/>
              <w:rPr>
                <w:rFonts w:asciiTheme="minorHAnsi" w:hAnsiTheme="minorHAnsi"/>
                <w:sz w:val="24"/>
                <w:szCs w:val="24"/>
              </w:rPr>
            </w:pPr>
            <w:r w:rsidRPr="000E7380">
              <w:rPr>
                <w:rFonts w:asciiTheme="minorHAnsi" w:hAnsiTheme="minorHAnsi"/>
                <w:sz w:val="24"/>
                <w:szCs w:val="24"/>
              </w:rPr>
              <w:t xml:space="preserve">Les </w:t>
            </w:r>
            <w:r w:rsidRPr="00441BBC">
              <w:rPr>
                <w:rFonts w:asciiTheme="minorHAnsi" w:hAnsiTheme="minorHAnsi"/>
                <w:b/>
                <w:sz w:val="24"/>
                <w:szCs w:val="24"/>
              </w:rPr>
              <w:t>idées principales</w:t>
            </w:r>
            <w:r w:rsidRPr="000E7380">
              <w:rPr>
                <w:rFonts w:asciiTheme="minorHAnsi" w:hAnsiTheme="minorHAnsi"/>
                <w:sz w:val="24"/>
                <w:szCs w:val="24"/>
              </w:rPr>
              <w:t>, les courants théoriques de référence</w:t>
            </w:r>
            <w:r w:rsidR="00441BBC">
              <w:rPr>
                <w:rFonts w:asciiTheme="minorHAnsi" w:hAnsiTheme="minorHAnsi"/>
                <w:sz w:val="24"/>
                <w:szCs w:val="24"/>
              </w:rPr>
              <w:t xml:space="preserve"> (le cas échéant)</w:t>
            </w:r>
            <w:r w:rsidRPr="000E7380">
              <w:rPr>
                <w:rFonts w:asciiTheme="minorHAnsi" w:hAnsiTheme="minorHAnsi"/>
                <w:sz w:val="24"/>
                <w:szCs w:val="24"/>
              </w:rPr>
              <w:t xml:space="preserve"> sont mentionnés et expliqués</w:t>
            </w:r>
          </w:p>
        </w:tc>
        <w:tc>
          <w:tcPr>
            <w:tcW w:w="4329" w:type="dxa"/>
          </w:tcPr>
          <w:p w:rsidR="000E7380" w:rsidRDefault="000E7380" w:rsidP="000B0F35">
            <w:pPr>
              <w:jc w:val="center"/>
              <w:rPr>
                <w:rFonts w:asciiTheme="minorHAnsi" w:hAnsiTheme="minorHAnsi"/>
                <w:sz w:val="28"/>
              </w:rPr>
            </w:pPr>
          </w:p>
          <w:p w:rsidR="00C16DCA" w:rsidRDefault="00C16DCA" w:rsidP="000B0F35">
            <w:pPr>
              <w:jc w:val="center"/>
              <w:rPr>
                <w:rFonts w:asciiTheme="minorHAnsi" w:hAnsiTheme="minorHAnsi"/>
                <w:sz w:val="28"/>
              </w:rPr>
            </w:pPr>
          </w:p>
          <w:p w:rsidR="00C16DCA" w:rsidRPr="000E7380" w:rsidRDefault="00C16DCA" w:rsidP="000B0F35">
            <w:pPr>
              <w:jc w:val="center"/>
              <w:rPr>
                <w:rFonts w:asciiTheme="minorHAnsi" w:hAnsiTheme="minorHAnsi"/>
                <w:sz w:val="28"/>
              </w:rPr>
            </w:pPr>
          </w:p>
        </w:tc>
      </w:tr>
      <w:tr w:rsidR="00441BBC" w:rsidRPr="00976BF5" w:rsidTr="000631C0">
        <w:tc>
          <w:tcPr>
            <w:tcW w:w="3085" w:type="dxa"/>
            <w:shd w:val="clear" w:color="auto" w:fill="DBE5F1" w:themeFill="accent1" w:themeFillTint="33"/>
          </w:tcPr>
          <w:p w:rsidR="00441BBC" w:rsidRPr="000631C0" w:rsidRDefault="00441BBC" w:rsidP="00F71174">
            <w:pPr>
              <w:rPr>
                <w:rFonts w:asciiTheme="minorHAnsi" w:hAnsiTheme="minorHAnsi"/>
                <w:b/>
                <w:color w:val="002060"/>
                <w:sz w:val="24"/>
                <w:szCs w:val="24"/>
              </w:rPr>
            </w:pPr>
            <w:r w:rsidRPr="000631C0">
              <w:rPr>
                <w:rFonts w:asciiTheme="minorHAnsi" w:hAnsiTheme="minorHAnsi"/>
                <w:b/>
                <w:color w:val="002060"/>
                <w:sz w:val="24"/>
                <w:szCs w:val="24"/>
              </w:rPr>
              <w:t>Présence de remarques ou de commentaires personnels</w:t>
            </w:r>
          </w:p>
        </w:tc>
        <w:tc>
          <w:tcPr>
            <w:tcW w:w="6804" w:type="dxa"/>
          </w:tcPr>
          <w:p w:rsidR="00441BBC" w:rsidRPr="00441BBC" w:rsidRDefault="00441BBC" w:rsidP="000B0F35">
            <w:pPr>
              <w:jc w:val="both"/>
              <w:rPr>
                <w:rFonts w:asciiTheme="minorHAnsi" w:hAnsiTheme="minorHAnsi"/>
                <w:sz w:val="24"/>
                <w:szCs w:val="24"/>
              </w:rPr>
            </w:pPr>
            <w:r w:rsidRPr="00441BBC">
              <w:rPr>
                <w:rFonts w:asciiTheme="minorHAnsi" w:hAnsiTheme="minorHAnsi"/>
                <w:sz w:val="24"/>
                <w:szCs w:val="24"/>
              </w:rPr>
              <w:t xml:space="preserve">La dernière partie de la fiche de lecture comporte des </w:t>
            </w:r>
            <w:r w:rsidRPr="00441BBC">
              <w:rPr>
                <w:rFonts w:asciiTheme="minorHAnsi" w:hAnsiTheme="minorHAnsi"/>
                <w:b/>
                <w:sz w:val="24"/>
                <w:szCs w:val="24"/>
              </w:rPr>
              <w:t>remarques ou de commentaires personnels</w:t>
            </w:r>
          </w:p>
        </w:tc>
        <w:tc>
          <w:tcPr>
            <w:tcW w:w="4329" w:type="dxa"/>
          </w:tcPr>
          <w:p w:rsidR="00441BBC" w:rsidRDefault="00441BBC" w:rsidP="000B0F35">
            <w:pPr>
              <w:jc w:val="center"/>
              <w:rPr>
                <w:sz w:val="28"/>
              </w:rPr>
            </w:pPr>
          </w:p>
        </w:tc>
      </w:tr>
      <w:tr w:rsidR="000E7380" w:rsidRPr="00976BF5" w:rsidTr="000631C0">
        <w:tc>
          <w:tcPr>
            <w:tcW w:w="3085" w:type="dxa"/>
            <w:shd w:val="clear" w:color="auto" w:fill="DBE5F1" w:themeFill="accent1" w:themeFillTint="33"/>
          </w:tcPr>
          <w:p w:rsidR="000E7380" w:rsidRPr="000631C0" w:rsidRDefault="00F71174" w:rsidP="00F71174">
            <w:pPr>
              <w:rPr>
                <w:rFonts w:asciiTheme="minorHAnsi" w:hAnsiTheme="minorHAnsi"/>
                <w:b/>
                <w:color w:val="002060"/>
                <w:sz w:val="24"/>
                <w:szCs w:val="24"/>
              </w:rPr>
            </w:pPr>
            <w:r w:rsidRPr="000631C0">
              <w:rPr>
                <w:rFonts w:asciiTheme="minorHAnsi" w:hAnsiTheme="minorHAnsi"/>
                <w:b/>
                <w:color w:val="002060"/>
                <w:sz w:val="24"/>
                <w:szCs w:val="24"/>
              </w:rPr>
              <w:t>Respect du nombre de pages</w:t>
            </w:r>
          </w:p>
        </w:tc>
        <w:tc>
          <w:tcPr>
            <w:tcW w:w="6804" w:type="dxa"/>
          </w:tcPr>
          <w:p w:rsidR="000E7380" w:rsidRPr="00F71174" w:rsidRDefault="00F71174" w:rsidP="00F71174">
            <w:pPr>
              <w:spacing w:before="240"/>
              <w:rPr>
                <w:rFonts w:asciiTheme="minorHAnsi" w:hAnsiTheme="minorHAnsi"/>
                <w:sz w:val="24"/>
                <w:szCs w:val="24"/>
              </w:rPr>
            </w:pPr>
            <w:r>
              <w:rPr>
                <w:rFonts w:asciiTheme="minorHAnsi" w:hAnsiTheme="minorHAnsi"/>
                <w:sz w:val="24"/>
                <w:szCs w:val="24"/>
              </w:rPr>
              <w:t>La fiche comporte</w:t>
            </w:r>
            <w:r w:rsidRPr="00F71174">
              <w:rPr>
                <w:rFonts w:asciiTheme="minorHAnsi" w:hAnsiTheme="minorHAnsi"/>
                <w:sz w:val="24"/>
                <w:szCs w:val="24"/>
              </w:rPr>
              <w:t xml:space="preserve"> entre 12 et 15 pages maximum.</w:t>
            </w:r>
          </w:p>
        </w:tc>
        <w:tc>
          <w:tcPr>
            <w:tcW w:w="4329" w:type="dxa"/>
          </w:tcPr>
          <w:p w:rsidR="000E7380" w:rsidRDefault="000E7380" w:rsidP="000B0F35">
            <w:pPr>
              <w:jc w:val="center"/>
              <w:rPr>
                <w:rFonts w:asciiTheme="minorHAnsi" w:hAnsiTheme="minorHAnsi"/>
                <w:sz w:val="28"/>
              </w:rPr>
            </w:pPr>
          </w:p>
          <w:p w:rsidR="00C16DCA" w:rsidRDefault="00C16DCA" w:rsidP="000B0F35">
            <w:pPr>
              <w:jc w:val="center"/>
              <w:rPr>
                <w:rFonts w:asciiTheme="minorHAnsi" w:hAnsiTheme="minorHAnsi"/>
                <w:sz w:val="28"/>
              </w:rPr>
            </w:pPr>
          </w:p>
          <w:p w:rsidR="00C16DCA" w:rsidRPr="000E7380" w:rsidRDefault="00C16DCA" w:rsidP="000B0F35">
            <w:pPr>
              <w:jc w:val="center"/>
              <w:rPr>
                <w:rFonts w:asciiTheme="minorHAnsi" w:hAnsiTheme="minorHAnsi"/>
                <w:sz w:val="28"/>
              </w:rPr>
            </w:pPr>
          </w:p>
        </w:tc>
      </w:tr>
      <w:tr w:rsidR="00502684" w:rsidRPr="00976BF5" w:rsidTr="000631C0">
        <w:tc>
          <w:tcPr>
            <w:tcW w:w="3085" w:type="dxa"/>
            <w:shd w:val="clear" w:color="auto" w:fill="DBE5F1" w:themeFill="accent1" w:themeFillTint="33"/>
            <w:vAlign w:val="center"/>
          </w:tcPr>
          <w:p w:rsidR="00502684" w:rsidRPr="000631C0" w:rsidRDefault="00502684" w:rsidP="00502684">
            <w:pPr>
              <w:rPr>
                <w:rFonts w:asciiTheme="minorHAnsi" w:hAnsiTheme="minorHAnsi"/>
                <w:b/>
                <w:color w:val="002060"/>
                <w:sz w:val="24"/>
                <w:szCs w:val="24"/>
              </w:rPr>
            </w:pPr>
            <w:r w:rsidRPr="000631C0">
              <w:rPr>
                <w:rFonts w:asciiTheme="minorHAnsi" w:hAnsiTheme="minorHAnsi"/>
                <w:b/>
                <w:color w:val="002060"/>
                <w:sz w:val="24"/>
                <w:szCs w:val="24"/>
              </w:rPr>
              <w:t>Respect des consignes</w:t>
            </w:r>
          </w:p>
        </w:tc>
        <w:tc>
          <w:tcPr>
            <w:tcW w:w="6804" w:type="dxa"/>
          </w:tcPr>
          <w:p w:rsidR="00502684" w:rsidRPr="00502684" w:rsidRDefault="00502684" w:rsidP="00502684">
            <w:pPr>
              <w:spacing w:before="240"/>
              <w:rPr>
                <w:rFonts w:asciiTheme="minorHAnsi" w:hAnsiTheme="minorHAnsi"/>
                <w:sz w:val="24"/>
                <w:szCs w:val="24"/>
              </w:rPr>
            </w:pPr>
            <w:r w:rsidRPr="00502684">
              <w:rPr>
                <w:rFonts w:asciiTheme="minorHAnsi" w:hAnsiTheme="minorHAnsi"/>
                <w:sz w:val="24"/>
                <w:szCs w:val="24"/>
              </w:rPr>
              <w:t>La fiche de lecture est remise</w:t>
            </w:r>
            <w:r>
              <w:rPr>
                <w:rFonts w:asciiTheme="minorHAnsi" w:hAnsiTheme="minorHAnsi"/>
                <w:sz w:val="24"/>
                <w:szCs w:val="24"/>
              </w:rPr>
              <w:t xml:space="preserve"> à la date prévue</w:t>
            </w:r>
          </w:p>
        </w:tc>
        <w:tc>
          <w:tcPr>
            <w:tcW w:w="4329" w:type="dxa"/>
          </w:tcPr>
          <w:p w:rsidR="00502684" w:rsidRDefault="00502684" w:rsidP="000B0F35">
            <w:pPr>
              <w:jc w:val="center"/>
              <w:rPr>
                <w:sz w:val="28"/>
              </w:rPr>
            </w:pPr>
          </w:p>
        </w:tc>
      </w:tr>
    </w:tbl>
    <w:p w:rsidR="000E7380" w:rsidRPr="005457E2" w:rsidRDefault="000E7380" w:rsidP="00394FC0">
      <w:pPr>
        <w:jc w:val="both"/>
        <w:rPr>
          <w:rFonts w:cs="Calibri"/>
          <w:i/>
          <w:iCs/>
          <w:sz w:val="16"/>
          <w:szCs w:val="24"/>
        </w:rPr>
      </w:pPr>
      <w:bookmarkStart w:id="0" w:name="_GoBack"/>
      <w:bookmarkEnd w:id="0"/>
    </w:p>
    <w:sectPr w:rsidR="000E7380" w:rsidRPr="005457E2" w:rsidSect="00736727">
      <w:pgSz w:w="16838" w:h="11906" w:orient="landscape"/>
      <w:pgMar w:top="1418" w:right="1418" w:bottom="992"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B5B" w:rsidRDefault="00B24B5B" w:rsidP="0095597C">
      <w:pPr>
        <w:spacing w:after="0" w:line="240" w:lineRule="auto"/>
      </w:pPr>
      <w:r>
        <w:separator/>
      </w:r>
    </w:p>
  </w:endnote>
  <w:endnote w:type="continuationSeparator" w:id="0">
    <w:p w:rsidR="00B24B5B" w:rsidRDefault="00B24B5B" w:rsidP="00955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7287044"/>
      <w:docPartObj>
        <w:docPartGallery w:val="Page Numbers (Bottom of Page)"/>
        <w:docPartUnique/>
      </w:docPartObj>
    </w:sdtPr>
    <w:sdtEndPr/>
    <w:sdtContent>
      <w:p w:rsidR="00DA3DA9" w:rsidRDefault="00DA3DA9">
        <w:pPr>
          <w:pStyle w:val="Pieddepage"/>
          <w:jc w:val="right"/>
        </w:pPr>
        <w:r w:rsidRPr="00DA3DA9">
          <w:rPr>
            <w:sz w:val="20"/>
          </w:rPr>
          <w:fldChar w:fldCharType="begin"/>
        </w:r>
        <w:r w:rsidRPr="00DA3DA9">
          <w:rPr>
            <w:sz w:val="20"/>
          </w:rPr>
          <w:instrText>PAGE   \* MERGEFORMAT</w:instrText>
        </w:r>
        <w:r w:rsidRPr="00DA3DA9">
          <w:rPr>
            <w:sz w:val="20"/>
          </w:rPr>
          <w:fldChar w:fldCharType="separate"/>
        </w:r>
        <w:r w:rsidR="00757322">
          <w:rPr>
            <w:noProof/>
            <w:sz w:val="20"/>
          </w:rPr>
          <w:t>4</w:t>
        </w:r>
        <w:r w:rsidRPr="00DA3DA9">
          <w:rPr>
            <w:sz w:val="20"/>
          </w:rPr>
          <w:fldChar w:fldCharType="end"/>
        </w:r>
      </w:p>
    </w:sdtContent>
  </w:sdt>
  <w:p w:rsidR="00DA3DA9" w:rsidRDefault="00DA3D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B5B" w:rsidRDefault="00B24B5B" w:rsidP="0095597C">
      <w:pPr>
        <w:spacing w:after="0" w:line="240" w:lineRule="auto"/>
      </w:pPr>
      <w:r>
        <w:separator/>
      </w:r>
    </w:p>
  </w:footnote>
  <w:footnote w:type="continuationSeparator" w:id="0">
    <w:p w:rsidR="00B24B5B" w:rsidRDefault="00B24B5B" w:rsidP="00955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DA9" w:rsidRPr="00C00BB9" w:rsidRDefault="00C00BB9" w:rsidP="000631C0">
    <w:pPr>
      <w:pStyle w:val="En-tte"/>
      <w:ind w:left="-1134" w:right="4079"/>
    </w:pPr>
    <w:r w:rsidRPr="00C00BB9">
      <w:drawing>
        <wp:inline distT="0" distB="0" distL="0" distR="0" wp14:anchorId="5977A613" wp14:editId="35C89630">
          <wp:extent cx="7210425" cy="54102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10425" cy="5410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8674B"/>
    <w:multiLevelType w:val="hybridMultilevel"/>
    <w:tmpl w:val="D60AD362"/>
    <w:lvl w:ilvl="0" w:tplc="98D22B04">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04505A"/>
    <w:multiLevelType w:val="hybridMultilevel"/>
    <w:tmpl w:val="B6FA0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E81F3E"/>
    <w:multiLevelType w:val="hybridMultilevel"/>
    <w:tmpl w:val="6666DBDE"/>
    <w:lvl w:ilvl="0" w:tplc="E7B818E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A91386E"/>
    <w:multiLevelType w:val="hybridMultilevel"/>
    <w:tmpl w:val="046E6C32"/>
    <w:lvl w:ilvl="0" w:tplc="98D22B0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024DA5"/>
    <w:multiLevelType w:val="hybridMultilevel"/>
    <w:tmpl w:val="C7C2E8D8"/>
    <w:lvl w:ilvl="0" w:tplc="6620B6FC">
      <w:numFmt w:val="bullet"/>
      <w:lvlText w:val="-"/>
      <w:lvlJc w:val="left"/>
      <w:pPr>
        <w:tabs>
          <w:tab w:val="num" w:pos="720"/>
        </w:tabs>
        <w:ind w:left="720" w:hanging="360"/>
      </w:pPr>
      <w:rPr>
        <w:rFonts w:ascii="Times New Roman" w:eastAsia="Times New Roman" w:hAnsi="Times New Roman"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6F"/>
    <w:rsid w:val="00025BB3"/>
    <w:rsid w:val="0002706F"/>
    <w:rsid w:val="000308A5"/>
    <w:rsid w:val="000631C0"/>
    <w:rsid w:val="00072666"/>
    <w:rsid w:val="00081D8A"/>
    <w:rsid w:val="000960DD"/>
    <w:rsid w:val="000D29FB"/>
    <w:rsid w:val="000E7380"/>
    <w:rsid w:val="002E7CBF"/>
    <w:rsid w:val="003107B8"/>
    <w:rsid w:val="003867EE"/>
    <w:rsid w:val="00394FC0"/>
    <w:rsid w:val="003F676B"/>
    <w:rsid w:val="0040167E"/>
    <w:rsid w:val="00441BBC"/>
    <w:rsid w:val="00502684"/>
    <w:rsid w:val="005457E2"/>
    <w:rsid w:val="005861F5"/>
    <w:rsid w:val="005C329C"/>
    <w:rsid w:val="00601333"/>
    <w:rsid w:val="00691473"/>
    <w:rsid w:val="006F30C7"/>
    <w:rsid w:val="00710527"/>
    <w:rsid w:val="00736727"/>
    <w:rsid w:val="00757322"/>
    <w:rsid w:val="00770BC3"/>
    <w:rsid w:val="007716C0"/>
    <w:rsid w:val="007A108D"/>
    <w:rsid w:val="008621D0"/>
    <w:rsid w:val="008C6CFE"/>
    <w:rsid w:val="00924464"/>
    <w:rsid w:val="00945DB8"/>
    <w:rsid w:val="0095597C"/>
    <w:rsid w:val="00995D59"/>
    <w:rsid w:val="009B2411"/>
    <w:rsid w:val="009B4144"/>
    <w:rsid w:val="009D342A"/>
    <w:rsid w:val="00A1060F"/>
    <w:rsid w:val="00A333DC"/>
    <w:rsid w:val="00AC2291"/>
    <w:rsid w:val="00AC51A7"/>
    <w:rsid w:val="00AD77DF"/>
    <w:rsid w:val="00B24B5B"/>
    <w:rsid w:val="00B34ADA"/>
    <w:rsid w:val="00B81F84"/>
    <w:rsid w:val="00BD5D03"/>
    <w:rsid w:val="00C00BB9"/>
    <w:rsid w:val="00C12227"/>
    <w:rsid w:val="00C16DCA"/>
    <w:rsid w:val="00C230E3"/>
    <w:rsid w:val="00C651A4"/>
    <w:rsid w:val="00CF6E7D"/>
    <w:rsid w:val="00D13E31"/>
    <w:rsid w:val="00D86236"/>
    <w:rsid w:val="00DA3DA9"/>
    <w:rsid w:val="00F10933"/>
    <w:rsid w:val="00F71174"/>
    <w:rsid w:val="00FB31E4"/>
    <w:rsid w:val="00FC5A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804BB"/>
  <w15:docId w15:val="{BFA15ABD-2D79-4077-8032-7DDBCD6AD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F67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unhideWhenUsed/>
    <w:qFormat/>
    <w:rsid w:val="00AD7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706F"/>
    <w:pPr>
      <w:ind w:left="720"/>
      <w:contextualSpacing/>
    </w:pPr>
  </w:style>
  <w:style w:type="table" w:styleId="Grilledutableau">
    <w:name w:val="Table Grid"/>
    <w:basedOn w:val="TableauNormal"/>
    <w:rsid w:val="003867EE"/>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rsid w:val="003867EE"/>
    <w:rPr>
      <w:color w:val="0000FF"/>
      <w:u w:val="single"/>
    </w:rPr>
  </w:style>
  <w:style w:type="paragraph" w:styleId="En-tte">
    <w:name w:val="header"/>
    <w:basedOn w:val="Normal"/>
    <w:link w:val="En-tteCar"/>
    <w:uiPriority w:val="99"/>
    <w:unhideWhenUsed/>
    <w:rsid w:val="0095597C"/>
    <w:pPr>
      <w:tabs>
        <w:tab w:val="center" w:pos="4536"/>
        <w:tab w:val="right" w:pos="9072"/>
      </w:tabs>
      <w:spacing w:after="0" w:line="240" w:lineRule="auto"/>
    </w:pPr>
  </w:style>
  <w:style w:type="character" w:customStyle="1" w:styleId="En-tteCar">
    <w:name w:val="En-tête Car"/>
    <w:basedOn w:val="Policepardfaut"/>
    <w:link w:val="En-tte"/>
    <w:uiPriority w:val="99"/>
    <w:rsid w:val="0095597C"/>
  </w:style>
  <w:style w:type="paragraph" w:styleId="Pieddepage">
    <w:name w:val="footer"/>
    <w:basedOn w:val="Normal"/>
    <w:link w:val="PieddepageCar"/>
    <w:uiPriority w:val="99"/>
    <w:unhideWhenUsed/>
    <w:rsid w:val="009559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597C"/>
  </w:style>
  <w:style w:type="paragraph" w:styleId="Textedebulles">
    <w:name w:val="Balloon Text"/>
    <w:basedOn w:val="Normal"/>
    <w:link w:val="TextedebullesCar"/>
    <w:uiPriority w:val="99"/>
    <w:semiHidden/>
    <w:unhideWhenUsed/>
    <w:rsid w:val="009559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597C"/>
    <w:rPr>
      <w:rFonts w:ascii="Tahoma" w:hAnsi="Tahoma" w:cs="Tahoma"/>
      <w:sz w:val="16"/>
      <w:szCs w:val="16"/>
    </w:rPr>
  </w:style>
  <w:style w:type="character" w:customStyle="1" w:styleId="Titre1Car">
    <w:name w:val="Titre 1 Car"/>
    <w:basedOn w:val="Policepardfaut"/>
    <w:link w:val="Titre1"/>
    <w:uiPriority w:val="9"/>
    <w:rsid w:val="003F676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Policepardfaut"/>
    <w:rsid w:val="0040167E"/>
  </w:style>
  <w:style w:type="character" w:customStyle="1" w:styleId="Titre3Car">
    <w:name w:val="Titre 3 Car"/>
    <w:basedOn w:val="Policepardfaut"/>
    <w:link w:val="Titre3"/>
    <w:uiPriority w:val="9"/>
    <w:rsid w:val="00AD77DF"/>
    <w:rPr>
      <w:rFonts w:asciiTheme="majorHAnsi" w:eastAsiaTheme="majorEastAsia" w:hAnsiTheme="majorHAnsi" w:cstheme="majorBidi"/>
      <w:color w:val="243F60" w:themeColor="accent1" w:themeShade="7F"/>
      <w:sz w:val="24"/>
      <w:szCs w:val="24"/>
    </w:rPr>
  </w:style>
  <w:style w:type="character" w:customStyle="1" w:styleId="titreressources">
    <w:name w:val="titre ressources"/>
    <w:basedOn w:val="Policepardfaut"/>
    <w:uiPriority w:val="1"/>
    <w:rsid w:val="00AD77DF"/>
    <w:rPr>
      <w:rFonts w:ascii="Century Gothic" w:hAnsi="Century Gothic"/>
      <w:b/>
      <w:color w:val="1F497D" w:themeColor="text2"/>
      <w:sz w:val="22"/>
    </w:rPr>
  </w:style>
  <w:style w:type="paragraph" w:styleId="NormalWeb">
    <w:name w:val="Normal (Web)"/>
    <w:basedOn w:val="Normal"/>
    <w:uiPriority w:val="99"/>
    <w:semiHidden/>
    <w:unhideWhenUsed/>
    <w:rsid w:val="00025BB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25B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894943">
      <w:bodyDiv w:val="1"/>
      <w:marLeft w:val="0"/>
      <w:marRight w:val="0"/>
      <w:marTop w:val="0"/>
      <w:marBottom w:val="0"/>
      <w:divBdr>
        <w:top w:val="none" w:sz="0" w:space="0" w:color="auto"/>
        <w:left w:val="none" w:sz="0" w:space="0" w:color="auto"/>
        <w:bottom w:val="none" w:sz="0" w:space="0" w:color="auto"/>
        <w:right w:val="none" w:sz="0" w:space="0" w:color="auto"/>
      </w:divBdr>
    </w:div>
    <w:div w:id="1308704387">
      <w:bodyDiv w:val="1"/>
      <w:marLeft w:val="0"/>
      <w:marRight w:val="0"/>
      <w:marTop w:val="0"/>
      <w:marBottom w:val="0"/>
      <w:divBdr>
        <w:top w:val="none" w:sz="0" w:space="0" w:color="auto"/>
        <w:left w:val="none" w:sz="0" w:space="0" w:color="auto"/>
        <w:bottom w:val="none" w:sz="0" w:space="0" w:color="auto"/>
        <w:right w:val="none" w:sz="0" w:space="0" w:color="auto"/>
      </w:divBdr>
    </w:div>
    <w:div w:id="1607538405">
      <w:bodyDiv w:val="1"/>
      <w:marLeft w:val="0"/>
      <w:marRight w:val="0"/>
      <w:marTop w:val="0"/>
      <w:marBottom w:val="0"/>
      <w:divBdr>
        <w:top w:val="none" w:sz="0" w:space="0" w:color="auto"/>
        <w:left w:val="none" w:sz="0" w:space="0" w:color="auto"/>
        <w:bottom w:val="none" w:sz="0" w:space="0" w:color="auto"/>
        <w:right w:val="none" w:sz="0" w:space="0" w:color="auto"/>
      </w:divBdr>
      <w:divsChild>
        <w:div w:id="2020035578">
          <w:marLeft w:val="0"/>
          <w:marRight w:val="0"/>
          <w:marTop w:val="0"/>
          <w:marBottom w:val="0"/>
          <w:divBdr>
            <w:top w:val="none" w:sz="0" w:space="0" w:color="auto"/>
            <w:left w:val="none" w:sz="0" w:space="0" w:color="auto"/>
            <w:bottom w:val="none" w:sz="0" w:space="0" w:color="auto"/>
            <w:right w:val="none" w:sz="0" w:space="0" w:color="auto"/>
          </w:divBdr>
        </w:div>
      </w:divsChild>
    </w:div>
    <w:div w:id="18171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5</Pages>
  <Words>1549</Words>
  <Characters>8524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DSI-Rectorat de Versailles</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Gaelle Tanguy</dc:creator>
  <cp:lastModifiedBy>Marie-Louise Cotte</cp:lastModifiedBy>
  <cp:revision>3</cp:revision>
  <cp:lastPrinted>2017-01-19T11:28:00Z</cp:lastPrinted>
  <dcterms:created xsi:type="dcterms:W3CDTF">2021-12-21T18:03:00Z</dcterms:created>
  <dcterms:modified xsi:type="dcterms:W3CDTF">2021-12-22T04:47:00Z</dcterms:modified>
</cp:coreProperties>
</file>