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34" w:rsidRDefault="00CF2D13">
      <w:pPr>
        <w:rPr>
          <w:b/>
          <w:bCs/>
        </w:rPr>
      </w:pPr>
      <w:r w:rsidRPr="00CF2D13">
        <w:rPr>
          <w:rFonts w:hint="eastAsia"/>
          <w:b/>
          <w:bCs/>
        </w:rPr>
        <w:t>塞浦路斯护照项目资料</w:t>
      </w:r>
    </w:p>
    <w:p w:rsidR="00CF2D13" w:rsidRDefault="00CF2D13">
      <w:pPr>
        <w:rPr>
          <w:b/>
          <w:bCs/>
        </w:rPr>
      </w:pPr>
    </w:p>
    <w:p w:rsidR="00CF2D13" w:rsidRPr="00CF2D13" w:rsidRDefault="00CF2D13" w:rsidP="00CF2D13">
      <w:pPr>
        <w:rPr>
          <w:b/>
          <w:bCs/>
        </w:rPr>
      </w:pPr>
      <w:r w:rsidRPr="00CF2D13">
        <w:rPr>
          <w:rFonts w:hint="eastAsia"/>
          <w:b/>
          <w:bCs/>
        </w:rPr>
        <w:t>塞浦路斯面积</w:t>
      </w:r>
      <w:r w:rsidRPr="00CF2D13">
        <w:rPr>
          <w:rFonts w:hint="eastAsia"/>
          <w:b/>
          <w:bCs/>
        </w:rPr>
        <w:t>9251</w:t>
      </w:r>
      <w:r w:rsidRPr="00CF2D13">
        <w:rPr>
          <w:rFonts w:hint="eastAsia"/>
          <w:b/>
          <w:bCs/>
        </w:rPr>
        <w:t>平方公里，位于地中海东</w:t>
      </w:r>
      <w:r w:rsidRPr="00CF2D13">
        <w:rPr>
          <w:rFonts w:hint="eastAsia"/>
          <w:b/>
          <w:bCs/>
        </w:rPr>
        <w:t xml:space="preserve"> </w:t>
      </w:r>
    </w:p>
    <w:p w:rsidR="00CF2D13" w:rsidRPr="00CF2D13" w:rsidRDefault="00CF2D13" w:rsidP="00CF2D13">
      <w:pPr>
        <w:rPr>
          <w:b/>
          <w:bCs/>
        </w:rPr>
      </w:pPr>
      <w:r w:rsidRPr="00CF2D13">
        <w:rPr>
          <w:rFonts w:hint="eastAsia"/>
          <w:b/>
          <w:bCs/>
        </w:rPr>
        <w:t>北部、扼亚、非、欧三洲海上交通要冲，为</w:t>
      </w:r>
      <w:r w:rsidRPr="00CF2D13">
        <w:rPr>
          <w:rFonts w:hint="eastAsia"/>
          <w:b/>
          <w:bCs/>
        </w:rPr>
        <w:t xml:space="preserve"> </w:t>
      </w:r>
    </w:p>
    <w:p w:rsidR="00CF2D13" w:rsidRPr="00CF2D13" w:rsidRDefault="00CF2D13" w:rsidP="00CF2D13">
      <w:pPr>
        <w:rPr>
          <w:b/>
          <w:bCs/>
        </w:rPr>
      </w:pPr>
      <w:r w:rsidRPr="00CF2D13">
        <w:rPr>
          <w:rFonts w:hint="eastAsia"/>
          <w:b/>
          <w:bCs/>
        </w:rPr>
        <w:t>地中海第三大岛。北距土耳其</w:t>
      </w:r>
      <w:r w:rsidRPr="00CF2D13">
        <w:rPr>
          <w:rFonts w:hint="eastAsia"/>
          <w:b/>
          <w:bCs/>
        </w:rPr>
        <w:t>40</w:t>
      </w:r>
      <w:r w:rsidRPr="00CF2D13">
        <w:rPr>
          <w:rFonts w:hint="eastAsia"/>
          <w:b/>
          <w:bCs/>
        </w:rPr>
        <w:t>公里，东距</w:t>
      </w:r>
      <w:r w:rsidRPr="00CF2D13">
        <w:rPr>
          <w:rFonts w:hint="eastAsia"/>
          <w:b/>
          <w:bCs/>
        </w:rPr>
        <w:t xml:space="preserve"> </w:t>
      </w:r>
    </w:p>
    <w:p w:rsidR="00CF2D13" w:rsidRPr="00CF2D13" w:rsidRDefault="00CF2D13" w:rsidP="00CF2D13">
      <w:pPr>
        <w:rPr>
          <w:b/>
          <w:bCs/>
        </w:rPr>
      </w:pPr>
      <w:r w:rsidRPr="00CF2D13">
        <w:rPr>
          <w:rFonts w:hint="eastAsia"/>
          <w:b/>
          <w:bCs/>
        </w:rPr>
        <w:t>叙利亚</w:t>
      </w:r>
      <w:r w:rsidRPr="00CF2D13">
        <w:rPr>
          <w:rFonts w:hint="eastAsia"/>
          <w:b/>
          <w:bCs/>
        </w:rPr>
        <w:t>96.55</w:t>
      </w:r>
      <w:r w:rsidRPr="00CF2D13">
        <w:rPr>
          <w:rFonts w:hint="eastAsia"/>
          <w:b/>
          <w:bCs/>
        </w:rPr>
        <w:t>公里，南距埃及的尼罗河三角</w:t>
      </w:r>
      <w:r w:rsidRPr="00CF2D13">
        <w:rPr>
          <w:rFonts w:hint="eastAsia"/>
          <w:b/>
          <w:bCs/>
        </w:rPr>
        <w:t xml:space="preserve"> </w:t>
      </w:r>
    </w:p>
    <w:p w:rsidR="00CF2D13" w:rsidRPr="00CF2D13" w:rsidRDefault="00CF2D13" w:rsidP="00CF2D13">
      <w:pPr>
        <w:rPr>
          <w:b/>
          <w:bCs/>
        </w:rPr>
      </w:pPr>
      <w:r w:rsidRPr="00CF2D13">
        <w:rPr>
          <w:rFonts w:hint="eastAsia"/>
          <w:b/>
          <w:bCs/>
        </w:rPr>
        <w:t>洲</w:t>
      </w:r>
      <w:r w:rsidRPr="00CF2D13">
        <w:rPr>
          <w:rFonts w:hint="eastAsia"/>
          <w:b/>
          <w:bCs/>
        </w:rPr>
        <w:t>402.3</w:t>
      </w:r>
      <w:r w:rsidRPr="00CF2D13">
        <w:rPr>
          <w:rFonts w:hint="eastAsia"/>
          <w:b/>
          <w:bCs/>
        </w:rPr>
        <w:t>公里</w:t>
      </w:r>
      <w:r w:rsidRPr="00CF2D13">
        <w:rPr>
          <w:rFonts w:hint="eastAsia"/>
          <w:b/>
          <w:bCs/>
        </w:rPr>
        <w:t xml:space="preserve"> </w:t>
      </w:r>
      <w:r w:rsidRPr="00CF2D13">
        <w:rPr>
          <w:rFonts w:hint="eastAsia"/>
          <w:b/>
          <w:bCs/>
        </w:rPr>
        <w:t>更多</w:t>
      </w:r>
      <w:r w:rsidRPr="00CF2D13">
        <w:rPr>
          <w:rFonts w:hint="eastAsia"/>
          <w:b/>
          <w:bCs/>
        </w:rPr>
        <w:t xml:space="preserve">: </w:t>
      </w:r>
      <w:r w:rsidRPr="00CF2D13">
        <w:rPr>
          <w:rFonts w:hint="eastAsia"/>
          <w:b/>
          <w:bCs/>
        </w:rPr>
        <w:t>海岸线长</w:t>
      </w:r>
      <w:r w:rsidRPr="00CF2D13">
        <w:rPr>
          <w:rFonts w:hint="eastAsia"/>
          <w:b/>
          <w:bCs/>
        </w:rPr>
        <w:t>782</w:t>
      </w:r>
      <w:r w:rsidRPr="00CF2D13">
        <w:rPr>
          <w:rFonts w:hint="eastAsia"/>
          <w:b/>
          <w:bCs/>
        </w:rPr>
        <w:t>公里。北部</w:t>
      </w:r>
      <w:r w:rsidRPr="00CF2D13">
        <w:rPr>
          <w:rFonts w:hint="eastAsia"/>
          <w:b/>
          <w:bCs/>
        </w:rPr>
        <w:t xml:space="preserve"> </w:t>
      </w:r>
    </w:p>
    <w:p w:rsidR="00CF2D13" w:rsidRPr="00CF2D13" w:rsidRDefault="00CF2D13" w:rsidP="00CF2D13">
      <w:pPr>
        <w:rPr>
          <w:b/>
          <w:bCs/>
        </w:rPr>
      </w:pPr>
      <w:r w:rsidRPr="00CF2D13">
        <w:rPr>
          <w:rFonts w:hint="eastAsia"/>
          <w:b/>
          <w:bCs/>
        </w:rPr>
        <w:t>为狭长的凯里尼亚山脉，中部是美索利亚平</w:t>
      </w:r>
      <w:r w:rsidRPr="00CF2D13">
        <w:rPr>
          <w:rFonts w:hint="eastAsia"/>
          <w:b/>
          <w:bCs/>
        </w:rPr>
        <w:t xml:space="preserve"> </w:t>
      </w:r>
    </w:p>
    <w:p w:rsidR="00CF2D13" w:rsidRPr="00CF2D13" w:rsidRDefault="00CF2D13" w:rsidP="00CF2D13">
      <w:pPr>
        <w:rPr>
          <w:b/>
          <w:bCs/>
        </w:rPr>
      </w:pPr>
      <w:r w:rsidRPr="00CF2D13">
        <w:rPr>
          <w:rFonts w:hint="eastAsia"/>
          <w:b/>
          <w:bCs/>
        </w:rPr>
        <w:t>原，西南部为特鲁多斯山脉。属亚热带地中</w:t>
      </w:r>
      <w:r w:rsidRPr="00CF2D13">
        <w:rPr>
          <w:rFonts w:hint="eastAsia"/>
          <w:b/>
          <w:bCs/>
        </w:rPr>
        <w:t xml:space="preserve"> </w:t>
      </w:r>
    </w:p>
    <w:p w:rsidR="00CF2D13" w:rsidRPr="00CF2D13" w:rsidRDefault="00CF2D13" w:rsidP="00CF2D13">
      <w:pPr>
        <w:rPr>
          <w:b/>
          <w:bCs/>
        </w:rPr>
      </w:pPr>
      <w:r w:rsidRPr="00CF2D13">
        <w:rPr>
          <w:rFonts w:hint="eastAsia"/>
          <w:b/>
          <w:bCs/>
        </w:rPr>
        <w:t>海型气候，夏季干热，冬季温湿。塞浦路斯人口</w:t>
      </w:r>
      <w:r w:rsidRPr="00CF2D13">
        <w:rPr>
          <w:rFonts w:hint="eastAsia"/>
          <w:b/>
          <w:bCs/>
        </w:rPr>
        <w:t>83.73</w:t>
      </w:r>
      <w:r w:rsidRPr="00CF2D13">
        <w:rPr>
          <w:rFonts w:hint="eastAsia"/>
          <w:b/>
          <w:bCs/>
        </w:rPr>
        <w:t>万人</w:t>
      </w:r>
      <w:r w:rsidRPr="00CF2D13">
        <w:rPr>
          <w:rFonts w:hint="eastAsia"/>
          <w:b/>
          <w:bCs/>
        </w:rPr>
        <w:t>(2004</w:t>
      </w:r>
      <w:r w:rsidRPr="00CF2D13">
        <w:rPr>
          <w:rFonts w:hint="eastAsia"/>
          <w:b/>
          <w:bCs/>
        </w:rPr>
        <w:t>年官方估计</w:t>
      </w:r>
      <w:r w:rsidRPr="00CF2D13">
        <w:rPr>
          <w:rFonts w:hint="eastAsia"/>
          <w:b/>
          <w:bCs/>
        </w:rPr>
        <w:t>)</w:t>
      </w:r>
      <w:r w:rsidRPr="00CF2D13">
        <w:rPr>
          <w:rFonts w:hint="eastAsia"/>
          <w:b/>
          <w:bCs/>
        </w:rPr>
        <w:t>。其中希腊族占</w:t>
      </w:r>
      <w:r w:rsidRPr="00CF2D13">
        <w:rPr>
          <w:rFonts w:hint="eastAsia"/>
          <w:b/>
          <w:bCs/>
        </w:rPr>
        <w:t xml:space="preserve"> </w:t>
      </w:r>
    </w:p>
    <w:p w:rsidR="00CF2D13" w:rsidRPr="00CF2D13" w:rsidRDefault="00CF2D13" w:rsidP="00CF2D13">
      <w:pPr>
        <w:rPr>
          <w:b/>
          <w:bCs/>
        </w:rPr>
      </w:pPr>
      <w:r w:rsidRPr="00CF2D13">
        <w:rPr>
          <w:rFonts w:hint="eastAsia"/>
          <w:b/>
          <w:bCs/>
        </w:rPr>
        <w:t>77.8%%</w:t>
      </w:r>
      <w:r w:rsidRPr="00CF2D13">
        <w:rPr>
          <w:rFonts w:hint="eastAsia"/>
          <w:b/>
          <w:bCs/>
        </w:rPr>
        <w:t>，土耳其族占</w:t>
      </w:r>
      <w:r w:rsidRPr="00CF2D13">
        <w:rPr>
          <w:rFonts w:hint="eastAsia"/>
          <w:b/>
          <w:bCs/>
        </w:rPr>
        <w:t>10.5%</w:t>
      </w:r>
      <w:r w:rsidRPr="00CF2D13">
        <w:rPr>
          <w:rFonts w:hint="eastAsia"/>
          <w:b/>
          <w:bCs/>
        </w:rPr>
        <w:t>，另有少数亚美尼亚、拉丁和</w:t>
      </w:r>
      <w:r w:rsidRPr="00CF2D13">
        <w:rPr>
          <w:rFonts w:hint="eastAsia"/>
          <w:b/>
          <w:bCs/>
        </w:rPr>
        <w:t xml:space="preserve"> </w:t>
      </w:r>
    </w:p>
    <w:p w:rsidR="00CF2D13" w:rsidRPr="00CF2D13" w:rsidRDefault="00CF2D13" w:rsidP="00CF2D13">
      <w:pPr>
        <w:rPr>
          <w:b/>
          <w:bCs/>
        </w:rPr>
      </w:pPr>
      <w:r w:rsidRPr="00CF2D13">
        <w:rPr>
          <w:rFonts w:hint="eastAsia"/>
          <w:b/>
          <w:bCs/>
        </w:rPr>
        <w:t>马龙族。主要语言为希腊语和土耳其语，通用英语。希腊</w:t>
      </w:r>
      <w:r w:rsidRPr="00CF2D13">
        <w:rPr>
          <w:rFonts w:hint="eastAsia"/>
          <w:b/>
          <w:bCs/>
        </w:rPr>
        <w:t xml:space="preserve"> </w:t>
      </w:r>
    </w:p>
    <w:p w:rsidR="00CF2D13" w:rsidRPr="00CF2D13" w:rsidRDefault="00CF2D13" w:rsidP="00CF2D13">
      <w:pPr>
        <w:rPr>
          <w:b/>
          <w:bCs/>
        </w:rPr>
      </w:pPr>
      <w:r w:rsidRPr="00CF2D13">
        <w:rPr>
          <w:rFonts w:hint="eastAsia"/>
          <w:b/>
          <w:bCs/>
        </w:rPr>
        <w:t>族信奉东正教，土耳其族信奉伊斯兰教。</w:t>
      </w:r>
      <w:r w:rsidRPr="00CF2D13">
        <w:rPr>
          <w:rFonts w:hint="eastAsia"/>
          <w:b/>
          <w:bCs/>
        </w:rPr>
        <w:t xml:space="preserve"> </w:t>
      </w:r>
    </w:p>
    <w:p w:rsidR="00CF2D13" w:rsidRPr="00CF2D13" w:rsidRDefault="00CF2D13" w:rsidP="00CF2D13">
      <w:pPr>
        <w:rPr>
          <w:b/>
          <w:bCs/>
        </w:rPr>
      </w:pPr>
      <w:r w:rsidRPr="00CF2D13">
        <w:rPr>
          <w:rFonts w:hint="eastAsia"/>
          <w:b/>
          <w:bCs/>
        </w:rPr>
        <w:t>塞浦路斯矿藏以铜为主，其他有硫化铁、盐、石棉、石膏、</w:t>
      </w:r>
      <w:r w:rsidRPr="00CF2D13">
        <w:rPr>
          <w:rFonts w:hint="eastAsia"/>
          <w:b/>
          <w:bCs/>
        </w:rPr>
        <w:t xml:space="preserve"> </w:t>
      </w:r>
    </w:p>
    <w:p w:rsidR="00CF2D13" w:rsidRPr="00CF2D13" w:rsidRDefault="00CF2D13" w:rsidP="00CF2D13">
      <w:pPr>
        <w:rPr>
          <w:b/>
          <w:bCs/>
        </w:rPr>
      </w:pPr>
      <w:r w:rsidRPr="00CF2D13">
        <w:rPr>
          <w:rFonts w:hint="eastAsia"/>
          <w:b/>
          <w:bCs/>
        </w:rPr>
        <w:t>大理石、木材和土性无机颜料。近年来矿源接近枯竭，开采</w:t>
      </w:r>
      <w:r w:rsidRPr="00CF2D13">
        <w:rPr>
          <w:rFonts w:hint="eastAsia"/>
          <w:b/>
          <w:bCs/>
        </w:rPr>
        <w:t xml:space="preserve"> </w:t>
      </w:r>
    </w:p>
    <w:p w:rsidR="00CF2D13" w:rsidRPr="00CF2D13" w:rsidRDefault="00CF2D13" w:rsidP="00CF2D13">
      <w:pPr>
        <w:rPr>
          <w:b/>
          <w:bCs/>
        </w:rPr>
      </w:pPr>
      <w:r w:rsidRPr="00CF2D13">
        <w:rPr>
          <w:rFonts w:hint="eastAsia"/>
          <w:b/>
          <w:bCs/>
        </w:rPr>
        <w:t>量逐年下降。森林面积</w:t>
      </w:r>
      <w:r w:rsidRPr="00CF2D13">
        <w:rPr>
          <w:rFonts w:hint="eastAsia"/>
          <w:b/>
          <w:bCs/>
        </w:rPr>
        <w:t>1735</w:t>
      </w:r>
      <w:r w:rsidRPr="00CF2D13">
        <w:rPr>
          <w:rFonts w:hint="eastAsia"/>
          <w:b/>
          <w:bCs/>
        </w:rPr>
        <w:t>平方公里。水力资源贫乏，已建</w:t>
      </w:r>
      <w:r w:rsidRPr="00CF2D13">
        <w:rPr>
          <w:rFonts w:hint="eastAsia"/>
          <w:b/>
          <w:bCs/>
        </w:rPr>
        <w:t xml:space="preserve"> </w:t>
      </w:r>
    </w:p>
    <w:p w:rsidR="00CF2D13" w:rsidRPr="00CF2D13" w:rsidRDefault="00CF2D13" w:rsidP="00CF2D13">
      <w:pPr>
        <w:rPr>
          <w:b/>
          <w:bCs/>
        </w:rPr>
      </w:pPr>
      <w:r w:rsidRPr="00CF2D13">
        <w:rPr>
          <w:rFonts w:hint="eastAsia"/>
          <w:b/>
          <w:bCs/>
        </w:rPr>
        <w:t>立大型水坝</w:t>
      </w:r>
      <w:r w:rsidRPr="00CF2D13">
        <w:rPr>
          <w:rFonts w:hint="eastAsia"/>
          <w:b/>
          <w:bCs/>
        </w:rPr>
        <w:t>6</w:t>
      </w:r>
      <w:r w:rsidRPr="00CF2D13">
        <w:rPr>
          <w:rFonts w:hint="eastAsia"/>
          <w:b/>
          <w:bCs/>
        </w:rPr>
        <w:t>个，总蓄水量</w:t>
      </w:r>
      <w:r w:rsidRPr="00CF2D13">
        <w:rPr>
          <w:rFonts w:hint="eastAsia"/>
          <w:b/>
          <w:bCs/>
        </w:rPr>
        <w:t>1.9</w:t>
      </w:r>
      <w:r w:rsidRPr="00CF2D13">
        <w:rPr>
          <w:rFonts w:hint="eastAsia"/>
          <w:b/>
          <w:bCs/>
        </w:rPr>
        <w:t>亿立方米。加工制造业在国民</w:t>
      </w:r>
      <w:r w:rsidRPr="00CF2D13">
        <w:rPr>
          <w:rFonts w:hint="eastAsia"/>
          <w:b/>
          <w:bCs/>
        </w:rPr>
        <w:t xml:space="preserve"> </w:t>
      </w:r>
    </w:p>
    <w:p w:rsidR="00CF2D13" w:rsidRPr="00CF2D13" w:rsidRDefault="00CF2D13" w:rsidP="00CF2D13">
      <w:pPr>
        <w:rPr>
          <w:b/>
          <w:bCs/>
        </w:rPr>
      </w:pPr>
      <w:r w:rsidRPr="00CF2D13">
        <w:rPr>
          <w:rFonts w:hint="eastAsia"/>
          <w:b/>
          <w:bCs/>
        </w:rPr>
        <w:t>经济中占有重要地位，主要工业部门有食品加工、纺织、皮</w:t>
      </w:r>
      <w:r w:rsidRPr="00CF2D13">
        <w:rPr>
          <w:rFonts w:hint="eastAsia"/>
          <w:b/>
          <w:bCs/>
        </w:rPr>
        <w:t xml:space="preserve"> </w:t>
      </w:r>
    </w:p>
    <w:p w:rsidR="00CF2D13" w:rsidRPr="00CF2D13" w:rsidRDefault="00CF2D13" w:rsidP="00CF2D13">
      <w:pPr>
        <w:rPr>
          <w:b/>
          <w:bCs/>
        </w:rPr>
      </w:pPr>
      <w:r w:rsidRPr="00CF2D13">
        <w:rPr>
          <w:rFonts w:hint="eastAsia"/>
          <w:b/>
          <w:bCs/>
        </w:rPr>
        <w:t>革制品、化工制品以及部分轻工业等，基本无重工业。旅游</w:t>
      </w:r>
      <w:r w:rsidRPr="00CF2D13">
        <w:rPr>
          <w:rFonts w:hint="eastAsia"/>
          <w:b/>
          <w:bCs/>
        </w:rPr>
        <w:t xml:space="preserve"> </w:t>
      </w:r>
    </w:p>
    <w:p w:rsidR="00CF2D13" w:rsidRPr="00CF2D13" w:rsidRDefault="00CF2D13" w:rsidP="00CF2D13">
      <w:pPr>
        <w:rPr>
          <w:b/>
          <w:bCs/>
        </w:rPr>
      </w:pPr>
      <w:r w:rsidRPr="00CF2D13">
        <w:rPr>
          <w:rFonts w:hint="eastAsia"/>
          <w:b/>
          <w:bCs/>
        </w:rPr>
        <w:t>业发展较快，主要旅游城市有帕福斯、利马索尔、拉纳卡等。</w:t>
      </w:r>
    </w:p>
    <w:p w:rsidR="00CF2D13" w:rsidRPr="00CF2D13" w:rsidRDefault="00CF2D13" w:rsidP="00CF2D13">
      <w:pPr>
        <w:rPr>
          <w:b/>
          <w:bCs/>
        </w:rPr>
      </w:pPr>
    </w:p>
    <w:p w:rsidR="00CF2D13" w:rsidRPr="00CF2D13" w:rsidRDefault="00CF2D13">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ED58AB" w:rsidRDefault="00ED58AB">
      <w:pPr>
        <w:rPr>
          <w:b/>
          <w:bCs/>
        </w:rPr>
      </w:pPr>
    </w:p>
    <w:p w:rsidR="00CF2D13" w:rsidRDefault="00CF2D13">
      <w:pPr>
        <w:rPr>
          <w:b/>
          <w:bCs/>
        </w:rPr>
      </w:pPr>
      <w:r w:rsidRPr="00CF2D13">
        <w:rPr>
          <w:rFonts w:hint="eastAsia"/>
          <w:b/>
          <w:bCs/>
        </w:rPr>
        <w:lastRenderedPageBreak/>
        <w:t>项目优势</w:t>
      </w:r>
    </w:p>
    <w:p w:rsidR="005D6980" w:rsidRPr="00CF2D13" w:rsidRDefault="00CF2D13" w:rsidP="00CF2D13">
      <w:pPr>
        <w:numPr>
          <w:ilvl w:val="0"/>
          <w:numId w:val="1"/>
        </w:numPr>
        <w:rPr>
          <w:b/>
          <w:bCs/>
        </w:rPr>
      </w:pPr>
      <w:r w:rsidRPr="00CF2D13">
        <w:rPr>
          <w:rFonts w:hint="eastAsia"/>
          <w:b/>
          <w:bCs/>
        </w:rPr>
        <w:t>塞浦路斯公民可自由在整个欧洲生活</w:t>
      </w:r>
      <w:r w:rsidRPr="00CF2D13">
        <w:rPr>
          <w:rFonts w:hint="eastAsia"/>
          <w:b/>
          <w:bCs/>
        </w:rPr>
        <w:t>,</w:t>
      </w:r>
      <w:r w:rsidRPr="00CF2D13">
        <w:rPr>
          <w:rFonts w:hint="eastAsia"/>
          <w:b/>
          <w:bCs/>
        </w:rPr>
        <w:t>工作及旅游</w:t>
      </w:r>
      <w:r w:rsidRPr="00CF2D13">
        <w:rPr>
          <w:rFonts w:hint="eastAsia"/>
          <w:b/>
          <w:bCs/>
        </w:rPr>
        <w:t xml:space="preserve"> </w:t>
      </w:r>
    </w:p>
    <w:p w:rsidR="005D6980" w:rsidRPr="00CF2D13" w:rsidRDefault="00CF2D13" w:rsidP="00CF2D13">
      <w:pPr>
        <w:numPr>
          <w:ilvl w:val="0"/>
          <w:numId w:val="1"/>
        </w:numPr>
        <w:rPr>
          <w:b/>
          <w:bCs/>
        </w:rPr>
      </w:pPr>
      <w:r w:rsidRPr="00CF2D13">
        <w:rPr>
          <w:rFonts w:hint="eastAsia"/>
          <w:b/>
          <w:bCs/>
        </w:rPr>
        <w:t>塞浦路斯公民到</w:t>
      </w:r>
      <w:r w:rsidRPr="00CF2D13">
        <w:rPr>
          <w:rFonts w:hint="eastAsia"/>
          <w:b/>
          <w:bCs/>
        </w:rPr>
        <w:t>151</w:t>
      </w:r>
      <w:r w:rsidRPr="00CF2D13">
        <w:rPr>
          <w:rFonts w:hint="eastAsia"/>
          <w:b/>
          <w:bCs/>
        </w:rPr>
        <w:t>个国家旅游免签</w:t>
      </w:r>
      <w:r w:rsidRPr="00CF2D13">
        <w:rPr>
          <w:rFonts w:hint="eastAsia"/>
          <w:b/>
          <w:bCs/>
        </w:rPr>
        <w:t xml:space="preserve"> </w:t>
      </w:r>
    </w:p>
    <w:p w:rsidR="005D6980" w:rsidRPr="00CF2D13" w:rsidRDefault="00CF2D13" w:rsidP="00CF2D13">
      <w:pPr>
        <w:numPr>
          <w:ilvl w:val="0"/>
          <w:numId w:val="1"/>
        </w:numPr>
        <w:rPr>
          <w:b/>
          <w:bCs/>
        </w:rPr>
      </w:pPr>
      <w:r w:rsidRPr="00CF2D13">
        <w:rPr>
          <w:rFonts w:hint="eastAsia"/>
          <w:b/>
          <w:bCs/>
        </w:rPr>
        <w:t>塞浦路斯公民可快速且有效地获得其他国家</w:t>
      </w:r>
      <w:r w:rsidRPr="00CF2D13">
        <w:rPr>
          <w:rFonts w:hint="eastAsia"/>
          <w:b/>
          <w:bCs/>
        </w:rPr>
        <w:t>,</w:t>
      </w:r>
      <w:r w:rsidRPr="00CF2D13">
        <w:rPr>
          <w:rFonts w:hint="eastAsia"/>
          <w:b/>
          <w:bCs/>
        </w:rPr>
        <w:t>比如美国的签证</w:t>
      </w:r>
      <w:r w:rsidRPr="00CF2D13">
        <w:rPr>
          <w:rFonts w:hint="eastAsia"/>
          <w:b/>
          <w:bCs/>
        </w:rPr>
        <w:t xml:space="preserve"> </w:t>
      </w:r>
    </w:p>
    <w:p w:rsidR="005D6980" w:rsidRPr="00CF2D13" w:rsidRDefault="00CF2D13" w:rsidP="00CF2D13">
      <w:pPr>
        <w:numPr>
          <w:ilvl w:val="0"/>
          <w:numId w:val="1"/>
        </w:numPr>
        <w:rPr>
          <w:b/>
          <w:bCs/>
        </w:rPr>
      </w:pPr>
      <w:r w:rsidRPr="00CF2D13">
        <w:rPr>
          <w:rFonts w:hint="eastAsia"/>
          <w:b/>
          <w:bCs/>
        </w:rPr>
        <w:t>双重国籍可为国际税收筹划提供有效的方法</w:t>
      </w:r>
      <w:r w:rsidRPr="00CF2D13">
        <w:rPr>
          <w:rFonts w:hint="eastAsia"/>
          <w:b/>
          <w:bCs/>
        </w:rPr>
        <w:t>,</w:t>
      </w:r>
      <w:r w:rsidRPr="00CF2D13">
        <w:rPr>
          <w:rFonts w:hint="eastAsia"/>
          <w:b/>
          <w:bCs/>
        </w:rPr>
        <w:t>并保护金融隐私</w:t>
      </w:r>
      <w:r w:rsidRPr="00CF2D13">
        <w:rPr>
          <w:rFonts w:hint="eastAsia"/>
          <w:b/>
          <w:bCs/>
        </w:rPr>
        <w:t xml:space="preserve"> </w:t>
      </w:r>
    </w:p>
    <w:p w:rsidR="005D6980" w:rsidRPr="00CF2D13" w:rsidRDefault="00CF2D13" w:rsidP="00CF2D13">
      <w:pPr>
        <w:numPr>
          <w:ilvl w:val="0"/>
          <w:numId w:val="1"/>
        </w:numPr>
        <w:rPr>
          <w:b/>
          <w:bCs/>
        </w:rPr>
      </w:pPr>
      <w:r w:rsidRPr="00CF2D13">
        <w:rPr>
          <w:rFonts w:hint="eastAsia"/>
          <w:b/>
          <w:bCs/>
        </w:rPr>
        <w:t>它能使你进入最好的教育及医疗保健机构</w:t>
      </w:r>
      <w:r w:rsidRPr="00CF2D13">
        <w:rPr>
          <w:rFonts w:hint="eastAsia"/>
          <w:b/>
          <w:bCs/>
        </w:rPr>
        <w:t xml:space="preserve"> </w:t>
      </w:r>
    </w:p>
    <w:p w:rsidR="00CF2D13" w:rsidRDefault="00CF2D13">
      <w:pPr>
        <w:rPr>
          <w:b/>
          <w:bCs/>
        </w:rPr>
      </w:pPr>
    </w:p>
    <w:p w:rsidR="00CF2D13" w:rsidRDefault="00CF2D13">
      <w:pPr>
        <w:rPr>
          <w:b/>
          <w:bCs/>
        </w:rPr>
      </w:pPr>
      <w:r w:rsidRPr="00CF2D13">
        <w:rPr>
          <w:rFonts w:hint="eastAsia"/>
          <w:b/>
          <w:bCs/>
        </w:rPr>
        <w:t>投资条件</w:t>
      </w:r>
    </w:p>
    <w:p w:rsidR="00CF2D13" w:rsidRPr="00CF2D13" w:rsidRDefault="00CF2D13" w:rsidP="00CF2D13">
      <w:pPr>
        <w:rPr>
          <w:b/>
          <w:bCs/>
        </w:rPr>
      </w:pPr>
      <w:r w:rsidRPr="00CF2D13">
        <w:rPr>
          <w:rFonts w:hint="eastAsia"/>
          <w:b/>
          <w:bCs/>
        </w:rPr>
        <w:t>根据塞浦路斯政府于</w:t>
      </w:r>
      <w:r w:rsidRPr="00CF2D13">
        <w:rPr>
          <w:rFonts w:hint="eastAsia"/>
          <w:b/>
          <w:bCs/>
        </w:rPr>
        <w:t>2014</w:t>
      </w:r>
      <w:r w:rsidRPr="00CF2D13">
        <w:rPr>
          <w:rFonts w:hint="eastAsia"/>
          <w:b/>
          <w:bCs/>
        </w:rPr>
        <w:t>年</w:t>
      </w:r>
      <w:r w:rsidRPr="00CF2D13">
        <w:rPr>
          <w:rFonts w:hint="eastAsia"/>
          <w:b/>
          <w:bCs/>
        </w:rPr>
        <w:t>3</w:t>
      </w:r>
      <w:r w:rsidRPr="00CF2D13">
        <w:rPr>
          <w:rFonts w:hint="eastAsia"/>
          <w:b/>
          <w:bCs/>
        </w:rPr>
        <w:t>月</w:t>
      </w:r>
      <w:r w:rsidRPr="00CF2D13">
        <w:rPr>
          <w:rFonts w:hint="eastAsia"/>
          <w:b/>
          <w:bCs/>
        </w:rPr>
        <w:t>28</w:t>
      </w:r>
      <w:r w:rsidRPr="00CF2D13">
        <w:rPr>
          <w:rFonts w:hint="eastAsia"/>
          <w:b/>
          <w:bCs/>
        </w:rPr>
        <w:t>日的公示，投资获国</w:t>
      </w:r>
      <w:r w:rsidRPr="00CF2D13">
        <w:rPr>
          <w:rFonts w:hint="eastAsia"/>
          <w:b/>
          <w:bCs/>
        </w:rPr>
        <w:t xml:space="preserve"> </w:t>
      </w:r>
    </w:p>
    <w:p w:rsidR="00CF2D13" w:rsidRPr="00CF2D13" w:rsidRDefault="00CF2D13" w:rsidP="00CF2D13">
      <w:pPr>
        <w:rPr>
          <w:b/>
          <w:bCs/>
        </w:rPr>
      </w:pPr>
      <w:r w:rsidRPr="00CF2D13">
        <w:rPr>
          <w:rFonts w:hint="eastAsia"/>
          <w:b/>
          <w:bCs/>
        </w:rPr>
        <w:t>民身份项目可通过以下途径：</w:t>
      </w:r>
      <w:r w:rsidRPr="00CF2D13">
        <w:rPr>
          <w:rFonts w:hint="eastAsia"/>
          <w:b/>
          <w:bCs/>
        </w:rPr>
        <w:t xml:space="preserve"> </w:t>
      </w:r>
    </w:p>
    <w:p w:rsidR="005D6980" w:rsidRPr="00CF2D13" w:rsidRDefault="00CF2D13" w:rsidP="00CF2D13">
      <w:pPr>
        <w:numPr>
          <w:ilvl w:val="0"/>
          <w:numId w:val="2"/>
        </w:numPr>
        <w:rPr>
          <w:b/>
          <w:bCs/>
        </w:rPr>
      </w:pPr>
      <w:r w:rsidRPr="00CF2D13">
        <w:rPr>
          <w:rFonts w:hint="eastAsia"/>
          <w:b/>
          <w:bCs/>
        </w:rPr>
        <w:t>单一投资人需投资</w:t>
      </w:r>
      <w:r w:rsidRPr="00CF2D13">
        <w:rPr>
          <w:rFonts w:hint="eastAsia"/>
          <w:b/>
          <w:bCs/>
        </w:rPr>
        <w:t>500</w:t>
      </w:r>
      <w:r w:rsidRPr="00CF2D13">
        <w:rPr>
          <w:rFonts w:hint="eastAsia"/>
          <w:b/>
          <w:bCs/>
        </w:rPr>
        <w:t>万欧元</w:t>
      </w:r>
      <w:r w:rsidRPr="00CF2D13">
        <w:rPr>
          <w:rFonts w:hint="eastAsia"/>
          <w:b/>
          <w:bCs/>
        </w:rPr>
        <w:t xml:space="preserve">+VAT </w:t>
      </w:r>
    </w:p>
    <w:p w:rsidR="005D6980" w:rsidRPr="00CF2D13" w:rsidRDefault="00CF2D13" w:rsidP="00CF2D13">
      <w:pPr>
        <w:numPr>
          <w:ilvl w:val="0"/>
          <w:numId w:val="2"/>
        </w:numPr>
        <w:rPr>
          <w:b/>
          <w:bCs/>
        </w:rPr>
      </w:pPr>
      <w:r w:rsidRPr="00CF2D13">
        <w:rPr>
          <w:rFonts w:hint="eastAsia"/>
          <w:b/>
          <w:bCs/>
        </w:rPr>
        <w:t>若</w:t>
      </w:r>
      <w:r w:rsidRPr="00CF2D13">
        <w:rPr>
          <w:rFonts w:hint="eastAsia"/>
          <w:b/>
          <w:bCs/>
        </w:rPr>
        <w:t>5</w:t>
      </w:r>
      <w:r w:rsidRPr="00CF2D13">
        <w:rPr>
          <w:rFonts w:hint="eastAsia"/>
          <w:b/>
          <w:bCs/>
        </w:rPr>
        <w:t>个家庭一起申请，亦可享受投资额减免，</w:t>
      </w:r>
      <w:r w:rsidRPr="00CF2D13">
        <w:rPr>
          <w:rFonts w:hint="eastAsia"/>
          <w:b/>
          <w:bCs/>
        </w:rPr>
        <w:t xml:space="preserve"> </w:t>
      </w:r>
      <w:r w:rsidRPr="00CF2D13">
        <w:rPr>
          <w:rFonts w:hint="eastAsia"/>
          <w:b/>
          <w:bCs/>
        </w:rPr>
        <w:t>每个家庭仅需：</w:t>
      </w:r>
      <w:r w:rsidRPr="00CF2D13">
        <w:rPr>
          <w:rFonts w:hint="eastAsia"/>
          <w:b/>
          <w:bCs/>
          <w:i/>
          <w:iCs/>
        </w:rPr>
        <w:t>投资</w:t>
      </w:r>
      <w:r w:rsidRPr="00CF2D13">
        <w:rPr>
          <w:rFonts w:hint="eastAsia"/>
          <w:b/>
          <w:bCs/>
          <w:i/>
          <w:iCs/>
        </w:rPr>
        <w:t>250</w:t>
      </w:r>
      <w:r w:rsidRPr="00CF2D13">
        <w:rPr>
          <w:rFonts w:hint="eastAsia"/>
          <w:b/>
          <w:bCs/>
          <w:i/>
          <w:iCs/>
        </w:rPr>
        <w:t>万欧元加</w:t>
      </w:r>
      <w:r w:rsidRPr="00CF2D13">
        <w:rPr>
          <w:rFonts w:hint="eastAsia"/>
          <w:b/>
          <w:bCs/>
          <w:i/>
          <w:iCs/>
        </w:rPr>
        <w:t>50</w:t>
      </w:r>
      <w:r w:rsidRPr="00CF2D13">
        <w:rPr>
          <w:rFonts w:hint="eastAsia"/>
          <w:b/>
          <w:bCs/>
          <w:i/>
          <w:iCs/>
        </w:rPr>
        <w:t>万欧元的永久住房</w:t>
      </w:r>
      <w:r w:rsidRPr="00CF2D13">
        <w:rPr>
          <w:rFonts w:hint="eastAsia"/>
          <w:b/>
          <w:bCs/>
          <w:i/>
          <w:iCs/>
        </w:rPr>
        <w:t xml:space="preserve"> </w:t>
      </w:r>
    </w:p>
    <w:p w:rsidR="00CF2D13" w:rsidRPr="00CF2D13" w:rsidRDefault="00CF2D13" w:rsidP="00CF2D13">
      <w:pPr>
        <w:rPr>
          <w:b/>
          <w:bCs/>
        </w:rPr>
      </w:pPr>
      <w:r w:rsidRPr="00CF2D13">
        <w:rPr>
          <w:rFonts w:hint="eastAsia"/>
          <w:b/>
          <w:bCs/>
        </w:rPr>
        <w:t xml:space="preserve"> </w:t>
      </w:r>
      <w:r w:rsidRPr="00CF2D13">
        <w:rPr>
          <w:rFonts w:hint="eastAsia"/>
          <w:b/>
          <w:bCs/>
          <w:i/>
          <w:iCs/>
        </w:rPr>
        <w:t xml:space="preserve"> </w:t>
      </w:r>
    </w:p>
    <w:p w:rsidR="00CF2D13" w:rsidRDefault="00CF2D13" w:rsidP="00CF2D13">
      <w:pPr>
        <w:rPr>
          <w:b/>
          <w:bCs/>
          <w:i/>
          <w:iCs/>
        </w:rPr>
      </w:pPr>
      <w:r w:rsidRPr="00CF2D13">
        <w:rPr>
          <w:rFonts w:hint="eastAsia"/>
          <w:b/>
          <w:bCs/>
          <w:i/>
          <w:iCs/>
        </w:rPr>
        <w:t>适用于</w:t>
      </w:r>
      <w:r w:rsidRPr="00CF2D13">
        <w:rPr>
          <w:rFonts w:hint="eastAsia"/>
          <w:b/>
          <w:bCs/>
          <w:i/>
          <w:iCs/>
        </w:rPr>
        <w:t>2014</w:t>
      </w:r>
      <w:r w:rsidRPr="00CF2D13">
        <w:rPr>
          <w:rFonts w:hint="eastAsia"/>
          <w:b/>
          <w:bCs/>
          <w:i/>
          <w:iCs/>
        </w:rPr>
        <w:t>年</w:t>
      </w:r>
      <w:r w:rsidRPr="00CF2D13">
        <w:rPr>
          <w:rFonts w:hint="eastAsia"/>
          <w:b/>
          <w:bCs/>
          <w:i/>
          <w:iCs/>
        </w:rPr>
        <w:t>6</w:t>
      </w:r>
      <w:r w:rsidRPr="00CF2D13">
        <w:rPr>
          <w:rFonts w:hint="eastAsia"/>
          <w:b/>
          <w:bCs/>
          <w:i/>
          <w:iCs/>
        </w:rPr>
        <w:t>月</w:t>
      </w:r>
      <w:r w:rsidRPr="00CF2D13">
        <w:rPr>
          <w:rFonts w:hint="eastAsia"/>
          <w:b/>
          <w:bCs/>
          <w:i/>
          <w:iCs/>
        </w:rPr>
        <w:t>2</w:t>
      </w:r>
      <w:r w:rsidRPr="00CF2D13">
        <w:rPr>
          <w:rFonts w:hint="eastAsia"/>
          <w:b/>
          <w:bCs/>
          <w:i/>
          <w:iCs/>
        </w:rPr>
        <w:t>日后递交的申请</w:t>
      </w:r>
    </w:p>
    <w:p w:rsidR="005D6980" w:rsidRPr="00CF2D13" w:rsidRDefault="00CF2D13" w:rsidP="00CF2D13">
      <w:pPr>
        <w:numPr>
          <w:ilvl w:val="0"/>
          <w:numId w:val="3"/>
        </w:numPr>
        <w:rPr>
          <w:b/>
          <w:bCs/>
        </w:rPr>
      </w:pPr>
      <w:r w:rsidRPr="00CF2D13">
        <w:rPr>
          <w:rFonts w:hint="eastAsia"/>
          <w:b/>
          <w:bCs/>
        </w:rPr>
        <w:t>申请人须在塞浦路斯永久持有价值至少</w:t>
      </w:r>
      <w:r w:rsidRPr="00CF2D13">
        <w:rPr>
          <w:rFonts w:hint="eastAsia"/>
          <w:b/>
          <w:bCs/>
        </w:rPr>
        <w:t>50</w:t>
      </w:r>
      <w:r w:rsidRPr="00CF2D13">
        <w:rPr>
          <w:rFonts w:hint="eastAsia"/>
          <w:b/>
          <w:bCs/>
        </w:rPr>
        <w:t>万欧元的房产，除此以外的其他投资均可在三年后售出。</w:t>
      </w:r>
      <w:r w:rsidRPr="00CF2D13">
        <w:rPr>
          <w:rFonts w:hint="eastAsia"/>
          <w:b/>
          <w:bCs/>
        </w:rPr>
        <w:t xml:space="preserve"> </w:t>
      </w:r>
    </w:p>
    <w:p w:rsidR="005D6980" w:rsidRDefault="00CF2D13" w:rsidP="00CF2D13">
      <w:pPr>
        <w:numPr>
          <w:ilvl w:val="0"/>
          <w:numId w:val="3"/>
        </w:numPr>
        <w:rPr>
          <w:b/>
          <w:bCs/>
        </w:rPr>
      </w:pPr>
      <w:r w:rsidRPr="00CF2D13">
        <w:rPr>
          <w:rFonts w:hint="eastAsia"/>
          <w:b/>
          <w:bCs/>
        </w:rPr>
        <w:t>申请人在过去三年期间所购买的房产，</w:t>
      </w:r>
      <w:r w:rsidRPr="00CF2D13">
        <w:rPr>
          <w:rFonts w:hint="eastAsia"/>
          <w:b/>
          <w:bCs/>
        </w:rPr>
        <w:t xml:space="preserve"> </w:t>
      </w:r>
      <w:r w:rsidRPr="00CF2D13">
        <w:rPr>
          <w:rFonts w:hint="eastAsia"/>
          <w:b/>
          <w:bCs/>
        </w:rPr>
        <w:t>均可用于申请国民身份项目，只需在过去房产价值的基础上再继续购买其他房产以满足最低金额要求。</w:t>
      </w:r>
      <w:r w:rsidRPr="00CF2D13">
        <w:rPr>
          <w:rFonts w:hint="eastAsia"/>
          <w:b/>
          <w:bCs/>
        </w:rPr>
        <w:t xml:space="preserve"> </w:t>
      </w:r>
    </w:p>
    <w:p w:rsidR="00CF2D13" w:rsidRDefault="00CF2D13" w:rsidP="00CF2D13">
      <w:pPr>
        <w:rPr>
          <w:b/>
          <w:bCs/>
        </w:rPr>
      </w:pPr>
    </w:p>
    <w:p w:rsidR="00CF2D13" w:rsidRDefault="00CF2D13" w:rsidP="00CF2D13">
      <w:pPr>
        <w:rPr>
          <w:b/>
          <w:bCs/>
        </w:rPr>
      </w:pPr>
      <w:r w:rsidRPr="00CF2D13">
        <w:rPr>
          <w:rFonts w:hint="eastAsia"/>
          <w:b/>
          <w:bCs/>
        </w:rPr>
        <w:t>塞浦路斯护照持有者享有全球</w:t>
      </w:r>
      <w:r w:rsidRPr="00CF2D13">
        <w:rPr>
          <w:rFonts w:hint="eastAsia"/>
          <w:b/>
          <w:bCs/>
        </w:rPr>
        <w:t>151</w:t>
      </w:r>
      <w:r w:rsidRPr="00CF2D13">
        <w:rPr>
          <w:rFonts w:hint="eastAsia"/>
          <w:b/>
          <w:bCs/>
        </w:rPr>
        <w:t>个国家免签</w:t>
      </w:r>
    </w:p>
    <w:p w:rsidR="00CF2D13" w:rsidRDefault="00CF2D13"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ED58AB" w:rsidRDefault="00ED58AB" w:rsidP="00CF2D13">
      <w:pPr>
        <w:rPr>
          <w:b/>
          <w:bCs/>
        </w:rPr>
      </w:pPr>
    </w:p>
    <w:p w:rsidR="00CF2D13" w:rsidRDefault="00CF2D13" w:rsidP="00CF2D13">
      <w:pPr>
        <w:rPr>
          <w:b/>
          <w:bCs/>
        </w:rPr>
      </w:pPr>
      <w:r w:rsidRPr="00CF2D13">
        <w:rPr>
          <w:rFonts w:hint="eastAsia"/>
          <w:b/>
          <w:bCs/>
        </w:rPr>
        <w:t>申请流程</w:t>
      </w:r>
    </w:p>
    <w:p w:rsidR="00CF2D13" w:rsidRDefault="00CF2D13" w:rsidP="00CF2D13">
      <w:pPr>
        <w:rPr>
          <w:b/>
          <w:bCs/>
        </w:rPr>
      </w:pPr>
      <w:r w:rsidRPr="00CF2D13">
        <w:rPr>
          <w:b/>
          <w:bCs/>
          <w:noProof/>
        </w:rPr>
        <w:drawing>
          <wp:inline distT="0" distB="0" distL="0" distR="0">
            <wp:extent cx="5274310" cy="4880568"/>
            <wp:effectExtent l="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88632" cy="5263306"/>
                      <a:chOff x="1619672" y="836712"/>
                      <a:chExt cx="5688632" cy="5263306"/>
                    </a:xfrm>
                  </a:grpSpPr>
                  <a:sp>
                    <a:nvSpPr>
                      <a:cNvPr id="4" name="TextBox 3"/>
                      <a:cNvSpPr txBox="1"/>
                    </a:nvSpPr>
                    <a:spPr>
                      <a:xfrm>
                        <a:off x="1691680" y="836712"/>
                        <a:ext cx="5616624"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申请塞浦路斯商务签证</a:t>
                          </a:r>
                          <a:r>
                            <a:rPr lang="zh-CN" altLang="en-US" dirty="0" smtClean="0"/>
                            <a:t> </a:t>
                          </a:r>
                        </a:p>
                      </a:txBody>
                      <a:useSpRect/>
                    </a:txSp>
                    <a:style>
                      <a:lnRef idx="1">
                        <a:schemeClr val="accent4"/>
                      </a:lnRef>
                      <a:fillRef idx="2">
                        <a:schemeClr val="accent4"/>
                      </a:fillRef>
                      <a:effectRef idx="1">
                        <a:schemeClr val="accent4"/>
                      </a:effectRef>
                      <a:fontRef idx="minor">
                        <a:schemeClr val="dk1"/>
                      </a:fontRef>
                    </a:style>
                  </a:sp>
                  <a:sp>
                    <a:nvSpPr>
                      <a:cNvPr id="5" name="Down Arrow 4"/>
                      <a:cNvSpPr/>
                    </a:nvSpPr>
                    <a:spPr>
                      <a:xfrm>
                        <a:off x="4283968" y="1484784"/>
                        <a:ext cx="288032" cy="216024"/>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691680" y="1772816"/>
                        <a:ext cx="5544616"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登陆塞浦路斯选择房产及其他投资组合 </a:t>
                          </a:r>
                        </a:p>
                      </a:txBody>
                      <a:useSpRect/>
                    </a:txSp>
                    <a:style>
                      <a:lnRef idx="1">
                        <a:schemeClr val="accent4"/>
                      </a:lnRef>
                      <a:fillRef idx="2">
                        <a:schemeClr val="accent4"/>
                      </a:fillRef>
                      <a:effectRef idx="1">
                        <a:schemeClr val="accent4"/>
                      </a:effectRef>
                      <a:fontRef idx="minor">
                        <a:schemeClr val="dk1"/>
                      </a:fontRef>
                    </a:style>
                  </a:sp>
                  <a:sp>
                    <a:nvSpPr>
                      <a:cNvPr id="8" name="TextBox 7"/>
                      <a:cNvSpPr txBox="1"/>
                    </a:nvSpPr>
                    <a:spPr>
                      <a:xfrm>
                        <a:off x="1691680" y="2708920"/>
                        <a:ext cx="5616624"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授权律师；开立银行账户 </a:t>
                          </a:r>
                        </a:p>
                      </a:txBody>
                      <a:useSpRect/>
                    </a:txSp>
                    <a:style>
                      <a:lnRef idx="1">
                        <a:schemeClr val="accent4"/>
                      </a:lnRef>
                      <a:fillRef idx="2">
                        <a:schemeClr val="accent4"/>
                      </a:fillRef>
                      <a:effectRef idx="1">
                        <a:schemeClr val="accent4"/>
                      </a:effectRef>
                      <a:fontRef idx="minor">
                        <a:schemeClr val="dk1"/>
                      </a:fontRef>
                    </a:style>
                  </a:sp>
                  <a:sp>
                    <a:nvSpPr>
                      <a:cNvPr id="10" name="TextBox 9"/>
                      <a:cNvSpPr txBox="1"/>
                    </a:nvSpPr>
                    <a:spPr>
                      <a:xfrm>
                        <a:off x="1619672" y="3645024"/>
                        <a:ext cx="5616624"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支付房款和税费，完成房产登记 </a:t>
                          </a:r>
                        </a:p>
                      </a:txBody>
                      <a:useSpRect/>
                    </a:txSp>
                    <a:style>
                      <a:lnRef idx="1">
                        <a:schemeClr val="accent4"/>
                      </a:lnRef>
                      <a:fillRef idx="2">
                        <a:schemeClr val="accent4"/>
                      </a:fillRef>
                      <a:effectRef idx="1">
                        <a:schemeClr val="accent4"/>
                      </a:effectRef>
                      <a:fontRef idx="minor">
                        <a:schemeClr val="dk1"/>
                      </a:fontRef>
                    </a:style>
                  </a:sp>
                  <a:sp>
                    <a:nvSpPr>
                      <a:cNvPr id="11" name="Down Arrow 10"/>
                      <a:cNvSpPr/>
                    </a:nvSpPr>
                    <a:spPr>
                      <a:xfrm>
                        <a:off x="4283968" y="2420888"/>
                        <a:ext cx="288032" cy="216024"/>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4283968" y="3356992"/>
                        <a:ext cx="288032" cy="216024"/>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a:off x="4283968" y="4293096"/>
                        <a:ext cx="288032" cy="216024"/>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1619672" y="4581128"/>
                        <a:ext cx="5616624"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律师向内政部递交移民申请材料 </a:t>
                          </a:r>
                        </a:p>
                      </a:txBody>
                      <a:useSpRect/>
                    </a:txSp>
                    <a:style>
                      <a:lnRef idx="1">
                        <a:schemeClr val="accent4"/>
                      </a:lnRef>
                      <a:fillRef idx="2">
                        <a:schemeClr val="accent4"/>
                      </a:fillRef>
                      <a:effectRef idx="1">
                        <a:schemeClr val="accent4"/>
                      </a:effectRef>
                      <a:fontRef idx="minor">
                        <a:schemeClr val="dk1"/>
                      </a:fontRef>
                    </a:style>
                  </a:sp>
                  <a:sp>
                    <a:nvSpPr>
                      <a:cNvPr id="15" name="Down Arrow 14"/>
                      <a:cNvSpPr/>
                    </a:nvSpPr>
                    <a:spPr>
                      <a:xfrm>
                        <a:off x="4283968" y="5229200"/>
                        <a:ext cx="288032" cy="216024"/>
                      </a:xfrm>
                      <a:prstGeom prst="downArrow">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1619672" y="5589240"/>
                        <a:ext cx="5616624" cy="510778"/>
                      </a:xfrm>
                      <a:prstGeom prst="roundRect">
                        <a:avLst/>
                      </a:prstGeom>
                    </a:spPr>
                    <a:txSp>
                      <a:txBody>
                        <a:bodyPr wrap="square" rtlCol="0">
                          <a:spAutoFit/>
                        </a:bodyPr>
                        <a:lstStyle>
                          <a:defPPr>
                            <a:defRPr lang="zh-TW"/>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2400" dirty="0" smtClean="0">
                              <a:latin typeface="標楷體" pitchFamily="65" charset="-120"/>
                              <a:ea typeface="標楷體" pitchFamily="65" charset="-120"/>
                            </a:rPr>
                            <a:t>完成审核并获批（审核约三个月时间）</a:t>
                          </a:r>
                          <a:r>
                            <a:rPr lang="zh-CN" altLang="en-US" sz="2400" dirty="0" smtClean="0"/>
                            <a:t> </a:t>
                          </a:r>
                        </a:p>
                      </a:txBody>
                      <a:useSpRect/>
                    </a:txSp>
                    <a:style>
                      <a:lnRef idx="1">
                        <a:schemeClr val="accent4"/>
                      </a:lnRef>
                      <a:fillRef idx="2">
                        <a:schemeClr val="accent4"/>
                      </a:fillRef>
                      <a:effectRef idx="1">
                        <a:schemeClr val="accent4"/>
                      </a:effectRef>
                      <a:fontRef idx="minor">
                        <a:schemeClr val="dk1"/>
                      </a:fontRef>
                    </a:style>
                  </a:sp>
                </lc:lockedCanvas>
              </a:graphicData>
            </a:graphic>
          </wp:inline>
        </w:drawing>
      </w:r>
    </w:p>
    <w:p w:rsidR="00CF2D13" w:rsidRDefault="00CF2D13" w:rsidP="00CF2D13">
      <w:pPr>
        <w:rPr>
          <w:b/>
          <w:bCs/>
        </w:rPr>
      </w:pPr>
    </w:p>
    <w:p w:rsidR="00CF2D13" w:rsidRPr="00CF2D13" w:rsidRDefault="00CF2D13" w:rsidP="00CF2D13">
      <w:pPr>
        <w:rPr>
          <w:b/>
          <w:bCs/>
        </w:rPr>
      </w:pPr>
    </w:p>
    <w:p w:rsidR="00CF2D13" w:rsidRPr="00CF2D13" w:rsidRDefault="00CF2D13" w:rsidP="00CF2D13">
      <w:pPr>
        <w:rPr>
          <w:b/>
          <w:bCs/>
        </w:rPr>
      </w:pPr>
    </w:p>
    <w:p w:rsidR="00CF2D13" w:rsidRDefault="00CF2D13"/>
    <w:sectPr w:rsidR="00CF2D13"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F6ADA"/>
    <w:multiLevelType w:val="hybridMultilevel"/>
    <w:tmpl w:val="E23473CC"/>
    <w:lvl w:ilvl="0" w:tplc="B9D6DDEC">
      <w:start w:val="1"/>
      <w:numFmt w:val="bullet"/>
      <w:lvlText w:val=""/>
      <w:lvlJc w:val="left"/>
      <w:pPr>
        <w:tabs>
          <w:tab w:val="num" w:pos="720"/>
        </w:tabs>
        <w:ind w:left="720" w:hanging="360"/>
      </w:pPr>
      <w:rPr>
        <w:rFonts w:ascii="Wingdings" w:hAnsi="Wingdings" w:hint="default"/>
      </w:rPr>
    </w:lvl>
    <w:lvl w:ilvl="1" w:tplc="21C4DCAA" w:tentative="1">
      <w:start w:val="1"/>
      <w:numFmt w:val="bullet"/>
      <w:lvlText w:val=""/>
      <w:lvlJc w:val="left"/>
      <w:pPr>
        <w:tabs>
          <w:tab w:val="num" w:pos="1440"/>
        </w:tabs>
        <w:ind w:left="1440" w:hanging="360"/>
      </w:pPr>
      <w:rPr>
        <w:rFonts w:ascii="Wingdings" w:hAnsi="Wingdings" w:hint="default"/>
      </w:rPr>
    </w:lvl>
    <w:lvl w:ilvl="2" w:tplc="20DCE8AE" w:tentative="1">
      <w:start w:val="1"/>
      <w:numFmt w:val="bullet"/>
      <w:lvlText w:val=""/>
      <w:lvlJc w:val="left"/>
      <w:pPr>
        <w:tabs>
          <w:tab w:val="num" w:pos="2160"/>
        </w:tabs>
        <w:ind w:left="2160" w:hanging="360"/>
      </w:pPr>
      <w:rPr>
        <w:rFonts w:ascii="Wingdings" w:hAnsi="Wingdings" w:hint="default"/>
      </w:rPr>
    </w:lvl>
    <w:lvl w:ilvl="3" w:tplc="E1644CAA" w:tentative="1">
      <w:start w:val="1"/>
      <w:numFmt w:val="bullet"/>
      <w:lvlText w:val=""/>
      <w:lvlJc w:val="left"/>
      <w:pPr>
        <w:tabs>
          <w:tab w:val="num" w:pos="2880"/>
        </w:tabs>
        <w:ind w:left="2880" w:hanging="360"/>
      </w:pPr>
      <w:rPr>
        <w:rFonts w:ascii="Wingdings" w:hAnsi="Wingdings" w:hint="default"/>
      </w:rPr>
    </w:lvl>
    <w:lvl w:ilvl="4" w:tplc="A7120942" w:tentative="1">
      <w:start w:val="1"/>
      <w:numFmt w:val="bullet"/>
      <w:lvlText w:val=""/>
      <w:lvlJc w:val="left"/>
      <w:pPr>
        <w:tabs>
          <w:tab w:val="num" w:pos="3600"/>
        </w:tabs>
        <w:ind w:left="3600" w:hanging="360"/>
      </w:pPr>
      <w:rPr>
        <w:rFonts w:ascii="Wingdings" w:hAnsi="Wingdings" w:hint="default"/>
      </w:rPr>
    </w:lvl>
    <w:lvl w:ilvl="5" w:tplc="834202BC" w:tentative="1">
      <w:start w:val="1"/>
      <w:numFmt w:val="bullet"/>
      <w:lvlText w:val=""/>
      <w:lvlJc w:val="left"/>
      <w:pPr>
        <w:tabs>
          <w:tab w:val="num" w:pos="4320"/>
        </w:tabs>
        <w:ind w:left="4320" w:hanging="360"/>
      </w:pPr>
      <w:rPr>
        <w:rFonts w:ascii="Wingdings" w:hAnsi="Wingdings" w:hint="default"/>
      </w:rPr>
    </w:lvl>
    <w:lvl w:ilvl="6" w:tplc="64A20B3E" w:tentative="1">
      <w:start w:val="1"/>
      <w:numFmt w:val="bullet"/>
      <w:lvlText w:val=""/>
      <w:lvlJc w:val="left"/>
      <w:pPr>
        <w:tabs>
          <w:tab w:val="num" w:pos="5040"/>
        </w:tabs>
        <w:ind w:left="5040" w:hanging="360"/>
      </w:pPr>
      <w:rPr>
        <w:rFonts w:ascii="Wingdings" w:hAnsi="Wingdings" w:hint="default"/>
      </w:rPr>
    </w:lvl>
    <w:lvl w:ilvl="7" w:tplc="B9128464" w:tentative="1">
      <w:start w:val="1"/>
      <w:numFmt w:val="bullet"/>
      <w:lvlText w:val=""/>
      <w:lvlJc w:val="left"/>
      <w:pPr>
        <w:tabs>
          <w:tab w:val="num" w:pos="5760"/>
        </w:tabs>
        <w:ind w:left="5760" w:hanging="360"/>
      </w:pPr>
      <w:rPr>
        <w:rFonts w:ascii="Wingdings" w:hAnsi="Wingdings" w:hint="default"/>
      </w:rPr>
    </w:lvl>
    <w:lvl w:ilvl="8" w:tplc="7C60E45E" w:tentative="1">
      <w:start w:val="1"/>
      <w:numFmt w:val="bullet"/>
      <w:lvlText w:val=""/>
      <w:lvlJc w:val="left"/>
      <w:pPr>
        <w:tabs>
          <w:tab w:val="num" w:pos="6480"/>
        </w:tabs>
        <w:ind w:left="6480" w:hanging="360"/>
      </w:pPr>
      <w:rPr>
        <w:rFonts w:ascii="Wingdings" w:hAnsi="Wingdings" w:hint="default"/>
      </w:rPr>
    </w:lvl>
  </w:abstractNum>
  <w:abstractNum w:abstractNumId="1">
    <w:nsid w:val="3DF807BB"/>
    <w:multiLevelType w:val="hybridMultilevel"/>
    <w:tmpl w:val="784EE73A"/>
    <w:lvl w:ilvl="0" w:tplc="57581B4C">
      <w:start w:val="1"/>
      <w:numFmt w:val="bullet"/>
      <w:lvlText w:val=""/>
      <w:lvlJc w:val="left"/>
      <w:pPr>
        <w:tabs>
          <w:tab w:val="num" w:pos="720"/>
        </w:tabs>
        <w:ind w:left="720" w:hanging="360"/>
      </w:pPr>
      <w:rPr>
        <w:rFonts w:ascii="Wingdings" w:hAnsi="Wingdings" w:hint="default"/>
      </w:rPr>
    </w:lvl>
    <w:lvl w:ilvl="1" w:tplc="A88ED330" w:tentative="1">
      <w:start w:val="1"/>
      <w:numFmt w:val="bullet"/>
      <w:lvlText w:val=""/>
      <w:lvlJc w:val="left"/>
      <w:pPr>
        <w:tabs>
          <w:tab w:val="num" w:pos="1440"/>
        </w:tabs>
        <w:ind w:left="1440" w:hanging="360"/>
      </w:pPr>
      <w:rPr>
        <w:rFonts w:ascii="Wingdings" w:hAnsi="Wingdings" w:hint="default"/>
      </w:rPr>
    </w:lvl>
    <w:lvl w:ilvl="2" w:tplc="8DF0961C" w:tentative="1">
      <w:start w:val="1"/>
      <w:numFmt w:val="bullet"/>
      <w:lvlText w:val=""/>
      <w:lvlJc w:val="left"/>
      <w:pPr>
        <w:tabs>
          <w:tab w:val="num" w:pos="2160"/>
        </w:tabs>
        <w:ind w:left="2160" w:hanging="360"/>
      </w:pPr>
      <w:rPr>
        <w:rFonts w:ascii="Wingdings" w:hAnsi="Wingdings" w:hint="default"/>
      </w:rPr>
    </w:lvl>
    <w:lvl w:ilvl="3" w:tplc="3B28C13E" w:tentative="1">
      <w:start w:val="1"/>
      <w:numFmt w:val="bullet"/>
      <w:lvlText w:val=""/>
      <w:lvlJc w:val="left"/>
      <w:pPr>
        <w:tabs>
          <w:tab w:val="num" w:pos="2880"/>
        </w:tabs>
        <w:ind w:left="2880" w:hanging="360"/>
      </w:pPr>
      <w:rPr>
        <w:rFonts w:ascii="Wingdings" w:hAnsi="Wingdings" w:hint="default"/>
      </w:rPr>
    </w:lvl>
    <w:lvl w:ilvl="4" w:tplc="F482BFA8" w:tentative="1">
      <w:start w:val="1"/>
      <w:numFmt w:val="bullet"/>
      <w:lvlText w:val=""/>
      <w:lvlJc w:val="left"/>
      <w:pPr>
        <w:tabs>
          <w:tab w:val="num" w:pos="3600"/>
        </w:tabs>
        <w:ind w:left="3600" w:hanging="360"/>
      </w:pPr>
      <w:rPr>
        <w:rFonts w:ascii="Wingdings" w:hAnsi="Wingdings" w:hint="default"/>
      </w:rPr>
    </w:lvl>
    <w:lvl w:ilvl="5" w:tplc="2A043D48" w:tentative="1">
      <w:start w:val="1"/>
      <w:numFmt w:val="bullet"/>
      <w:lvlText w:val=""/>
      <w:lvlJc w:val="left"/>
      <w:pPr>
        <w:tabs>
          <w:tab w:val="num" w:pos="4320"/>
        </w:tabs>
        <w:ind w:left="4320" w:hanging="360"/>
      </w:pPr>
      <w:rPr>
        <w:rFonts w:ascii="Wingdings" w:hAnsi="Wingdings" w:hint="default"/>
      </w:rPr>
    </w:lvl>
    <w:lvl w:ilvl="6" w:tplc="3EAA77DE" w:tentative="1">
      <w:start w:val="1"/>
      <w:numFmt w:val="bullet"/>
      <w:lvlText w:val=""/>
      <w:lvlJc w:val="left"/>
      <w:pPr>
        <w:tabs>
          <w:tab w:val="num" w:pos="5040"/>
        </w:tabs>
        <w:ind w:left="5040" w:hanging="360"/>
      </w:pPr>
      <w:rPr>
        <w:rFonts w:ascii="Wingdings" w:hAnsi="Wingdings" w:hint="default"/>
      </w:rPr>
    </w:lvl>
    <w:lvl w:ilvl="7" w:tplc="0E08AA8A" w:tentative="1">
      <w:start w:val="1"/>
      <w:numFmt w:val="bullet"/>
      <w:lvlText w:val=""/>
      <w:lvlJc w:val="left"/>
      <w:pPr>
        <w:tabs>
          <w:tab w:val="num" w:pos="5760"/>
        </w:tabs>
        <w:ind w:left="5760" w:hanging="360"/>
      </w:pPr>
      <w:rPr>
        <w:rFonts w:ascii="Wingdings" w:hAnsi="Wingdings" w:hint="default"/>
      </w:rPr>
    </w:lvl>
    <w:lvl w:ilvl="8" w:tplc="EA3CA612" w:tentative="1">
      <w:start w:val="1"/>
      <w:numFmt w:val="bullet"/>
      <w:lvlText w:val=""/>
      <w:lvlJc w:val="left"/>
      <w:pPr>
        <w:tabs>
          <w:tab w:val="num" w:pos="6480"/>
        </w:tabs>
        <w:ind w:left="6480" w:hanging="360"/>
      </w:pPr>
      <w:rPr>
        <w:rFonts w:ascii="Wingdings" w:hAnsi="Wingdings" w:hint="default"/>
      </w:rPr>
    </w:lvl>
  </w:abstractNum>
  <w:abstractNum w:abstractNumId="2">
    <w:nsid w:val="46723E62"/>
    <w:multiLevelType w:val="hybridMultilevel"/>
    <w:tmpl w:val="C18EF05C"/>
    <w:lvl w:ilvl="0" w:tplc="85A8F52C">
      <w:start w:val="1"/>
      <w:numFmt w:val="bullet"/>
      <w:lvlText w:val=""/>
      <w:lvlJc w:val="left"/>
      <w:pPr>
        <w:tabs>
          <w:tab w:val="num" w:pos="720"/>
        </w:tabs>
        <w:ind w:left="720" w:hanging="360"/>
      </w:pPr>
      <w:rPr>
        <w:rFonts w:ascii="Wingdings" w:hAnsi="Wingdings" w:hint="default"/>
      </w:rPr>
    </w:lvl>
    <w:lvl w:ilvl="1" w:tplc="62DC31B4" w:tentative="1">
      <w:start w:val="1"/>
      <w:numFmt w:val="bullet"/>
      <w:lvlText w:val=""/>
      <w:lvlJc w:val="left"/>
      <w:pPr>
        <w:tabs>
          <w:tab w:val="num" w:pos="1440"/>
        </w:tabs>
        <w:ind w:left="1440" w:hanging="360"/>
      </w:pPr>
      <w:rPr>
        <w:rFonts w:ascii="Wingdings" w:hAnsi="Wingdings" w:hint="default"/>
      </w:rPr>
    </w:lvl>
    <w:lvl w:ilvl="2" w:tplc="2F1A4FF8" w:tentative="1">
      <w:start w:val="1"/>
      <w:numFmt w:val="bullet"/>
      <w:lvlText w:val=""/>
      <w:lvlJc w:val="left"/>
      <w:pPr>
        <w:tabs>
          <w:tab w:val="num" w:pos="2160"/>
        </w:tabs>
        <w:ind w:left="2160" w:hanging="360"/>
      </w:pPr>
      <w:rPr>
        <w:rFonts w:ascii="Wingdings" w:hAnsi="Wingdings" w:hint="default"/>
      </w:rPr>
    </w:lvl>
    <w:lvl w:ilvl="3" w:tplc="5F026D58" w:tentative="1">
      <w:start w:val="1"/>
      <w:numFmt w:val="bullet"/>
      <w:lvlText w:val=""/>
      <w:lvlJc w:val="left"/>
      <w:pPr>
        <w:tabs>
          <w:tab w:val="num" w:pos="2880"/>
        </w:tabs>
        <w:ind w:left="2880" w:hanging="360"/>
      </w:pPr>
      <w:rPr>
        <w:rFonts w:ascii="Wingdings" w:hAnsi="Wingdings" w:hint="default"/>
      </w:rPr>
    </w:lvl>
    <w:lvl w:ilvl="4" w:tplc="5380ED74" w:tentative="1">
      <w:start w:val="1"/>
      <w:numFmt w:val="bullet"/>
      <w:lvlText w:val=""/>
      <w:lvlJc w:val="left"/>
      <w:pPr>
        <w:tabs>
          <w:tab w:val="num" w:pos="3600"/>
        </w:tabs>
        <w:ind w:left="3600" w:hanging="360"/>
      </w:pPr>
      <w:rPr>
        <w:rFonts w:ascii="Wingdings" w:hAnsi="Wingdings" w:hint="default"/>
      </w:rPr>
    </w:lvl>
    <w:lvl w:ilvl="5" w:tplc="0DB4F72E" w:tentative="1">
      <w:start w:val="1"/>
      <w:numFmt w:val="bullet"/>
      <w:lvlText w:val=""/>
      <w:lvlJc w:val="left"/>
      <w:pPr>
        <w:tabs>
          <w:tab w:val="num" w:pos="4320"/>
        </w:tabs>
        <w:ind w:left="4320" w:hanging="360"/>
      </w:pPr>
      <w:rPr>
        <w:rFonts w:ascii="Wingdings" w:hAnsi="Wingdings" w:hint="default"/>
      </w:rPr>
    </w:lvl>
    <w:lvl w:ilvl="6" w:tplc="491AD244" w:tentative="1">
      <w:start w:val="1"/>
      <w:numFmt w:val="bullet"/>
      <w:lvlText w:val=""/>
      <w:lvlJc w:val="left"/>
      <w:pPr>
        <w:tabs>
          <w:tab w:val="num" w:pos="5040"/>
        </w:tabs>
        <w:ind w:left="5040" w:hanging="360"/>
      </w:pPr>
      <w:rPr>
        <w:rFonts w:ascii="Wingdings" w:hAnsi="Wingdings" w:hint="default"/>
      </w:rPr>
    </w:lvl>
    <w:lvl w:ilvl="7" w:tplc="05BC574E" w:tentative="1">
      <w:start w:val="1"/>
      <w:numFmt w:val="bullet"/>
      <w:lvlText w:val=""/>
      <w:lvlJc w:val="left"/>
      <w:pPr>
        <w:tabs>
          <w:tab w:val="num" w:pos="5760"/>
        </w:tabs>
        <w:ind w:left="5760" w:hanging="360"/>
      </w:pPr>
      <w:rPr>
        <w:rFonts w:ascii="Wingdings" w:hAnsi="Wingdings" w:hint="default"/>
      </w:rPr>
    </w:lvl>
    <w:lvl w:ilvl="8" w:tplc="D880614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2D13"/>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3F96"/>
    <w:rsid w:val="00087E69"/>
    <w:rsid w:val="00095307"/>
    <w:rsid w:val="00095F50"/>
    <w:rsid w:val="00096211"/>
    <w:rsid w:val="00096468"/>
    <w:rsid w:val="000A34DA"/>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1C7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4259C"/>
    <w:rsid w:val="00344AAE"/>
    <w:rsid w:val="003559A8"/>
    <w:rsid w:val="00355FC0"/>
    <w:rsid w:val="00356763"/>
    <w:rsid w:val="003616E2"/>
    <w:rsid w:val="00362CE4"/>
    <w:rsid w:val="00363B5B"/>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BE4"/>
    <w:rsid w:val="00414EC1"/>
    <w:rsid w:val="004168ED"/>
    <w:rsid w:val="00417750"/>
    <w:rsid w:val="004201A2"/>
    <w:rsid w:val="00421F10"/>
    <w:rsid w:val="00422826"/>
    <w:rsid w:val="00423F0E"/>
    <w:rsid w:val="004259A7"/>
    <w:rsid w:val="00426F61"/>
    <w:rsid w:val="004302F0"/>
    <w:rsid w:val="00432DF2"/>
    <w:rsid w:val="00437021"/>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6980"/>
    <w:rsid w:val="005D74E3"/>
    <w:rsid w:val="005F78B9"/>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1984"/>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540"/>
    <w:rsid w:val="00941CB5"/>
    <w:rsid w:val="009422D8"/>
    <w:rsid w:val="00942FE5"/>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39E8"/>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4B88"/>
    <w:rsid w:val="00B45CA5"/>
    <w:rsid w:val="00B52E81"/>
    <w:rsid w:val="00B571D1"/>
    <w:rsid w:val="00B57998"/>
    <w:rsid w:val="00B61E5D"/>
    <w:rsid w:val="00B66CBD"/>
    <w:rsid w:val="00B720C9"/>
    <w:rsid w:val="00B74C3C"/>
    <w:rsid w:val="00B75AE6"/>
    <w:rsid w:val="00B76B2E"/>
    <w:rsid w:val="00B82972"/>
    <w:rsid w:val="00B90236"/>
    <w:rsid w:val="00B95009"/>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2D13"/>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6F68"/>
    <w:rsid w:val="00DE7B0C"/>
    <w:rsid w:val="00DF180A"/>
    <w:rsid w:val="00DF4032"/>
    <w:rsid w:val="00DF4E49"/>
    <w:rsid w:val="00E02935"/>
    <w:rsid w:val="00E06ED7"/>
    <w:rsid w:val="00E078FD"/>
    <w:rsid w:val="00E11668"/>
    <w:rsid w:val="00E1315E"/>
    <w:rsid w:val="00E14A7C"/>
    <w:rsid w:val="00E14D4D"/>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271A"/>
    <w:rsid w:val="00EA599B"/>
    <w:rsid w:val="00EA7CA2"/>
    <w:rsid w:val="00EB4928"/>
    <w:rsid w:val="00EB7F9C"/>
    <w:rsid w:val="00EC084B"/>
    <w:rsid w:val="00EC14C1"/>
    <w:rsid w:val="00EC433C"/>
    <w:rsid w:val="00EC605A"/>
    <w:rsid w:val="00EC6772"/>
    <w:rsid w:val="00ED19C1"/>
    <w:rsid w:val="00ED36E5"/>
    <w:rsid w:val="00ED4783"/>
    <w:rsid w:val="00ED58AB"/>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D13"/>
    <w:pPr>
      <w:widowControl/>
      <w:spacing w:before="100" w:beforeAutospacing="1" w:after="100" w:afterAutospacing="1"/>
    </w:pPr>
    <w:rPr>
      <w:rFonts w:ascii="新細明體" w:eastAsia="新細明體" w:hAnsi="新細明體" w:cs="新細明體"/>
      <w:kern w:val="0"/>
      <w:szCs w:val="24"/>
    </w:rPr>
  </w:style>
  <w:style w:type="paragraph" w:styleId="BalloonText">
    <w:name w:val="Balloon Text"/>
    <w:basedOn w:val="Normal"/>
    <w:link w:val="BalloonTextChar"/>
    <w:uiPriority w:val="99"/>
    <w:semiHidden/>
    <w:unhideWhenUsed/>
    <w:rsid w:val="00CF2D13"/>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F2D13"/>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462966681">
      <w:bodyDiv w:val="1"/>
      <w:marLeft w:val="0"/>
      <w:marRight w:val="0"/>
      <w:marTop w:val="0"/>
      <w:marBottom w:val="0"/>
      <w:divBdr>
        <w:top w:val="none" w:sz="0" w:space="0" w:color="auto"/>
        <w:left w:val="none" w:sz="0" w:space="0" w:color="auto"/>
        <w:bottom w:val="none" w:sz="0" w:space="0" w:color="auto"/>
        <w:right w:val="none" w:sz="0" w:space="0" w:color="auto"/>
      </w:divBdr>
    </w:div>
    <w:div w:id="692002863">
      <w:bodyDiv w:val="1"/>
      <w:marLeft w:val="0"/>
      <w:marRight w:val="0"/>
      <w:marTop w:val="0"/>
      <w:marBottom w:val="0"/>
      <w:divBdr>
        <w:top w:val="none" w:sz="0" w:space="0" w:color="auto"/>
        <w:left w:val="none" w:sz="0" w:space="0" w:color="auto"/>
        <w:bottom w:val="none" w:sz="0" w:space="0" w:color="auto"/>
        <w:right w:val="none" w:sz="0" w:space="0" w:color="auto"/>
      </w:divBdr>
      <w:divsChild>
        <w:div w:id="957876160">
          <w:marLeft w:val="547"/>
          <w:marRight w:val="0"/>
          <w:marTop w:val="144"/>
          <w:marBottom w:val="0"/>
          <w:divBdr>
            <w:top w:val="none" w:sz="0" w:space="0" w:color="auto"/>
            <w:left w:val="none" w:sz="0" w:space="0" w:color="auto"/>
            <w:bottom w:val="none" w:sz="0" w:space="0" w:color="auto"/>
            <w:right w:val="none" w:sz="0" w:space="0" w:color="auto"/>
          </w:divBdr>
        </w:div>
        <w:div w:id="1282614249">
          <w:marLeft w:val="547"/>
          <w:marRight w:val="0"/>
          <w:marTop w:val="134"/>
          <w:marBottom w:val="0"/>
          <w:divBdr>
            <w:top w:val="none" w:sz="0" w:space="0" w:color="auto"/>
            <w:left w:val="none" w:sz="0" w:space="0" w:color="auto"/>
            <w:bottom w:val="none" w:sz="0" w:space="0" w:color="auto"/>
            <w:right w:val="none" w:sz="0" w:space="0" w:color="auto"/>
          </w:divBdr>
        </w:div>
      </w:divsChild>
    </w:div>
    <w:div w:id="837579043">
      <w:bodyDiv w:val="1"/>
      <w:marLeft w:val="0"/>
      <w:marRight w:val="0"/>
      <w:marTop w:val="0"/>
      <w:marBottom w:val="0"/>
      <w:divBdr>
        <w:top w:val="none" w:sz="0" w:space="0" w:color="auto"/>
        <w:left w:val="none" w:sz="0" w:space="0" w:color="auto"/>
        <w:bottom w:val="none" w:sz="0" w:space="0" w:color="auto"/>
        <w:right w:val="none" w:sz="0" w:space="0" w:color="auto"/>
      </w:divBdr>
      <w:divsChild>
        <w:div w:id="683825611">
          <w:marLeft w:val="547"/>
          <w:marRight w:val="0"/>
          <w:marTop w:val="134"/>
          <w:marBottom w:val="0"/>
          <w:divBdr>
            <w:top w:val="none" w:sz="0" w:space="0" w:color="auto"/>
            <w:left w:val="none" w:sz="0" w:space="0" w:color="auto"/>
            <w:bottom w:val="none" w:sz="0" w:space="0" w:color="auto"/>
            <w:right w:val="none" w:sz="0" w:space="0" w:color="auto"/>
          </w:divBdr>
        </w:div>
        <w:div w:id="1579243803">
          <w:marLeft w:val="547"/>
          <w:marRight w:val="0"/>
          <w:marTop w:val="134"/>
          <w:marBottom w:val="0"/>
          <w:divBdr>
            <w:top w:val="none" w:sz="0" w:space="0" w:color="auto"/>
            <w:left w:val="none" w:sz="0" w:space="0" w:color="auto"/>
            <w:bottom w:val="none" w:sz="0" w:space="0" w:color="auto"/>
            <w:right w:val="none" w:sz="0" w:space="0" w:color="auto"/>
          </w:divBdr>
        </w:div>
        <w:div w:id="79183676">
          <w:marLeft w:val="547"/>
          <w:marRight w:val="0"/>
          <w:marTop w:val="134"/>
          <w:marBottom w:val="0"/>
          <w:divBdr>
            <w:top w:val="none" w:sz="0" w:space="0" w:color="auto"/>
            <w:left w:val="none" w:sz="0" w:space="0" w:color="auto"/>
            <w:bottom w:val="none" w:sz="0" w:space="0" w:color="auto"/>
            <w:right w:val="none" w:sz="0" w:space="0" w:color="auto"/>
          </w:divBdr>
        </w:div>
        <w:div w:id="81876325">
          <w:marLeft w:val="547"/>
          <w:marRight w:val="0"/>
          <w:marTop w:val="134"/>
          <w:marBottom w:val="0"/>
          <w:divBdr>
            <w:top w:val="none" w:sz="0" w:space="0" w:color="auto"/>
            <w:left w:val="none" w:sz="0" w:space="0" w:color="auto"/>
            <w:bottom w:val="none" w:sz="0" w:space="0" w:color="auto"/>
            <w:right w:val="none" w:sz="0" w:space="0" w:color="auto"/>
          </w:divBdr>
        </w:div>
        <w:div w:id="325669228">
          <w:marLeft w:val="547"/>
          <w:marRight w:val="0"/>
          <w:marTop w:val="134"/>
          <w:marBottom w:val="0"/>
          <w:divBdr>
            <w:top w:val="none" w:sz="0" w:space="0" w:color="auto"/>
            <w:left w:val="none" w:sz="0" w:space="0" w:color="auto"/>
            <w:bottom w:val="none" w:sz="0" w:space="0" w:color="auto"/>
            <w:right w:val="none" w:sz="0" w:space="0" w:color="auto"/>
          </w:divBdr>
        </w:div>
      </w:divsChild>
    </w:div>
    <w:div w:id="1648704230">
      <w:bodyDiv w:val="1"/>
      <w:marLeft w:val="0"/>
      <w:marRight w:val="0"/>
      <w:marTop w:val="0"/>
      <w:marBottom w:val="0"/>
      <w:divBdr>
        <w:top w:val="none" w:sz="0" w:space="0" w:color="auto"/>
        <w:left w:val="none" w:sz="0" w:space="0" w:color="auto"/>
        <w:bottom w:val="none" w:sz="0" w:space="0" w:color="auto"/>
        <w:right w:val="none" w:sz="0" w:space="0" w:color="auto"/>
      </w:divBdr>
    </w:div>
    <w:div w:id="2035382715">
      <w:bodyDiv w:val="1"/>
      <w:marLeft w:val="0"/>
      <w:marRight w:val="0"/>
      <w:marTop w:val="0"/>
      <w:marBottom w:val="0"/>
      <w:divBdr>
        <w:top w:val="none" w:sz="0" w:space="0" w:color="auto"/>
        <w:left w:val="none" w:sz="0" w:space="0" w:color="auto"/>
        <w:bottom w:val="none" w:sz="0" w:space="0" w:color="auto"/>
        <w:right w:val="none" w:sz="0" w:space="0" w:color="auto"/>
      </w:divBdr>
      <w:divsChild>
        <w:div w:id="1163282574">
          <w:marLeft w:val="547"/>
          <w:marRight w:val="0"/>
          <w:marTop w:val="125"/>
          <w:marBottom w:val="0"/>
          <w:divBdr>
            <w:top w:val="none" w:sz="0" w:space="0" w:color="auto"/>
            <w:left w:val="none" w:sz="0" w:space="0" w:color="auto"/>
            <w:bottom w:val="none" w:sz="0" w:space="0" w:color="auto"/>
            <w:right w:val="none" w:sz="0" w:space="0" w:color="auto"/>
          </w:divBdr>
        </w:div>
        <w:div w:id="277565959">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3</cp:revision>
  <dcterms:created xsi:type="dcterms:W3CDTF">2014-10-15T04:51:00Z</dcterms:created>
  <dcterms:modified xsi:type="dcterms:W3CDTF">2014-10-15T07:17:00Z</dcterms:modified>
</cp:coreProperties>
</file>