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Attribution"/>
        <w:bidi w:val="0"/>
      </w:pPr>
      <w:r>
        <w:rPr>
          <w:rtl w:val="0"/>
        </w:rPr>
        <w:t>Xavier Bailey</w:t>
      </w:r>
    </w:p>
    <w:p>
      <w:pPr>
        <w:pStyle w:val="Attribution"/>
        <w:bidi w:val="0"/>
      </w:pPr>
      <w:r>
        <w:rPr>
          <w:rtl w:val="0"/>
        </w:rPr>
        <w:t>AAI201</w:t>
      </w:r>
    </w:p>
    <w:p>
      <w:pPr>
        <w:pStyle w:val="Attribution"/>
        <w:bidi w:val="0"/>
      </w:pPr>
      <w:r>
        <w:rPr/>
        <w:fldChar w:fldCharType="begin" w:fldLock="0"/>
      </w:r>
      <w:r>
        <w:instrText xml:space="preserve"> DATE \@ "MMMM d, y" </w:instrText>
      </w:r>
      <w:r>
        <w:rPr/>
        <w:fldChar w:fldCharType="separate" w:fldLock="0"/>
      </w:r>
      <w:r>
        <w:rPr>
          <w:rtl w:val="0"/>
        </w:rPr>
        <w:t>June 30, 2026</w:t>
      </w:r>
      <w:r>
        <w:rPr/>
        <w:fldChar w:fldCharType="end" w:fldLock="1"/>
      </w:r>
    </w:p>
    <w:p>
      <w:pPr>
        <w:pStyle w:val="Attribution"/>
        <w:bidi w:val="0"/>
      </w:pPr>
    </w:p>
    <w:p>
      <w:pPr>
        <w:pStyle w:val="Attribution"/>
        <w:bidi w:val="0"/>
      </w:pPr>
    </w:p>
    <w:p>
      <w:pPr>
        <w:pStyle w:val="Subtitle"/>
        <w:bidi w:val="0"/>
      </w:pPr>
      <w:r>
        <w:rPr>
          <w:rtl w:val="0"/>
        </w:rPr>
        <w:t>Module 7: Clustering Reflection</w:t>
      </w:r>
    </w:p>
    <w:p>
      <w:pPr>
        <w:pStyle w:val="Subheading"/>
        <w:bidi w:val="0"/>
      </w:pPr>
      <w:r>
        <w:rPr>
          <w:rtl w:val="0"/>
        </w:rPr>
        <w:t>K-Means &amp; DBSCAN</w:t>
      </w:r>
    </w:p>
    <w:p>
      <w:pPr>
        <w:pStyle w:val="Body"/>
        <w:bidi w:val="0"/>
      </w:pPr>
    </w:p>
    <w:p>
      <w:pPr>
        <w:pStyle w:val="Body"/>
        <w:bidi w:val="0"/>
      </w:pPr>
      <w:r>
        <w:rPr>
          <w:rFonts w:cs="Arial Unicode MS" w:eastAsia="Arial Unicode MS"/>
          <w:rtl w:val="0"/>
        </w:rPr>
        <w:t xml:space="preserve">Clustering </w:t>
      </w:r>
      <w:r>
        <w:rPr>
          <w:rFonts w:cs="Arial Unicode MS" w:eastAsia="Arial Unicode MS"/>
          <w:rtl w:val="0"/>
          <w:lang w:val="en-US"/>
        </w:rPr>
        <w:t>is</w:t>
      </w:r>
      <w:r>
        <w:rPr>
          <w:rFonts w:cs="Arial Unicode MS" w:eastAsia="Arial Unicode MS"/>
          <w:rtl w:val="0"/>
          <w:lang w:val="en-US"/>
        </w:rPr>
        <w:t xml:space="preserve"> everywhere in real-world systems, especially in apps that need to organize large amounts of unstructured data. A great example is modern image management apps</w:t>
      </w:r>
      <w:r>
        <w:rPr>
          <w:rFonts w:cs="Arial Unicode MS" w:eastAsia="Arial Unicode MS"/>
          <w:rtl w:val="0"/>
          <w:lang w:val="en-US"/>
        </w:rPr>
        <w:t xml:space="preserve"> like the iPhone photo library</w:t>
      </w:r>
      <w:r>
        <w:rPr>
          <w:rFonts w:cs="Arial Unicode MS" w:eastAsia="Arial Unicode MS"/>
          <w:rtl w:val="0"/>
          <w:lang w:val="en-US"/>
        </w:rPr>
        <w:t xml:space="preserve"> that automatically group similar photos together. Instead of relying on users to manually tag or sort thousands of pictures, the app can extract visual features </w:t>
      </w:r>
      <w:r>
        <w:rPr>
          <w:rFonts w:cs="Arial Unicode MS" w:eastAsia="Arial Unicode MS"/>
          <w:rtl w:val="0"/>
          <w:lang w:val="en-US"/>
        </w:rPr>
        <w:t xml:space="preserve">like </w:t>
      </w:r>
      <w:r>
        <w:rPr>
          <w:rFonts w:cs="Arial Unicode MS" w:eastAsia="Arial Unicode MS"/>
          <w:rtl w:val="0"/>
          <w:lang w:val="en-US"/>
        </w:rPr>
        <w:t>colors, textures, shapes, or deep-learning embeddings</w:t>
      </w:r>
      <w:r>
        <w:rPr>
          <w:rFonts w:cs="Arial Unicode MS" w:eastAsia="Arial Unicode MS"/>
          <w:rtl w:val="0"/>
          <w:lang w:val="en-US"/>
        </w:rPr>
        <w:t xml:space="preserve"> then </w:t>
      </w:r>
      <w:r>
        <w:rPr>
          <w:rFonts w:cs="Arial Unicode MS" w:eastAsia="Arial Unicode MS"/>
          <w:rtl w:val="0"/>
          <w:lang w:val="en-US"/>
        </w:rPr>
        <w:t xml:space="preserve">cluster images that share similar patterns. This allows the app to automatically create collections like </w:t>
      </w:r>
      <w:r>
        <w:rPr>
          <w:rFonts w:cs="Arial Unicode MS" w:eastAsia="Arial Unicode MS" w:hint="default"/>
          <w:rtl w:val="1"/>
          <w:lang w:val="ar-SA" w:bidi="ar-SA"/>
        </w:rPr>
        <w:t>“</w:t>
      </w:r>
      <w:r>
        <w:rPr>
          <w:rFonts w:cs="Arial Unicode MS" w:eastAsia="Arial Unicode MS"/>
          <w:rtl w:val="0"/>
          <w:lang w:val="es-ES_tradnl"/>
        </w:rPr>
        <w:t>dogs,</w:t>
      </w:r>
      <w:r>
        <w:rPr>
          <w:rFonts w:cs="Arial Unicode MS" w:eastAsia="Arial Unicode MS" w:hint="default"/>
          <w:rtl w:val="0"/>
        </w:rPr>
        <w:t>” “</w:t>
      </w:r>
      <w:r>
        <w:rPr>
          <w:rFonts w:cs="Arial Unicode MS" w:eastAsia="Arial Unicode MS"/>
          <w:rtl w:val="0"/>
          <w:lang w:val="en-US"/>
        </w:rPr>
        <w:t>sunsets,</w:t>
      </w:r>
      <w:r>
        <w:rPr>
          <w:rFonts w:cs="Arial Unicode MS" w:eastAsia="Arial Unicode MS" w:hint="default"/>
          <w:rtl w:val="0"/>
        </w:rPr>
        <w:t>” “</w:t>
      </w:r>
      <w:r>
        <w:rPr>
          <w:rFonts w:cs="Arial Unicode MS" w:eastAsia="Arial Unicode MS"/>
          <w:rtl w:val="0"/>
          <w:lang w:val="en-US"/>
        </w:rPr>
        <w:t>screenshots,</w:t>
      </w:r>
      <w:r>
        <w:rPr>
          <w:rFonts w:cs="Arial Unicode MS" w:eastAsia="Arial Unicode MS" w:hint="default"/>
          <w:rtl w:val="0"/>
        </w:rPr>
        <w:t xml:space="preserve">” </w:t>
      </w:r>
      <w:r>
        <w:rPr>
          <w:rFonts w:cs="Arial Unicode MS" w:eastAsia="Arial Unicode MS"/>
          <w:rtl w:val="0"/>
        </w:rPr>
        <w:t xml:space="preserve">or </w:t>
      </w:r>
      <w:r>
        <w:rPr>
          <w:rFonts w:cs="Arial Unicode MS" w:eastAsia="Arial Unicode MS" w:hint="default"/>
          <w:rtl w:val="1"/>
          <w:lang w:val="ar-SA" w:bidi="ar-SA"/>
        </w:rPr>
        <w:t>“</w:t>
      </w:r>
      <w:r>
        <w:rPr>
          <w:rFonts w:cs="Arial Unicode MS" w:eastAsia="Arial Unicode MS"/>
          <w:rtl w:val="0"/>
          <w:lang w:val="en-US"/>
        </w:rPr>
        <w:t>food,</w:t>
      </w:r>
      <w:r>
        <w:rPr>
          <w:rFonts w:cs="Arial Unicode MS" w:eastAsia="Arial Unicode MS" w:hint="default"/>
          <w:rtl w:val="0"/>
        </w:rPr>
        <w:t xml:space="preserve">” </w:t>
      </w:r>
      <w:r>
        <w:rPr>
          <w:rFonts w:cs="Arial Unicode MS" w:eastAsia="Arial Unicode MS"/>
          <w:rtl w:val="0"/>
          <w:lang w:val="en-US"/>
        </w:rPr>
        <w:t>making it way easier for people to find what they</w:t>
      </w:r>
      <w:r>
        <w:rPr>
          <w:rFonts w:cs="Arial Unicode MS" w:eastAsia="Arial Unicode MS" w:hint="default"/>
          <w:rtl w:val="1"/>
        </w:rPr>
        <w:t>’</w:t>
      </w:r>
      <w:r>
        <w:rPr>
          <w:rFonts w:cs="Arial Unicode MS" w:eastAsia="Arial Unicode MS"/>
          <w:rtl w:val="0"/>
          <w:lang w:val="en-US"/>
        </w:rPr>
        <w:t>re looking for. Clustering transforms a chaotic photo library into an organized, searchable experience without requiring any labels.</w:t>
      </w:r>
    </w:p>
    <w:p>
      <w:pPr>
        <w:pStyle w:val="Body"/>
        <w:bidi w:val="0"/>
      </w:pPr>
    </w:p>
    <w:p>
      <w:pPr>
        <w:pStyle w:val="Body"/>
        <w:bidi w:val="0"/>
      </w:pPr>
      <w:r>
        <w:rPr>
          <w:rFonts w:cs="Arial Unicode MS" w:eastAsia="Arial Unicode MS"/>
          <w:rtl w:val="0"/>
          <w:lang w:val="en-US"/>
        </w:rPr>
        <w:t>While clustering is powerful, it also comes with important ethical and societal considerations. Because clustering is unsupervised, the groups it creates aren</w:t>
      </w:r>
      <w:r>
        <w:rPr>
          <w:rFonts w:cs="Arial Unicode MS" w:eastAsia="Arial Unicode MS" w:hint="default"/>
          <w:rtl w:val="1"/>
        </w:rPr>
        <w:t>’</w:t>
      </w:r>
      <w:r>
        <w:rPr>
          <w:rFonts w:cs="Arial Unicode MS" w:eastAsia="Arial Unicode MS"/>
          <w:rtl w:val="0"/>
          <w:lang w:val="en-US"/>
        </w:rPr>
        <w:t>t always obvious or transparent, and users usually have no idea how or why they were placed into a certain cluster. If the data contains sensitive attributes</w:t>
      </w:r>
      <w:r>
        <w:rPr>
          <w:rFonts w:cs="Arial Unicode MS" w:eastAsia="Arial Unicode MS"/>
          <w:rtl w:val="0"/>
          <w:lang w:val="en-US"/>
        </w:rPr>
        <w:t xml:space="preserve">, </w:t>
      </w:r>
      <w:r>
        <w:rPr>
          <w:rFonts w:cs="Arial Unicode MS" w:eastAsia="Arial Unicode MS"/>
          <w:rtl w:val="0"/>
          <w:lang w:val="en-US"/>
        </w:rPr>
        <w:t>even indirectly</w:t>
      </w:r>
      <w:r>
        <w:rPr>
          <w:rFonts w:cs="Arial Unicode MS" w:eastAsia="Arial Unicode MS"/>
          <w:rtl w:val="0"/>
          <w:lang w:val="en-US"/>
        </w:rPr>
        <w:t>, t</w:t>
      </w:r>
      <w:r>
        <w:rPr>
          <w:rFonts w:cs="Arial Unicode MS" w:eastAsia="Arial Unicode MS"/>
          <w:rtl w:val="0"/>
          <w:lang w:val="en-US"/>
        </w:rPr>
        <w:t>he algorithm might unintentionally group people in ways that reflect or amplify bias. For example, clustering user photos or behavior could reveal private patterns that people didn</w:t>
      </w:r>
      <w:r>
        <w:rPr>
          <w:rFonts w:cs="Arial Unicode MS" w:eastAsia="Arial Unicode MS" w:hint="default"/>
          <w:rtl w:val="1"/>
        </w:rPr>
        <w:t>’</w:t>
      </w:r>
      <w:r>
        <w:rPr>
          <w:rFonts w:cs="Arial Unicode MS" w:eastAsia="Arial Unicode MS"/>
          <w:rtl w:val="0"/>
          <w:lang w:val="en-US"/>
        </w:rPr>
        <w:t>t intend to share, raising privacy concerns. And if companies use these clusters for decisions like targeted advertising, pricing, or risk assessment, certain groups could be treated unfairly without ever knowing why. Responsible use of clustering requires transparency, careful handling of personal data, and awareness of how algorithmic grouping can impact real people.</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Baskervill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tl w:val="0"/>
        <w:lang w:val="en-US"/>
      </w:rPr>
      <w:t>Clustering Reflection</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1"/>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Baskerville" w:cs="Arial Unicode MS" w:hAnsi="Baskerville" w:eastAsia="Arial Unicode MS"/>
      <w:b w:val="0"/>
      <w:bCs w:val="0"/>
      <w:i w:val="0"/>
      <w:iCs w:val="0"/>
      <w:caps w:val="1"/>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Attribution">
    <w:name w:val="Attribution"/>
    <w:next w:val="Body 2"/>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Baskerville" w:cs="Arial Unicode MS" w:hAnsi="Baskervill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80" w:line="288" w:lineRule="auto"/>
      <w:ind w:left="0" w:right="0" w:firstLine="0"/>
      <w:jc w:val="left"/>
      <w:outlineLvl w:val="9"/>
    </w:pPr>
    <w:rPr>
      <w:rFonts w:ascii="Baskerville" w:cs="Arial Unicode MS" w:hAnsi="Baskerville" w:eastAsia="Arial Unicode MS"/>
      <w:b w:val="0"/>
      <w:bCs w:val="0"/>
      <w:i w:val="0"/>
      <w:iCs w:val="0"/>
      <w:caps w:val="0"/>
      <w:smallCaps w:val="0"/>
      <w:strike w:val="0"/>
      <w:dstrike w:val="0"/>
      <w:outline w:val="0"/>
      <w:color w:val="434343"/>
      <w:spacing w:val="0"/>
      <w:kern w:val="0"/>
      <w:position w:val="0"/>
      <w:sz w:val="24"/>
      <w:szCs w:val="24"/>
      <w:u w:val="none"/>
      <w:shd w:val="nil" w:color="auto" w:fill="auto"/>
      <w:vertAlign w:val="baseline"/>
      <w:lang w:val="en-US"/>
      <w14:textOutline>
        <w14:noFill/>
      </w14:textOutline>
      <w14:textFill>
        <w14:solidFill>
          <w14:srgbClr w14:val="444444"/>
        </w14:solidFill>
      </w14:textFill>
    </w:rPr>
  </w:style>
  <w:style w:type="paragraph" w:styleId="Subtitle">
    <w:name w:val="Subtitle"/>
    <w:next w:val="Body 2"/>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Baskerville" w:cs="Arial Unicode MS" w:hAnsi="Baskerville" w:eastAsia="Arial Unicode MS"/>
      <w:b w:val="0"/>
      <w:bCs w:val="0"/>
      <w:i w:val="0"/>
      <w:iCs w:val="0"/>
      <w:caps w:val="0"/>
      <w:smallCaps w:val="0"/>
      <w:strike w:val="0"/>
      <w:dstrike w:val="0"/>
      <w:outline w:val="0"/>
      <w:color w:val="dc5921"/>
      <w:spacing w:val="6"/>
      <w:kern w:val="0"/>
      <w:position w:val="0"/>
      <w:sz w:val="64"/>
      <w:szCs w:val="64"/>
      <w:u w:val="none"/>
      <w:shd w:val="nil" w:color="auto" w:fill="auto"/>
      <w:vertAlign w:val="baseline"/>
      <w:lang w:val="en-US"/>
      <w14:textOutline>
        <w14:noFill/>
      </w14:textOutline>
      <w14:textFill>
        <w14:solidFill>
          <w14:srgbClr w14:val="DC5922"/>
        </w14:solidFill>
      </w14:textFill>
    </w:rPr>
  </w:style>
  <w:style w:type="paragraph" w:styleId="Subheading">
    <w:name w:val="Subheading"/>
    <w:next w:val="Body 2"/>
    <w:pPr>
      <w:keepNext w:val="0"/>
      <w:keepLines w:val="0"/>
      <w:pageBreakBefore w:val="0"/>
      <w:widowControl w:val="1"/>
      <w:shd w:val="clear" w:color="auto" w:fill="auto"/>
      <w:suppressAutoHyphens w:val="0"/>
      <w:bidi w:val="0"/>
      <w:spacing w:before="0" w:after="160" w:line="240" w:lineRule="auto"/>
      <w:ind w:left="0" w:right="0" w:firstLine="0"/>
      <w:jc w:val="center"/>
      <w:outlineLvl w:val="0"/>
    </w:pPr>
    <w:rPr>
      <w:rFonts w:ascii="Baskerville" w:cs="Arial Unicode MS" w:hAnsi="Baskerville" w:eastAsia="Arial Unicode MS"/>
      <w:b w:val="0"/>
      <w:bCs w:val="0"/>
      <w:i w:val="0"/>
      <w:iCs w:val="0"/>
      <w:caps w:val="0"/>
      <w:smallCaps w:val="0"/>
      <w:strike w:val="0"/>
      <w:dstrike w:val="0"/>
      <w:outline w:val="0"/>
      <w:color w:val="5b422a"/>
      <w:spacing w:val="0"/>
      <w:kern w:val="0"/>
      <w:position w:val="0"/>
      <w:sz w:val="36"/>
      <w:szCs w:val="36"/>
      <w:u w:val="none"/>
      <w:shd w:val="nil" w:color="auto" w:fill="auto"/>
      <w:vertAlign w:val="baseline"/>
      <w:lang w:val="en-US"/>
      <w14:textOutline>
        <w14:noFill/>
      </w14:textOutline>
      <w14:textFill>
        <w14:solidFill>
          <w14:srgbClr w14:val="5C432B"/>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60" w:lineRule="auto"/>
      <w:ind w:left="0" w:right="0" w:firstLine="540"/>
      <w:jc w:val="left"/>
      <w:outlineLvl w:val="9"/>
    </w:pPr>
    <w:rPr>
      <w:rFonts w:ascii="Baskerville" w:cs="Baskerville" w:hAnsi="Baskerville" w:eastAsia="Baskervill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4_Essay">
  <a:themeElements>
    <a:clrScheme name="04_Essay">
      <a:dk1>
        <a:srgbClr val="000000"/>
      </a:dk1>
      <a:lt1>
        <a:srgbClr val="FFFFFF"/>
      </a:lt1>
      <a:dk2>
        <a:srgbClr val="444444"/>
      </a:dk2>
      <a:lt2>
        <a:srgbClr val="AAAAAA"/>
      </a:lt2>
      <a:accent1>
        <a:srgbClr val="A6BACF"/>
      </a:accent1>
      <a:accent2>
        <a:srgbClr val="98A68D"/>
      </a:accent2>
      <a:accent3>
        <a:srgbClr val="E2C07E"/>
      </a:accent3>
      <a:accent4>
        <a:srgbClr val="EA8B60"/>
      </a:accent4>
      <a:accent5>
        <a:srgbClr val="B93E40"/>
      </a:accent5>
      <a:accent6>
        <a:srgbClr val="807898"/>
      </a:accent6>
      <a:hlink>
        <a:srgbClr val="0000FF"/>
      </a:hlink>
      <a:folHlink>
        <a:srgbClr val="FF00FF"/>
      </a:folHlink>
    </a:clrScheme>
    <a:fontScheme name="04_Essay">
      <a:majorFont>
        <a:latin typeface="Baskerville"/>
        <a:ea typeface="Baskerville"/>
        <a:cs typeface="Baskerville"/>
      </a:majorFont>
      <a:minorFont>
        <a:latin typeface="Baskerville SemiBold"/>
        <a:ea typeface="Baskerville SemiBold"/>
        <a:cs typeface="Baskerville SemiBold"/>
      </a:minorFont>
    </a:fontScheme>
    <a:fmtScheme name="04_Essa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2">
            <a:hueOff val="304431"/>
            <a:satOff val="14136"/>
            <a:lumOff val="-27777"/>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FFFFFF"/>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AAAAAA"/>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400"/>
          </a:spcBef>
          <a:spcAft>
            <a:spcPts val="0"/>
          </a:spcAft>
          <a:buClrTx/>
          <a:buSzTx/>
          <a:buFontTx/>
          <a:buNone/>
          <a:tabLst/>
          <a:defRPr b="0" baseline="0" cap="none" i="0" spc="0" strike="noStrike" sz="1200" u="none" kumimoji="0" normalizeH="0">
            <a:ln>
              <a:noFill/>
            </a:ln>
            <a:solidFill>
              <a:srgbClr val="444444"/>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