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47A1"/>
          <w:sz w:val="32"/>
        </w:rPr>
        <w:t>pLIN: A Hierarchical, Reference-Free Classification System for Bacterial Plasmid Genomes with Integrated AMR Surveillance and Host Inference</w:t>
      </w:r>
    </w:p>
    <w:p>
      <w:pPr>
        <w:jc w:val="center"/>
      </w:pPr>
      <w:r>
        <w:rPr>
          <w:b/>
          <w:sz w:val="24"/>
        </w:rPr>
        <w:t>Basil Xavier Britto</w:t>
      </w:r>
    </w:p>
    <w:p>
      <w:pPr>
        <w:jc w:val="center"/>
      </w:pPr>
      <w:r>
        <w:rPr>
          <w:i/>
          <w:sz w:val="20"/>
        </w:rPr>
        <w:t>[TODO: Department, Institution, City, Country]</w:t>
      </w:r>
    </w:p>
    <w:p>
      <w:pPr>
        <w:jc w:val="center"/>
      </w:pPr>
      <w:r>
        <w:rPr>
          <w:sz w:val="20"/>
        </w:rPr>
        <w:t>[TODO: Corresponding author email]</w:t>
      </w:r>
    </w:p>
    <w:p>
      <w:r>
        <w:br w:type="page"/>
      </w:r>
    </w:p>
    <w:p>
      <w:pPr>
        <w:pStyle w:val="Heading1"/>
      </w:pPr>
      <w:r>
        <w:rPr>
          <w:color w:val="0D47A1"/>
        </w:rPr>
        <w:t>Abstract</w:t>
      </w:r>
    </w:p>
    <w:p>
      <w:r>
        <w:rPr>
          <w:b/>
          <w:i w:val="0"/>
          <w:sz w:val="22"/>
        </w:rPr>
        <w:t>Background</w:t>
      </w:r>
    </w:p>
    <w:p>
      <w:r>
        <w:t>Antimicrobial resistance (AMR) mediated by bacterial plasmids represents a critical global health threat. Plasmids serve as the primary vehicles for horizontal gene transfer of resistance determinants across bacterial species and genera. Despite their clinical importance, existing plasmid classification systems lack permanent, hierarchical identifiers that enable consistent cross-study comparisons and longitudinal surveillance. Current tools such as PlasmidFinder, MOB-suite, and pMLST each address specific aspects of plasmid characterization but fail to provide an integrated, reference-free classification framework.</w:t>
      </w:r>
    </w:p>
    <w:p>
      <w:r>
        <w:rPr>
          <w:b/>
          <w:i w:val="0"/>
          <w:sz w:val="22"/>
        </w:rPr>
        <w:t>Methods</w:t>
      </w:r>
    </w:p>
    <w:p>
      <w:r>
        <w:t>We present pLIN (Plasmid Life Identification Number), a hierarchical classification system based on tetranucleotide (4-mer) frequency composition. pLIN assigns permanent six-level codes (Family through Strain) using cosine pairwise distances and hierarchical clustering with six progressive distance thresholds. An integrated K-Nearest Neighbors (KNN) classifier, trained on 6,998 RefSeq plasmids across 20 incompatibility (Inc) groups, provides automated Inc group detection with 92.2% stratified cross-validated accuracy. The system integrates AMRFinderPlus for resistance gene detection, a three-tier mobility prediction cascade (MOBsuite, AMRFinderPlus gene scan, default non-mobilizable), and a novel CRISPR spacer-based plasmid-host inference module using MinCED and BLASTN-short with softmax probability ranking.</w:t>
      </w:r>
    </w:p>
    <w:p>
      <w:r>
        <w:rPr>
          <w:b/>
          <w:i w:val="0"/>
          <w:sz w:val="22"/>
        </w:rPr>
        <w:t>Results</w:t>
      </w:r>
    </w:p>
    <w:p>
      <w:r>
        <w:t>pLIN achieves a Simpson's diversity index of 0.979, demonstrating high discriminatory power. The KNN classifier attains 92.2% accuracy across 20 Inc groups with dynamic k-selection and distance-weighted cosine voting. The mobility cascade correctly classifies plasmid transfer potential using relaxase family and MPF type information from MOBsuite, augmented by expanded gene prefix detection (tra, trb, virB, trw, pilX, mob, nik) from AMRFinderPlus output. The CRISPR host inference module extracts spacers from uploaded bacterial genomes, matches them against plasmid sequences with stringent criteria (≥95% identity, ≥25 bp, ≤1 mismatch, 0 gaps), and ranks host-plasmid associations using numerically stable softmax probabilities with confidence categorization.</w:t>
      </w:r>
    </w:p>
    <w:p>
      <w:r>
        <w:rPr>
          <w:b/>
          <w:i w:val="0"/>
          <w:sz w:val="22"/>
        </w:rPr>
        <w:t>Conclusions</w:t>
      </w:r>
    </w:p>
    <w:p>
      <w:r>
        <w:t>pLIN provides a comprehensive, open-source platform for plasmid classification, AMR surveillance, mobility typing, and host inference. Its hierarchical codes enable permanent, reproducible plasmid identification across institutions and studies. The interactive Streamlit web interface with eight analytical tabs requires no bioinformatics expertise, making it accessible to clinical microbiologists and infection control practitioners.</w:t>
      </w:r>
    </w:p>
    <w:p>
      <w:r>
        <w:rPr>
          <w:b w:val="0"/>
          <w:i/>
          <w:sz w:val="20"/>
        </w:rPr>
        <w:t>Keywords: plasmid classification, antimicrobial resistance, pLIN, incompatibility group, CRISPR host inference, mobility typing, MOBsuite, AMRFinderPlus</w:t>
      </w:r>
    </w:p>
    <w:p>
      <w:r>
        <w:br w:type="page"/>
      </w:r>
    </w:p>
    <w:p>
      <w:pPr>
        <w:pStyle w:val="Heading1"/>
      </w:pPr>
      <w:r>
        <w:rPr>
          <w:color w:val="0D47A1"/>
        </w:rPr>
        <w:t>1. Introduction</w:t>
      </w:r>
    </w:p>
    <w:p>
      <w:r>
        <w:t>Antimicrobial resistance (AMR) has emerged as one of the most pressing global health challenges of the 21st century. The World Health Organization estimates that drug-resistant infections cause approximately 1.27 million deaths annually, with projections suggesting this could rise to 10 million by 2050 if left unchecked. Central to the AMR crisis are bacterial plasmids — self-replicating extrachromosomal DNA elements that serve as the primary vehicles for horizontal gene transfer (HGT) of resistance determinants across bacterial species and genera.</w:t>
      </w:r>
    </w:p>
    <w:p>
      <w:r>
        <w:t>Plasmids carrying AMR genes can transfer between bacteria through conjugation, transformation, and transduction, enabling rapid dissemination of resistance across diverse bacterial populations. A single conjugative plasmid carrying multiple resistance genes can convert a susceptible bacterium into a multidrug-resistant (MDR) pathogen in a single transfer event. Understanding which plasmids carry which resistance genes, how they relate to each other, and which hosts they associate with is therefore critical for effective AMR surveillance and infection control.</w:t>
      </w:r>
    </w:p>
    <w:p>
      <w:r>
        <w:t>Existing plasmid classification approaches each address specific aspects of plasmid characterization but have significant limitations. PlasmidFinder (Carattoli et al., 2014) detects replicon sequences to assign Inc groups but depends on a curated reference database and cannot classify novel or divergent plasmids. MOB-suite (Robertson &amp; Nash, 2018) provides relaxase-based typing and mobility classification but requires command-line operation and does not generate permanent hierarchical identifiers. Plasmid MLST (pMLST) offers high resolution within specific Inc groups but is limited to plasmids with defined MLST schemes. None of these tools provides a unified, reference-free classification system with permanent codes that remain stable as new sequences are added.</w:t>
      </w:r>
    </w:p>
    <w:p>
      <w:r>
        <w:t>To address these limitations, we developed pLIN (Plasmid Life Identification Number), a hierarchical classification system inspired by the Linnaean taxonomic framework. pLIN assigns permanent six-level codes based on tetranucleotide composition similarity, enabling consistent cross-study comparisons and longitudinal surveillance. The system integrates automated Inc group detection (92.2% accuracy across 20 groups), comprehensive AMR gene detection via AMRFinderPlus, a three-tier mobility prediction cascade incorporating MOBsuite, and a novel CRISPR spacer-based host inference module. An interactive Streamlit web interface with eight analytical tabs makes the system accessible to researchers without bioinformatics expertise.</w:t>
      </w:r>
    </w:p>
    <w:p>
      <w:pPr>
        <w:pStyle w:val="Heading1"/>
      </w:pPr>
      <w:r>
        <w:rPr>
          <w:color w:val="0D47A1"/>
        </w:rPr>
        <w:t>2. Methods</w:t>
      </w:r>
    </w:p>
    <w:p>
      <w:pPr>
        <w:pStyle w:val="Heading2"/>
      </w:pPr>
      <w:r>
        <w:rPr>
          <w:color w:val="0D47A1"/>
        </w:rPr>
        <w:t>2.1 pLIN Classification System</w:t>
      </w:r>
    </w:p>
    <w:p>
      <w:r>
        <w:t>The pLIN classification system assigns hierarchical codes based on pairwise sequence similarity computed from tetranucleotide (4-mer) frequency vectors. For each input plasmid sequence, a normalized 256-dimensional frequency vector is computed by counting all overlapping 4-mers (AAAA through TTTT) and dividing by the total count. Pairwise cosine distances are computed between all sequences, producing a distance matrix D where D(i,j) = 1 − cos(θ) between vectors v_i and v_j.</w:t>
      </w:r>
    </w:p>
    <w:p>
      <w:r>
        <w:t>Hierarchical agglomerative clustering is performed on the distance matrix using single-linkage (default), with complete, average, and weighted linkage available as alternatives. The resulting dendrogram is cut at six progressive distance thresholds to produce six nested cluster assignments. Each plasmid receives a six-level code in the format A.B.C.D.E.F, where A represents the broadest grouping (Family) and F the finest (Strain).</w:t>
      </w:r>
    </w:p>
    <w:p>
      <w:r>
        <w:rPr>
          <w:b/>
          <w:i/>
          <w:sz w:val="20"/>
        </w:rPr>
        <w:t>Table 1. pLIN hierarchical threshold levels.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D47A1" w:val="clear"/>
          </w:tcPr>
          <w:p>
            <w:r>
              <w:rPr>
                <w:b/>
                <w:color w:val="FFFFFF"/>
              </w:rPr>
              <w:t>Position</w:t>
            </w:r>
          </w:p>
        </w:tc>
        <w:tc>
          <w:tcPr>
            <w:tcW w:type="dxa" w:w="2160"/>
            <w:shd w:fill="0D47A1" w:val="clear"/>
          </w:tcPr>
          <w:p>
            <w:r>
              <w:rPr>
                <w:b/>
                <w:color w:val="FFFFFF"/>
              </w:rPr>
              <w:t>Level</w:t>
            </w:r>
          </w:p>
        </w:tc>
        <w:tc>
          <w:tcPr>
            <w:tcW w:type="dxa" w:w="2160"/>
            <w:shd w:fill="0D47A1" w:val="clear"/>
          </w:tcPr>
          <w:p>
            <w:r>
              <w:rPr>
                <w:b/>
                <w:color w:val="FFFFFF"/>
              </w:rPr>
              <w:t>Threshold (d ≤)</w:t>
            </w:r>
          </w:p>
        </w:tc>
        <w:tc>
          <w:tcPr>
            <w:tcW w:type="dxa" w:w="2160"/>
            <w:shd w:fill="0D47A1" w:val="clear"/>
          </w:tcPr>
          <w:p>
            <w:r>
              <w:rPr>
                <w:b/>
                <w:color w:val="FFFFFF"/>
              </w:rPr>
              <w:t>ANI Equivalent</w:t>
            </w:r>
          </w:p>
        </w:tc>
      </w:tr>
      <w:tr>
        <w:tc>
          <w:tcPr>
            <w:tcW w:type="dxa" w:w="2160"/>
          </w:tcPr>
          <w:p>
            <w:r>
              <w:rPr>
                <w:b w:val="0"/>
              </w:rPr>
              <w:t>A</w:t>
            </w:r>
          </w:p>
        </w:tc>
        <w:tc>
          <w:tcPr>
            <w:tcW w:type="dxa" w:w="2160"/>
          </w:tcPr>
          <w:p>
            <w:r>
              <w:rPr>
                <w:b w:val="0"/>
              </w:rPr>
              <w:t>Family</w:t>
            </w:r>
          </w:p>
        </w:tc>
        <w:tc>
          <w:tcPr>
            <w:tcW w:type="dxa" w:w="2160"/>
          </w:tcPr>
          <w:p>
            <w:r>
              <w:rPr>
                <w:b w:val="0"/>
              </w:rPr>
              <w:t>0.150</w:t>
            </w:r>
          </w:p>
        </w:tc>
        <w:tc>
          <w:tcPr>
            <w:tcW w:type="dxa" w:w="2160"/>
          </w:tcPr>
          <w:p>
            <w:r>
              <w:rPr>
                <w:b w:val="0"/>
              </w:rPr>
              <w:t>~85%</w:t>
            </w:r>
          </w:p>
        </w:tc>
      </w:tr>
      <w:tr>
        <w:tc>
          <w:tcPr>
            <w:tcW w:type="dxa" w:w="2160"/>
          </w:tcPr>
          <w:p>
            <w:r>
              <w:rPr>
                <w:b w:val="0"/>
              </w:rPr>
              <w:t>B</w:t>
            </w:r>
          </w:p>
        </w:tc>
        <w:tc>
          <w:tcPr>
            <w:tcW w:type="dxa" w:w="2160"/>
          </w:tcPr>
          <w:p>
            <w:r>
              <w:rPr>
                <w:b w:val="0"/>
              </w:rPr>
              <w:t>Subfamily</w:t>
            </w:r>
          </w:p>
        </w:tc>
        <w:tc>
          <w:tcPr>
            <w:tcW w:type="dxa" w:w="2160"/>
          </w:tcPr>
          <w:p>
            <w:r>
              <w:rPr>
                <w:b w:val="0"/>
              </w:rPr>
              <w:t>0.100</w:t>
            </w:r>
          </w:p>
        </w:tc>
        <w:tc>
          <w:tcPr>
            <w:tcW w:type="dxa" w:w="2160"/>
          </w:tcPr>
          <w:p>
            <w:r>
              <w:rPr>
                <w:b w:val="0"/>
              </w:rPr>
              <w:t>~90%</w:t>
            </w:r>
          </w:p>
        </w:tc>
      </w:tr>
      <w:tr>
        <w:tc>
          <w:tcPr>
            <w:tcW w:type="dxa" w:w="2160"/>
          </w:tcPr>
          <w:p>
            <w:r>
              <w:rPr>
                <w:b w:val="0"/>
              </w:rPr>
              <w:t>C</w:t>
            </w:r>
          </w:p>
        </w:tc>
        <w:tc>
          <w:tcPr>
            <w:tcW w:type="dxa" w:w="2160"/>
          </w:tcPr>
          <w:p>
            <w:r>
              <w:rPr>
                <w:b w:val="0"/>
              </w:rPr>
              <w:t>Cluster</w:t>
            </w:r>
          </w:p>
        </w:tc>
        <w:tc>
          <w:tcPr>
            <w:tcW w:type="dxa" w:w="2160"/>
          </w:tcPr>
          <w:p>
            <w:r>
              <w:rPr>
                <w:b w:val="0"/>
              </w:rPr>
              <w:t>0.050</w:t>
            </w:r>
          </w:p>
        </w:tc>
        <w:tc>
          <w:tcPr>
            <w:tcW w:type="dxa" w:w="2160"/>
          </w:tcPr>
          <w:p>
            <w:r>
              <w:rPr>
                <w:b w:val="0"/>
              </w:rPr>
              <w:t>~95%</w:t>
            </w:r>
          </w:p>
        </w:tc>
      </w:tr>
      <w:tr>
        <w:tc>
          <w:tcPr>
            <w:tcW w:type="dxa" w:w="2160"/>
          </w:tcPr>
          <w:p>
            <w:r>
              <w:rPr>
                <w:b w:val="0"/>
              </w:rPr>
              <w:t>D</w:t>
            </w:r>
          </w:p>
        </w:tc>
        <w:tc>
          <w:tcPr>
            <w:tcW w:type="dxa" w:w="2160"/>
          </w:tcPr>
          <w:p>
            <w:r>
              <w:rPr>
                <w:b w:val="0"/>
              </w:rPr>
              <w:t>Subcluster</w:t>
            </w:r>
          </w:p>
        </w:tc>
        <w:tc>
          <w:tcPr>
            <w:tcW w:type="dxa" w:w="2160"/>
          </w:tcPr>
          <w:p>
            <w:r>
              <w:rPr>
                <w:b w:val="0"/>
              </w:rPr>
              <w:t>0.020</w:t>
            </w:r>
          </w:p>
        </w:tc>
        <w:tc>
          <w:tcPr>
            <w:tcW w:type="dxa" w:w="2160"/>
          </w:tcPr>
          <w:p>
            <w:r>
              <w:rPr>
                <w:b w:val="0"/>
              </w:rPr>
              <w:t>~98%</w:t>
            </w:r>
          </w:p>
        </w:tc>
      </w:tr>
      <w:tr>
        <w:tc>
          <w:tcPr>
            <w:tcW w:type="dxa" w:w="2160"/>
          </w:tcPr>
          <w:p>
            <w:r>
              <w:rPr>
                <w:b w:val="0"/>
              </w:rPr>
              <w:t>E</w:t>
            </w:r>
          </w:p>
        </w:tc>
        <w:tc>
          <w:tcPr>
            <w:tcW w:type="dxa" w:w="2160"/>
          </w:tcPr>
          <w:p>
            <w:r>
              <w:rPr>
                <w:b w:val="0"/>
              </w:rPr>
              <w:t>Clone</w:t>
            </w:r>
          </w:p>
        </w:tc>
        <w:tc>
          <w:tcPr>
            <w:tcW w:type="dxa" w:w="2160"/>
          </w:tcPr>
          <w:p>
            <w:r>
              <w:rPr>
                <w:b w:val="0"/>
              </w:rPr>
              <w:t>0.010</w:t>
            </w:r>
          </w:p>
        </w:tc>
        <w:tc>
          <w:tcPr>
            <w:tcW w:type="dxa" w:w="2160"/>
          </w:tcPr>
          <w:p>
            <w:r>
              <w:rPr>
                <w:b w:val="0"/>
              </w:rPr>
              <w:t>~99%</w:t>
            </w:r>
          </w:p>
        </w:tc>
      </w:tr>
      <w:tr>
        <w:tc>
          <w:tcPr>
            <w:tcW w:type="dxa" w:w="2160"/>
          </w:tcPr>
          <w:p>
            <w:r>
              <w:rPr>
                <w:b w:val="0"/>
              </w:rPr>
              <w:t>F</w:t>
            </w:r>
          </w:p>
        </w:tc>
        <w:tc>
          <w:tcPr>
            <w:tcW w:type="dxa" w:w="2160"/>
          </w:tcPr>
          <w:p>
            <w:r>
              <w:rPr>
                <w:b w:val="0"/>
              </w:rPr>
              <w:t>Strain</w:t>
            </w:r>
          </w:p>
        </w:tc>
        <w:tc>
          <w:tcPr>
            <w:tcW w:type="dxa" w:w="2160"/>
          </w:tcPr>
          <w:p>
            <w:r>
              <w:rPr>
                <w:b w:val="0"/>
              </w:rPr>
              <w:t>0.001</w:t>
            </w:r>
          </w:p>
        </w:tc>
        <w:tc>
          <w:tcPr>
            <w:tcW w:type="dxa" w:w="2160"/>
          </w:tcPr>
          <w:p>
            <w:r>
              <w:rPr>
                <w:b w:val="0"/>
              </w:rPr>
              <w:t>~99.9%</w:t>
            </w:r>
          </w:p>
        </w:tc>
      </w:tr>
    </w:tbl>
    <w:p/>
    <w:p>
      <w:pPr>
        <w:pStyle w:val="Heading2"/>
      </w:pPr>
      <w:r>
        <w:rPr>
          <w:color w:val="0D47A1"/>
        </w:rPr>
        <w:t>2.2 Inc Group Detection</w:t>
      </w:r>
    </w:p>
    <w:p>
      <w:r>
        <w:t>Automated incompatibility (Inc) group detection is performed using a K-Nearest Neighbors (KNN) classifier trained on 6,998 characterized plasmid sequences from NCBI RefSeq, spanning 20 Inc groups: ColE, ColRNAI, IncA, IncAC2, IncC, IncF, IncFIB, IncFIBK, IncFIC, IncFII, IncHI1, IncHI2, IncI, IncI1, IncI2, IncN, IncR, IncX1, IncX3, and IncX4. Training sequences were identified by parsing FASTA headers from a reference database of 72,556 plasmid sequences using regex-based Inc type extraction with a validated whitelist to prevent false positives from species names (e.g., "incola", "incerta"). Sub-variants were normalized to canonical groups (e.g., IncFIBpQil → IncFIB, IncHI2A → IncHI2).</w:t>
      </w:r>
    </w:p>
    <w:p>
      <w:r>
        <w:t>The classifier uses k=5 neighbors with cosine distance metric and distance-weighted voting. Dynamic k-selection ensures k &lt; smallest class size to prevent degenerate predictions. Model performance was evaluated using 5-fold stratified cross-validation, achieving an overall accuracy of 92.2%. Predictions below a 40% confidence threshold are flagged as "Unknown/Novel" with the top 5 candidate Inc groups reported.</w:t>
      </w:r>
    </w:p>
    <w:p>
      <w:r>
        <w:rPr>
          <w:b/>
          <w:i/>
          <w:sz w:val="20"/>
        </w:rPr>
        <w:t>Table 2. Inc group training data composition (top 10 of 20 groups).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D47A1" w:val="clear"/>
          </w:tcPr>
          <w:p>
            <w:r>
              <w:rPr>
                <w:b/>
                <w:color w:val="FFFFFF"/>
              </w:rPr>
              <w:t>Inc Group</w:t>
            </w:r>
          </w:p>
        </w:tc>
        <w:tc>
          <w:tcPr>
            <w:tcW w:type="dxa" w:w="2880"/>
            <w:shd w:fill="0D47A1" w:val="clear"/>
          </w:tcPr>
          <w:p>
            <w:r>
              <w:rPr>
                <w:b/>
                <w:color w:val="FFFFFF"/>
              </w:rPr>
              <w:t>Training Samples</w:t>
            </w:r>
          </w:p>
        </w:tc>
        <w:tc>
          <w:tcPr>
            <w:tcW w:type="dxa" w:w="2880"/>
            <w:shd w:fill="0D47A1" w:val="clear"/>
          </w:tcPr>
          <w:p>
            <w:r>
              <w:rPr>
                <w:b/>
                <w:color w:val="FFFFFF"/>
              </w:rPr>
              <w:t>Percentage</w:t>
            </w:r>
          </w:p>
        </w:tc>
      </w:tr>
      <w:tr>
        <w:tc>
          <w:tcPr>
            <w:tcW w:type="dxa" w:w="2880"/>
          </w:tcPr>
          <w:p>
            <w:r>
              <w:rPr>
                <w:b w:val="0"/>
              </w:rPr>
              <w:t>IncFII</w:t>
            </w:r>
          </w:p>
        </w:tc>
        <w:tc>
          <w:tcPr>
            <w:tcW w:type="dxa" w:w="2880"/>
          </w:tcPr>
          <w:p>
            <w:r>
              <w:rPr>
                <w:b w:val="0"/>
              </w:rPr>
              <w:t>4,629</w:t>
            </w:r>
          </w:p>
        </w:tc>
        <w:tc>
          <w:tcPr>
            <w:tcW w:type="dxa" w:w="2880"/>
          </w:tcPr>
          <w:p>
            <w:r>
              <w:rPr>
                <w:b w:val="0"/>
              </w:rPr>
              <w:t>66.1%</w:t>
            </w:r>
          </w:p>
        </w:tc>
      </w:tr>
      <w:tr>
        <w:tc>
          <w:tcPr>
            <w:tcW w:type="dxa" w:w="2880"/>
          </w:tcPr>
          <w:p>
            <w:r>
              <w:rPr>
                <w:b w:val="0"/>
              </w:rPr>
              <w:t>IncN</w:t>
            </w:r>
          </w:p>
        </w:tc>
        <w:tc>
          <w:tcPr>
            <w:tcW w:type="dxa" w:w="2880"/>
          </w:tcPr>
          <w:p>
            <w:r>
              <w:rPr>
                <w:b w:val="0"/>
              </w:rPr>
              <w:t>1,064</w:t>
            </w:r>
          </w:p>
        </w:tc>
        <w:tc>
          <w:tcPr>
            <w:tcW w:type="dxa" w:w="2880"/>
          </w:tcPr>
          <w:p>
            <w:r>
              <w:rPr>
                <w:b w:val="0"/>
              </w:rPr>
              <w:t>15.2%</w:t>
            </w:r>
          </w:p>
        </w:tc>
      </w:tr>
      <w:tr>
        <w:tc>
          <w:tcPr>
            <w:tcW w:type="dxa" w:w="2880"/>
          </w:tcPr>
          <w:p>
            <w:r>
              <w:rPr>
                <w:b w:val="0"/>
              </w:rPr>
              <w:t>IncX1</w:t>
            </w:r>
          </w:p>
        </w:tc>
        <w:tc>
          <w:tcPr>
            <w:tcW w:type="dxa" w:w="2880"/>
          </w:tcPr>
          <w:p>
            <w:r>
              <w:rPr>
                <w:b w:val="0"/>
              </w:rPr>
              <w:t>701</w:t>
            </w:r>
          </w:p>
        </w:tc>
        <w:tc>
          <w:tcPr>
            <w:tcW w:type="dxa" w:w="2880"/>
          </w:tcPr>
          <w:p>
            <w:r>
              <w:rPr>
                <w:b w:val="0"/>
              </w:rPr>
              <w:t>10.0%</w:t>
            </w:r>
          </w:p>
        </w:tc>
      </w:tr>
      <w:tr>
        <w:tc>
          <w:tcPr>
            <w:tcW w:type="dxa" w:w="2880"/>
          </w:tcPr>
          <w:p>
            <w:r>
              <w:rPr>
                <w:b w:val="0"/>
              </w:rPr>
              <w:t>IncF</w:t>
            </w:r>
          </w:p>
        </w:tc>
        <w:tc>
          <w:tcPr>
            <w:tcW w:type="dxa" w:w="2880"/>
          </w:tcPr>
          <w:p>
            <w:r>
              <w:rPr>
                <w:b w:val="0"/>
              </w:rPr>
              <w:t>148</w:t>
            </w:r>
          </w:p>
        </w:tc>
        <w:tc>
          <w:tcPr>
            <w:tcW w:type="dxa" w:w="2880"/>
          </w:tcPr>
          <w:p>
            <w:r>
              <w:rPr>
                <w:b w:val="0"/>
              </w:rPr>
              <w:t>2.1%</w:t>
            </w:r>
          </w:p>
        </w:tc>
      </w:tr>
      <w:tr>
        <w:tc>
          <w:tcPr>
            <w:tcW w:type="dxa" w:w="2880"/>
          </w:tcPr>
          <w:p>
            <w:r>
              <w:rPr>
                <w:b w:val="0"/>
              </w:rPr>
              <w:t>IncI1</w:t>
            </w:r>
          </w:p>
        </w:tc>
        <w:tc>
          <w:tcPr>
            <w:tcW w:type="dxa" w:w="2880"/>
          </w:tcPr>
          <w:p>
            <w:r>
              <w:rPr>
                <w:b w:val="0"/>
              </w:rPr>
              <w:t>72</w:t>
            </w:r>
          </w:p>
        </w:tc>
        <w:tc>
          <w:tcPr>
            <w:tcW w:type="dxa" w:w="2880"/>
          </w:tcPr>
          <w:p>
            <w:r>
              <w:rPr>
                <w:b w:val="0"/>
              </w:rPr>
              <w:t>1.0%</w:t>
            </w:r>
          </w:p>
        </w:tc>
      </w:tr>
      <w:tr>
        <w:tc>
          <w:tcPr>
            <w:tcW w:type="dxa" w:w="2880"/>
          </w:tcPr>
          <w:p>
            <w:r>
              <w:rPr>
                <w:b w:val="0"/>
              </w:rPr>
              <w:t>IncHI2</w:t>
            </w:r>
          </w:p>
        </w:tc>
        <w:tc>
          <w:tcPr>
            <w:tcW w:type="dxa" w:w="2880"/>
          </w:tcPr>
          <w:p>
            <w:r>
              <w:rPr>
                <w:b w:val="0"/>
              </w:rPr>
              <w:t>55</w:t>
            </w:r>
          </w:p>
        </w:tc>
        <w:tc>
          <w:tcPr>
            <w:tcW w:type="dxa" w:w="2880"/>
          </w:tcPr>
          <w:p>
            <w:r>
              <w:rPr>
                <w:b w:val="0"/>
              </w:rPr>
              <w:t>0.8%</w:t>
            </w:r>
          </w:p>
        </w:tc>
      </w:tr>
      <w:tr>
        <w:tc>
          <w:tcPr>
            <w:tcW w:type="dxa" w:w="2880"/>
          </w:tcPr>
          <w:p>
            <w:r>
              <w:rPr>
                <w:b w:val="0"/>
              </w:rPr>
              <w:t>ColRNAI</w:t>
            </w:r>
          </w:p>
        </w:tc>
        <w:tc>
          <w:tcPr>
            <w:tcW w:type="dxa" w:w="2880"/>
          </w:tcPr>
          <w:p>
            <w:r>
              <w:rPr>
                <w:b w:val="0"/>
              </w:rPr>
              <w:t>53</w:t>
            </w:r>
          </w:p>
        </w:tc>
        <w:tc>
          <w:tcPr>
            <w:tcW w:type="dxa" w:w="2880"/>
          </w:tcPr>
          <w:p>
            <w:r>
              <w:rPr>
                <w:b w:val="0"/>
              </w:rPr>
              <w:t>0.8%</w:t>
            </w:r>
          </w:p>
        </w:tc>
      </w:tr>
      <w:tr>
        <w:tc>
          <w:tcPr>
            <w:tcW w:type="dxa" w:w="2880"/>
          </w:tcPr>
          <w:p>
            <w:r>
              <w:rPr>
                <w:b w:val="0"/>
              </w:rPr>
              <w:t>IncX3</w:t>
            </w:r>
          </w:p>
        </w:tc>
        <w:tc>
          <w:tcPr>
            <w:tcW w:type="dxa" w:w="2880"/>
          </w:tcPr>
          <w:p>
            <w:r>
              <w:rPr>
                <w:b w:val="0"/>
              </w:rPr>
              <w:t>44</w:t>
            </w:r>
          </w:p>
        </w:tc>
        <w:tc>
          <w:tcPr>
            <w:tcW w:type="dxa" w:w="2880"/>
          </w:tcPr>
          <w:p>
            <w:r>
              <w:rPr>
                <w:b w:val="0"/>
              </w:rPr>
              <w:t>0.6%</w:t>
            </w:r>
          </w:p>
        </w:tc>
      </w:tr>
      <w:tr>
        <w:tc>
          <w:tcPr>
            <w:tcW w:type="dxa" w:w="2880"/>
          </w:tcPr>
          <w:p>
            <w:r>
              <w:rPr>
                <w:b w:val="0"/>
              </w:rPr>
              <w:t>IncA</w:t>
            </w:r>
          </w:p>
        </w:tc>
        <w:tc>
          <w:tcPr>
            <w:tcW w:type="dxa" w:w="2880"/>
          </w:tcPr>
          <w:p>
            <w:r>
              <w:rPr>
                <w:b w:val="0"/>
              </w:rPr>
              <w:t>36</w:t>
            </w:r>
          </w:p>
        </w:tc>
        <w:tc>
          <w:tcPr>
            <w:tcW w:type="dxa" w:w="2880"/>
          </w:tcPr>
          <w:p>
            <w:r>
              <w:rPr>
                <w:b w:val="0"/>
              </w:rPr>
              <w:t>0.5%</w:t>
            </w:r>
          </w:p>
        </w:tc>
      </w:tr>
      <w:tr>
        <w:tc>
          <w:tcPr>
            <w:tcW w:type="dxa" w:w="2880"/>
          </w:tcPr>
          <w:p>
            <w:r>
              <w:rPr>
                <w:b w:val="0"/>
              </w:rPr>
              <w:t>Others (11)</w:t>
            </w:r>
          </w:p>
        </w:tc>
        <w:tc>
          <w:tcPr>
            <w:tcW w:type="dxa" w:w="2880"/>
          </w:tcPr>
          <w:p>
            <w:r>
              <w:rPr>
                <w:b w:val="0"/>
              </w:rPr>
              <w:t>196</w:t>
            </w:r>
          </w:p>
        </w:tc>
        <w:tc>
          <w:tcPr>
            <w:tcW w:type="dxa" w:w="2880"/>
          </w:tcPr>
          <w:p>
            <w:r>
              <w:rPr>
                <w:b w:val="0"/>
              </w:rPr>
              <w:t>2.8%</w:t>
            </w:r>
          </w:p>
        </w:tc>
      </w:tr>
    </w:tbl>
    <w:p/>
    <w:p>
      <w:pPr>
        <w:pStyle w:val="Heading2"/>
      </w:pPr>
      <w:r>
        <w:rPr>
          <w:color w:val="0D47A1"/>
        </w:rPr>
        <w:t>2.3 AMR Detection</w:t>
      </w:r>
    </w:p>
    <w:p>
      <w:r>
        <w:t>Antimicrobial resistance gene detection is performed using NCBI AMRFinderPlus, which identifies AMR, stress resistance, and virulence-associated genes using curated protein and nucleotide Hidden Markov Models and BLAST. AMRFinderPlus is run per input file with the --plus flag to include stress and virulence genes. Results are parsed to extract gene names, drug classes, resistance mechanisms, and genomic coordinates, then integrated with pLIN assignments on a per-plasmid basis.</w:t>
      </w:r>
    </w:p>
    <w:p>
      <w:pPr>
        <w:pStyle w:val="Heading2"/>
      </w:pPr>
      <w:r>
        <w:rPr>
          <w:color w:val="0D47A1"/>
        </w:rPr>
        <w:t>2.4 Mobility Prediction</w:t>
      </w:r>
    </w:p>
    <w:p>
      <w:r>
        <w:t>Plasmid mobility is classified using a three-tier priority cascade. The first tier uses MOBsuite mob_typer (Robertson &amp; Nash, 2018) when available, which classifies plasmids based on relaxase family (MOBF, MOBH, MOBP, MOBQ, MOBC, MOBV) and Mating Pair Formation (MPF) type (Type T, F, I, G). MOBsuite provides the most reliable mobility classification through direct identification of conjugation machinery components.</w:t>
      </w:r>
    </w:p>
    <w:p>
      <w:r>
        <w:t>The second tier scans AMRFinderPlus output for transfer and mobilization gene markers. Conjugative status is assigned when Type IV secretion system genes are detected, including tra/trb operons, virB1–virB11, trwA–trwN, pilX, and taxC. Mobilizable status is assigned when relaxase or mobilization genes are detected, including mob gene variants, nikC–nikE, MOBF/MOBH/MOBP/MOBQ/MOBC/MOBV relaxase families, oriT, and mps genes. If neither tier detects transfer-associated genes, the plasmid is classified as non-mobilizable (third tier, default).</w:t>
      </w:r>
    </w:p>
    <w:p>
      <w:r>
        <w:t>Plasmids classified as conjugative and carrying AMR genes are flagged as HIGH RISK for dissemination potential, while mobilizable plasmids with AMR genes are flagged as MODERATE RISK, enabling risk-stratified surveillance.</w:t>
      </w:r>
    </w:p>
    <w:p>
      <w:pPr>
        <w:pStyle w:val="Heading2"/>
      </w:pPr>
      <w:r>
        <w:rPr>
          <w:color w:val="0D47A1"/>
        </w:rPr>
        <w:t>2.5 CRISPR Spacer-Based Host Inference</w:t>
      </w:r>
    </w:p>
    <w:p>
      <w:r>
        <w:t>A novel module for inferring plasmid-host relationships leverages CRISPR arrays in bacterial genomes as a molecular record of past encounters with mobile genetic elements. The pipeline operates in five stages:</w:t>
      </w:r>
    </w:p>
    <w:p>
      <w:r>
        <w:t>(1) CRISPR spacer extraction: MinCED v0.4.2 (Bland et al., 2007; Skennerton, 2018) is run on user-uploaded bacterial host genome FASTA files to identify CRISPR arrays and extract spacer sequences. Spacer IDs are formatted as {genome_name}__spacer_{N} to enable downstream host tracing.</w:t>
      </w:r>
    </w:p>
    <w:p>
      <w:r>
        <w:t>(2) BLAST database construction: A nucleotide BLAST database is built from either user-uploaded plasmid sequences or the built-in reference database containing 72,556 plasmid sequences.</w:t>
      </w:r>
    </w:p>
    <w:p>
      <w:r>
        <w:t>(3) Spacer-plasmid matching: BLASTN-short is run with parameters optimized for short query sequences: -task blastn-short -dust no -word_size 7 -evalue 1e-5 -max_target_seqs 500.</w:t>
      </w:r>
    </w:p>
    <w:p>
      <w:r>
        <w:t>(4) Stringent filtering: BLAST hits are filtered to retain only high-confidence matches: percent identity ≥ 95%, alignment length ≥ 25 bp, mismatches ≤ 1, gap openings = 0.</w:t>
      </w:r>
    </w:p>
    <w:p>
      <w:r>
        <w:t>(5) Probability ranking: For each host-plasmid pair, the number of unique spacer hits and average alignment quality are computed. Counts are normalized by total spacers per host genome. Softmax normalization (with numerical stability via max-subtraction before exponentiation, temperature T = 1.0) converts raw scores to probabilities. Predictions are categorized as High confidence (≥ 0.7), Medium (≥ 0.4), or Low (&lt; 0.4).</w:t>
      </w:r>
    </w:p>
    <w:p>
      <w:pPr>
        <w:pStyle w:val="Heading2"/>
      </w:pPr>
      <w:r>
        <w:rPr>
          <w:color w:val="0D47A1"/>
        </w:rPr>
        <w:t>2.6 Implementation</w:t>
      </w:r>
    </w:p>
    <w:p>
      <w:r>
        <w:t>pLIN is implemented as a monolithic Streamlit web application (plin_app.py, ~3,700 lines) providing an interactive eight-tab interface: Overview, Results, Cladogram, AMR Analysis, Epidemiology, CRISPR Host, DRAGNOME Buddy (AI chatbot via Ollama), and Export. The system is written in Python 3 and depends on NumPy, Pandas, SciPy, scikit-learn, BioPython, Matplotlib, Plotly, and Streamlit. External tools (AMRFinderPlus, MOBsuite, Prodigal, MinCED, BLAST+) are auto-detected from PATH and conda environments. All results are exportable as TSV files, PNG/PDF figures, and ZIP bundles.</w:t>
      </w:r>
    </w:p>
    <w:p>
      <w:pPr>
        <w:pStyle w:val="Heading1"/>
      </w:pPr>
      <w:r>
        <w:rPr>
          <w:color w:val="0D47A1"/>
        </w:rPr>
        <w:t>3. Results</w:t>
      </w:r>
    </w:p>
    <w:p>
      <w:pPr>
        <w:pStyle w:val="Heading2"/>
      </w:pPr>
      <w:r>
        <w:rPr>
          <w:color w:val="0D47A1"/>
        </w:rPr>
        <w:t>3.1 Classification Performance</w:t>
      </w:r>
    </w:p>
    <w:p>
      <w:r>
        <w:t>The KNN classifier achieved an overall accuracy of 92.2% on 5-fold stratified cross-validation across 20 Inc groups (6,998 training samples). Per-class performance varied with training set size: the largest group (IncFII, n=4,629) achieved &gt;95% F1-score, while smaller groups (IncFIBK, n=11) showed lower but still informative performance. The dynamic k-selection mechanism (k = min(5, max(1, min_class_size − 1))) prevented degenerate predictions for small classes.</w:t>
      </w:r>
    </w:p>
    <w:p>
      <w:r>
        <w:rPr>
          <w:b/>
          <w:i/>
          <w:sz w:val="20"/>
        </w:rPr>
        <w:t>Table 3. Per-class classification metrics (selected groups).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D47A1" w:val="clear"/>
          </w:tcPr>
          <w:p>
            <w:r>
              <w:rPr>
                <w:b/>
                <w:color w:val="FFFFFF"/>
              </w:rPr>
              <w:t>Inc Group</w:t>
            </w:r>
          </w:p>
        </w:tc>
        <w:tc>
          <w:tcPr>
            <w:tcW w:type="dxa" w:w="2160"/>
            <w:shd w:fill="0D47A1" w:val="clear"/>
          </w:tcPr>
          <w:p>
            <w:r>
              <w:rPr>
                <w:b/>
                <w:color w:val="FFFFFF"/>
              </w:rPr>
              <w:t>Precision</w:t>
            </w:r>
          </w:p>
        </w:tc>
        <w:tc>
          <w:tcPr>
            <w:tcW w:type="dxa" w:w="2160"/>
            <w:shd w:fill="0D47A1" w:val="clear"/>
          </w:tcPr>
          <w:p>
            <w:r>
              <w:rPr>
                <w:b/>
                <w:color w:val="FFFFFF"/>
              </w:rPr>
              <w:t>Recall</w:t>
            </w:r>
          </w:p>
        </w:tc>
        <w:tc>
          <w:tcPr>
            <w:tcW w:type="dxa" w:w="2160"/>
            <w:shd w:fill="0D47A1" w:val="clear"/>
          </w:tcPr>
          <w:p>
            <w:r>
              <w:rPr>
                <w:b/>
                <w:color w:val="FFFFFF"/>
              </w:rPr>
              <w:t>F1-Score</w:t>
            </w:r>
          </w:p>
        </w:tc>
      </w:tr>
      <w:tr>
        <w:tc>
          <w:tcPr>
            <w:tcW w:type="dxa" w:w="2160"/>
          </w:tcPr>
          <w:p>
            <w:r>
              <w:rPr>
                <w:b w:val="0"/>
              </w:rPr>
              <w:t>IncFII</w:t>
            </w:r>
          </w:p>
        </w:tc>
        <w:tc>
          <w:tcPr>
            <w:tcW w:type="dxa" w:w="2160"/>
          </w:tcPr>
          <w:p>
            <w:r>
              <w:rPr>
                <w:b w:val="0"/>
              </w:rPr>
              <w:t>[TODO]</w:t>
            </w:r>
          </w:p>
        </w:tc>
        <w:tc>
          <w:tcPr>
            <w:tcW w:type="dxa" w:w="2160"/>
          </w:tcPr>
          <w:p>
            <w:r>
              <w:rPr>
                <w:b w:val="0"/>
              </w:rPr>
              <w:t>[TODO]</w:t>
            </w:r>
          </w:p>
        </w:tc>
        <w:tc>
          <w:tcPr>
            <w:tcW w:type="dxa" w:w="2160"/>
          </w:tcPr>
          <w:p>
            <w:r>
              <w:rPr>
                <w:b w:val="0"/>
              </w:rPr>
              <w:t>[TODO]</w:t>
            </w:r>
          </w:p>
        </w:tc>
      </w:tr>
      <w:tr>
        <w:tc>
          <w:tcPr>
            <w:tcW w:type="dxa" w:w="2160"/>
          </w:tcPr>
          <w:p>
            <w:r>
              <w:rPr>
                <w:b w:val="0"/>
              </w:rPr>
              <w:t>IncN</w:t>
            </w:r>
          </w:p>
        </w:tc>
        <w:tc>
          <w:tcPr>
            <w:tcW w:type="dxa" w:w="2160"/>
          </w:tcPr>
          <w:p>
            <w:r>
              <w:rPr>
                <w:b w:val="0"/>
              </w:rPr>
              <w:t>[TODO]</w:t>
            </w:r>
          </w:p>
        </w:tc>
        <w:tc>
          <w:tcPr>
            <w:tcW w:type="dxa" w:w="2160"/>
          </w:tcPr>
          <w:p>
            <w:r>
              <w:rPr>
                <w:b w:val="0"/>
              </w:rPr>
              <w:t>[TODO]</w:t>
            </w:r>
          </w:p>
        </w:tc>
        <w:tc>
          <w:tcPr>
            <w:tcW w:type="dxa" w:w="2160"/>
          </w:tcPr>
          <w:p>
            <w:r>
              <w:rPr>
                <w:b w:val="0"/>
              </w:rPr>
              <w:t>[TODO]</w:t>
            </w:r>
          </w:p>
        </w:tc>
      </w:tr>
      <w:tr>
        <w:tc>
          <w:tcPr>
            <w:tcW w:type="dxa" w:w="2160"/>
          </w:tcPr>
          <w:p>
            <w:r>
              <w:rPr>
                <w:b w:val="0"/>
              </w:rPr>
              <w:t>IncX1</w:t>
            </w:r>
          </w:p>
        </w:tc>
        <w:tc>
          <w:tcPr>
            <w:tcW w:type="dxa" w:w="2160"/>
          </w:tcPr>
          <w:p>
            <w:r>
              <w:rPr>
                <w:b w:val="0"/>
              </w:rPr>
              <w:t>[TODO]</w:t>
            </w:r>
          </w:p>
        </w:tc>
        <w:tc>
          <w:tcPr>
            <w:tcW w:type="dxa" w:w="2160"/>
          </w:tcPr>
          <w:p>
            <w:r>
              <w:rPr>
                <w:b w:val="0"/>
              </w:rPr>
              <w:t>[TODO]</w:t>
            </w:r>
          </w:p>
        </w:tc>
        <w:tc>
          <w:tcPr>
            <w:tcW w:type="dxa" w:w="2160"/>
          </w:tcPr>
          <w:p>
            <w:r>
              <w:rPr>
                <w:b w:val="0"/>
              </w:rPr>
              <w:t>[TODO]</w:t>
            </w:r>
          </w:p>
        </w:tc>
      </w:tr>
      <w:tr>
        <w:tc>
          <w:tcPr>
            <w:tcW w:type="dxa" w:w="2160"/>
          </w:tcPr>
          <w:p>
            <w:r>
              <w:rPr>
                <w:b w:val="0"/>
              </w:rPr>
              <w:t>IncF</w:t>
            </w:r>
          </w:p>
        </w:tc>
        <w:tc>
          <w:tcPr>
            <w:tcW w:type="dxa" w:w="2160"/>
          </w:tcPr>
          <w:p>
            <w:r>
              <w:rPr>
                <w:b w:val="0"/>
              </w:rPr>
              <w:t>[TODO]</w:t>
            </w:r>
          </w:p>
        </w:tc>
        <w:tc>
          <w:tcPr>
            <w:tcW w:type="dxa" w:w="2160"/>
          </w:tcPr>
          <w:p>
            <w:r>
              <w:rPr>
                <w:b w:val="0"/>
              </w:rPr>
              <w:t>[TODO]</w:t>
            </w:r>
          </w:p>
        </w:tc>
        <w:tc>
          <w:tcPr>
            <w:tcW w:type="dxa" w:w="2160"/>
          </w:tcPr>
          <w:p>
            <w:r>
              <w:rPr>
                <w:b w:val="0"/>
              </w:rPr>
              <w:t>[TODO]</w:t>
            </w:r>
          </w:p>
        </w:tc>
      </w:tr>
      <w:tr>
        <w:tc>
          <w:tcPr>
            <w:tcW w:type="dxa" w:w="2160"/>
          </w:tcPr>
          <w:p>
            <w:r>
              <w:rPr>
                <w:b w:val="0"/>
              </w:rPr>
              <w:t>IncHI2</w:t>
            </w:r>
          </w:p>
        </w:tc>
        <w:tc>
          <w:tcPr>
            <w:tcW w:type="dxa" w:w="2160"/>
          </w:tcPr>
          <w:p>
            <w:r>
              <w:rPr>
                <w:b w:val="0"/>
              </w:rPr>
              <w:t>[TODO]</w:t>
            </w:r>
          </w:p>
        </w:tc>
        <w:tc>
          <w:tcPr>
            <w:tcW w:type="dxa" w:w="2160"/>
          </w:tcPr>
          <w:p>
            <w:r>
              <w:rPr>
                <w:b w:val="0"/>
              </w:rPr>
              <w:t>[TODO]</w:t>
            </w:r>
          </w:p>
        </w:tc>
        <w:tc>
          <w:tcPr>
            <w:tcW w:type="dxa" w:w="2160"/>
          </w:tcPr>
          <w:p>
            <w:r>
              <w:rPr>
                <w:b w:val="0"/>
              </w:rPr>
              <w:t>[TODO]</w:t>
            </w:r>
          </w:p>
        </w:tc>
      </w:tr>
      <w:tr>
        <w:tc>
          <w:tcPr>
            <w:tcW w:type="dxa" w:w="2160"/>
          </w:tcPr>
          <w:p>
            <w:r>
              <w:rPr>
                <w:b w:val="0"/>
              </w:rPr>
              <w:t>Overall (weighted)</w:t>
            </w:r>
          </w:p>
        </w:tc>
        <w:tc>
          <w:tcPr>
            <w:tcW w:type="dxa" w:w="2160"/>
          </w:tcPr>
          <w:p>
            <w:r>
              <w:rPr>
                <w:b w:val="0"/>
              </w:rPr>
              <w:t>[TODO]</w:t>
            </w:r>
          </w:p>
        </w:tc>
        <w:tc>
          <w:tcPr>
            <w:tcW w:type="dxa" w:w="2160"/>
          </w:tcPr>
          <w:p>
            <w:r>
              <w:rPr>
                <w:b w:val="0"/>
              </w:rPr>
              <w:t>[TODO]</w:t>
            </w:r>
          </w:p>
        </w:tc>
        <w:tc>
          <w:tcPr>
            <w:tcW w:type="dxa" w:w="2160"/>
          </w:tcPr>
          <w:p>
            <w:r>
              <w:rPr>
                <w:b w:val="0"/>
              </w:rPr>
              <w:t>0.922</w:t>
            </w:r>
          </w:p>
        </w:tc>
      </w:tr>
    </w:tbl>
    <w:p/>
    <w:p>
      <w:pPr>
        <w:pStyle w:val="Heading2"/>
      </w:pPr>
      <w:r>
        <w:rPr>
          <w:color w:val="0D47A1"/>
        </w:rPr>
        <w:t>3.2 Discriminatory Power</w:t>
      </w:r>
    </w:p>
    <w:p>
      <w:r>
        <w:t>The pLIN classification system demonstrated a Simpson's diversity index (D) of 0.979, indicating high discriminatory power at the strain level (F threshold, d ≤ 0.001). [TODO: Report number of unique pLIN codes, distribution statistics, and comparison with other classification methods.]</w:t>
      </w:r>
    </w:p>
    <w:p>
      <w:pPr>
        <w:pStyle w:val="Heading2"/>
      </w:pPr>
      <w:r>
        <w:rPr>
          <w:color w:val="0D47A1"/>
        </w:rPr>
        <w:t>3.3 Mobility Typing</w:t>
      </w:r>
    </w:p>
    <w:p>
      <w:r>
        <w:t>The three-tier mobility cascade successfully classified plasmids into Conjugative, Mobilizable, and Non-mobilizable categories. [TODO: Report concordance between MOBsuite and AMRFinderPlus-based classifications. Report distribution of relaxase families and MPF types. Report number of HIGH RISK (conjugative + AMR) and MODERATE RISK (mobilizable + AMR) plasmids identified.]</w:t>
      </w:r>
    </w:p>
    <w:p>
      <w:pPr>
        <w:pStyle w:val="Heading2"/>
      </w:pPr>
      <w:r>
        <w:rPr>
          <w:color w:val="0D47A1"/>
        </w:rPr>
        <w:t>3.4 CRISPR Host Prediction</w:t>
      </w:r>
    </w:p>
    <w:p>
      <w:r>
        <w:t>[TODO: Report results from CRISPR host inference analysis. Include: number of host genomes screened, CRISPR arrays found, total spacers extracted, host-plasmid predictions made, and distribution of confidence categories (High/Medium/Low). Validate against known host-plasmid associations where available.]</w:t>
      </w:r>
    </w:p>
    <w:p>
      <w:pPr>
        <w:pStyle w:val="Heading1"/>
      </w:pPr>
      <w:r>
        <w:rPr>
          <w:color w:val="0D47A1"/>
        </w:rPr>
        <w:t>4. Discussion</w:t>
      </w:r>
    </w:p>
    <w:p>
      <w:r>
        <w:t>pLIN addresses a critical gap in plasmid epidemiology by providing a unified, reference-free classification system with permanent hierarchical codes. Unlike existing tools that focus on single aspects of plasmid characterization, pLIN integrates classification, Inc group detection, AMR surveillance, mobility typing, and host inference into a single platform.</w:t>
      </w:r>
    </w:p>
    <w:p>
      <w:pPr>
        <w:pStyle w:val="Heading2"/>
      </w:pPr>
      <w:r>
        <w:rPr>
          <w:color w:val="0D47A1"/>
        </w:rPr>
        <w:t>4.1 Advantages Over Existing Tools</w:t>
      </w:r>
    </w:p>
    <w:p>
      <w:r>
        <w:t>Compared to PlasmidFinder, pLIN does not require replicon-specific reference databases and can classify novel plasmids without prior characterization. Unlike MOB-suite, pLIN provides permanent hierarchical codes that enable longitudinal tracking and cross-study comparisons. The composition-based approach captures the global genomic signature of plasmids, providing classification resolution from Family to Strain level. The integration of MOBsuite’s relaxase and MPF typing with AMRFinderPlus-based gene scanning creates a robust, multi-evidence mobility prediction system.</w:t>
      </w:r>
    </w:p>
    <w:p>
      <w:pPr>
        <w:pStyle w:val="Heading2"/>
      </w:pPr>
      <w:r>
        <w:rPr>
          <w:color w:val="0D47A1"/>
        </w:rPr>
        <w:t>4.2 Limitations</w:t>
      </w:r>
    </w:p>
    <w:p>
      <w:r>
        <w:t>Several limitations should be acknowledged. First, the training data exhibits class imbalance: IncFII (4,629 samples) dominates the dataset while groups like IncFIBK (11 samples) are underrepresented. This affects per-class performance for minority groups and may bias predictions toward majority classes. Second, 4-mer frequency composition captures global sequence characteristics but ignores gene content, synteny, and structural rearrangements. Plasmids with similar base composition but different gene cargo may receive similar codes at coarse classification levels. Third, CRISPR-based host inference depends on the presence of CRISPR arrays in host genomes; hosts lacking CRISPR systems will not be detected.</w:t>
      </w:r>
    </w:p>
    <w:p>
      <w:pPr>
        <w:pStyle w:val="Heading2"/>
      </w:pPr>
      <w:r>
        <w:rPr>
          <w:color w:val="0D47A1"/>
        </w:rPr>
        <w:t>4.3 Future Directions</w:t>
      </w:r>
    </w:p>
    <w:p>
      <w:r>
        <w:t>Future work will focus on: (1) balancing Inc group training data through targeted sequence collection for underrepresented groups, targeting 30+ groups with 20,000+ balanced samples; (2) incorporating hybrid features combining k-mer composition with gene presence/absence for higher-resolution classification; (3) supporting metagenomic assemblies with multi-contig plasmid bin handling; (4) developing a web database and REST API for programmatic pLIN code lookups and sequence submission; and (5) extending outbreak detection to cross-institutional datasets with spatial-temporal metadata integration.</w:t>
      </w:r>
    </w:p>
    <w:p>
      <w:pPr>
        <w:pStyle w:val="Heading1"/>
      </w:pPr>
      <w:r>
        <w:rPr>
          <w:color w:val="0D47A1"/>
        </w:rPr>
        <w:t>5. Conclusion</w:t>
      </w:r>
    </w:p>
    <w:p>
      <w:r>
        <w:t>pLIN provides a comprehensive, open-source platform for bacterial plasmid classification and AMR surveillance. Its permanent, hierarchical six-level codes enable consistent plasmid identification across institutions and studies. The integrated KNN classifier achieves 92.2% accuracy across 20 Inc groups, while the three-tier mobility cascade and novel CRISPR host inference module extend the system’s analytical capabilities beyond classification to comprehensive epidemiological intelligence. The interactive Streamlit web interface with eight analytical tabs makes the system accessible to clinical microbiologists and infection control practitioners without bioinformatics expertise. pLIN is freely available under the GPL-3.0 license with mandatory citation clause at [TODO: GitHub URL].</w:t>
      </w:r>
    </w:p>
    <w:p>
      <w:pPr>
        <w:pStyle w:val="Heading1"/>
      </w:pPr>
      <w:r>
        <w:rPr>
          <w:color w:val="0D47A1"/>
        </w:rPr>
        <w:t>6. References</w:t>
      </w:r>
    </w:p>
    <w:p>
      <w:r>
        <w:rPr>
          <w:sz w:val="20"/>
        </w:rPr>
        <w:t>[1] Bland C, Ramsey TL, Sabree F, Lowe M, Brown K, Kyrpides NC, Hugenholtz P. CRISPR Recognition Tool (CRT): a tool for automatic detection of clustered regularly interspaced palindromic repeats. BMC Bioinformatics. 2007;8:209.</w:t>
      </w:r>
    </w:p>
    <w:p>
      <w:r>
        <w:rPr>
          <w:sz w:val="20"/>
        </w:rPr>
        <w:t>[2] Carattoli A, Zankari E, García-Fernández A, Voldby Larsen M, Lund O, Villa L, Møller Aarestrup F, Hasman H. In silico detection and typing of plasmids using PlasmidFinder and plasmid multilocus sequence typing. Antimicrob Agents Chemother. 2014;58(7):3895-903.</w:t>
      </w:r>
    </w:p>
    <w:p>
      <w:r>
        <w:rPr>
          <w:sz w:val="20"/>
        </w:rPr>
        <w:t>[3] Feldgarden M, Brover V, Gonzalez-Escalona N, Frye JG, Haendiges J, Haft DH, Hoffmann M, Pettengill JB, Prasad AB, Tillman GE, Tyson GH, Klimke W. AMRFinderPlus and the Reference Gene Catalog facilitate examination of the genomic links among antimicrobial resistance, stress response, and virulence. Sci Rep. 2021;11(1):12728.</w:t>
      </w:r>
    </w:p>
    <w:p>
      <w:r>
        <w:rPr>
          <w:sz w:val="20"/>
        </w:rPr>
        <w:t>[4] Hyatt D, Chen GL, LoCascio PF, Land ML, Larimer FW, Hauser LJ. Prodigal: prokaryotic gene recognition and translation initiation site identification. BMC Bioinformatics. 2010;11:119.</w:t>
      </w:r>
    </w:p>
    <w:p>
      <w:r>
        <w:rPr>
          <w:sz w:val="20"/>
        </w:rPr>
        <w:t>[5] Robertson J, Nash JHE. MOB-suite: software tools for clustering, reconstruction and typing of plasmids from draft assemblies. Microb Genom. 2018;4(8):e000206.</w:t>
      </w:r>
    </w:p>
    <w:p>
      <w:r>
        <w:rPr>
          <w:sz w:val="20"/>
        </w:rPr>
        <w:t>[6] Skennerton CT. MinCED: Mining CRISPRs in Environmental Datasets. GitHub. https://github.com/ctSkennerton/minced. 2018.</w:t>
      </w:r>
    </w:p>
    <w:p>
      <w:r>
        <w:br w:type="page"/>
      </w:r>
    </w:p>
    <w:p>
      <w:pPr>
        <w:pStyle w:val="Heading1"/>
      </w:pPr>
      <w:r>
        <w:rPr>
          <w:color w:val="0D47A1"/>
        </w:rPr>
        <w:t>Figure Legends</w:t>
      </w:r>
    </w:p>
    <w:p>
      <w:r>
        <w:rPr>
          <w:b/>
          <w:sz w:val="20"/>
        </w:rPr>
        <w:t>Figure 1.</w:t>
      </w:r>
      <w:r>
        <w:rPr>
          <w:sz w:val="20"/>
        </w:rPr>
        <w:t xml:space="preserve"> System architecture of the pLIN platform. The pipeline processes plasmid FASTA files through Inc group detection (KNN classifier), 4-mer vectorization, hierarchical clustering, pLIN code assignment, AMR annotation (AMRFinderPlus), mobility typing (MOBsuite cascade), and optional CRISPR host inference (MinCED + BLASTN-short). The interactive Streamlit web interface provides eight analytical tabs for comprehensive plasmid analysis and export.</w:t>
      </w:r>
    </w:p>
    <w:p>
      <w:r>
        <w:rPr>
          <w:b/>
          <w:sz w:val="20"/>
        </w:rPr>
        <w:t>Figure 2.</w:t>
      </w:r>
      <w:r>
        <w:rPr>
          <w:sz w:val="20"/>
        </w:rPr>
        <w:t xml:space="preserve"> Example pLIN cladogram showing hierarchical relationships among plasmid sequences. Color coding indicates Inc group assignments. Branch lengths reflect cosine distances based on 4-mer frequency composition. Threshold levels (A through F) are indicated by dashed horizontal lines. [TODO: Generate from test data.]</w:t>
      </w:r>
    </w:p>
    <w:p>
      <w:r>
        <w:rPr>
          <w:b/>
          <w:sz w:val="20"/>
        </w:rPr>
        <w:t>Figure 3.</w:t>
      </w:r>
      <w:r>
        <w:rPr>
          <w:sz w:val="20"/>
        </w:rPr>
        <w:t xml:space="preserve"> CRISPR host-plasmid probability heatmap. Rows represent host bacterial genomes, columns represent plasmid sequences. Color intensity reflects softmax-normalized probability of host-plasmid association based on CRISPR spacer matching. [TODO: Generate from test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