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36"/>
        </w:rPr>
        <w:t>pLIN: A Computational Framework for Hierarchical, Permanent Classification of Bacterial Plasmids Using Tetranucleotide Composition and Lineage Identification Numbers</w:t>
      </w:r>
    </w:p>
    <w:p>
      <w:pPr>
        <w:spacing w:after="120" w:before="0" w:line="480" w:lineRule="auto"/>
      </w:pPr>
      <w:r>
        <w:rPr>
          <w:rFonts w:ascii="Times New Roman" w:hAnsi="Times New Roman"/>
          <w:b/>
          <w:i w:val="0"/>
          <w:sz w:val="24"/>
        </w:rPr>
        <w:t>Basil Britto Xavier^1^, Anurag Kumar Bari^1^, Bhanu Sinha^1^, John W A Rossen^1,\*^</w:t>
      </w:r>
    </w:p>
    <w:p>
      <w:pPr>
        <w:spacing w:after="120" w:before="0" w:line="480" w:lineRule="auto"/>
      </w:pPr>
      <w:r>
        <w:rPr>
          <w:rFonts w:ascii="Times New Roman" w:hAnsi="Times New Roman"/>
          <w:b w:val="0"/>
          <w:i w:val="0"/>
          <w:sz w:val="24"/>
          <w:vertAlign w:val="superscript"/>
        </w:rPr>
        <w:t>1</w:t>
      </w:r>
      <w:r>
        <w:rPr>
          <w:rFonts w:ascii="Times New Roman" w:hAnsi="Times New Roman"/>
          <w:b w:val="0"/>
          <w:i w:val="0"/>
          <w:sz w:val="24"/>
        </w:rPr>
        <w:t xml:space="preserve"> University of Groningen, University Medical Center Groningen, Department of Medical Microbiology and Infection Prevention, Groningen, The Netherlands</w:t>
      </w:r>
    </w:p>
    <w:p>
      <w:pPr>
        <w:spacing w:after="120" w:before="0" w:line="480" w:lineRule="auto"/>
      </w:pPr>
      <w:r>
        <w:rPr>
          <w:rFonts w:ascii="Times New Roman" w:hAnsi="Times New Roman"/>
          <w:b w:val="0"/>
          <w:i w:val="0"/>
          <w:sz w:val="24"/>
        </w:rPr>
        <w:t>^\*^ Corresponding author: John W A Rossen</w:t>
      </w:r>
    </w:p>
    <w:p>
      <w:pPr>
        <w:spacing w:after="120" w:before="0" w:line="480" w:lineRule="auto"/>
      </w:pPr>
      <w:r>
        <w:rPr>
          <w:rFonts w:ascii="Times New Roman" w:hAnsi="Times New Roman"/>
          <w:b w:val="0"/>
          <w:i/>
          <w:sz w:val="24"/>
        </w:rPr>
        <w:t>Manuscript prepared for Briefings in Bioinformatics (Problem Solving Protocol / Case Study)</w:t>
      </w:r>
    </w:p>
    <w:p>
      <w:pPr>
        <w:spacing w:after="120" w:before="0" w:line="480" w:lineRule="auto"/>
      </w:pPr>
      <w:r>
        <w:rPr>
          <w:rFonts w:ascii="Times New Roman" w:hAnsi="Times New Roman"/>
          <w:b w:val="0"/>
          <w:i/>
          <w:sz w:val="24"/>
        </w:rPr>
        <w:t>Double-spaced; approximately 8,200 words</w:t>
      </w:r>
    </w:p>
    <w:p>
      <w:pPr>
        <w:spacing w:before="120" w:after="120"/>
        <w:pBdr>
          <w:bottom w:val="single" w:sz="6" w:space="1" w:color="auto"/>
        </w:pBdr>
      </w:pPr>
    </w:p>
    <w:p>
      <w:pPr>
        <w:pStyle w:val="Heading2"/>
      </w:pPr>
      <w:r>
        <w:rPr>
          <w:rFonts w:ascii="Times New Roman" w:hAnsi="Times New Roman"/>
          <w:sz w:val="32"/>
        </w:rPr>
        <w:t>Abstract</w:t>
      </w:r>
    </w:p>
    <w:p>
      <w:pPr>
        <w:spacing w:after="120" w:before="0" w:line="480" w:lineRule="auto"/>
      </w:pPr>
      <w:r>
        <w:rPr>
          <w:rFonts w:ascii="Times New Roman" w:hAnsi="Times New Roman"/>
          <w:b w:val="0"/>
          <w:i w:val="0"/>
          <w:sz w:val="24"/>
        </w:rPr>
        <w:t xml:space="preserve">Bacterial plasmids are the principal vehicles of horizontal gene transfer and antimicrobial resistance (AMR) dissemination, yet no existing classification system simultaneously provides hierarchical multi-resolution typing, code permanence, and reference-free operation. Here we describe pLIN (plasmid Lineage Identification Number), the first application of the Life Identification Number framework to plasmid genomes. pLIN computes normalised tetranucleotide (4-mer) frequency vectors (256 features) for each plasmid, constructs pairwise cosine distance matrices, and applies single-linkage hierarchical clustering at six biologically calibrated thresholds spanning family-level (~85% average nucleotide identity [ANI]) to strain-level (~99.9% ANI) resolution. Each plasmid receives a permanent six-position code whose stability is mathematically guaranteed by the nearest-neighbour assignment rule. Applied to 8,077 training samples (8,056 unique plasmid sequences) from 28 groups -- 20 Gram-negative incompatibility (Inc) groups, 4 Gram-positive replicon (rep) type groups spanning </w:t>
      </w:r>
      <w:r>
        <w:rPr>
          <w:rFonts w:ascii="Times New Roman" w:hAnsi="Times New Roman"/>
          <w:b w:val="0"/>
          <w:i/>
          <w:sz w:val="24"/>
        </w:rPr>
        <w:t>Staphylococcus aureus</w:t>
      </w:r>
      <w:r>
        <w:rPr>
          <w:rFonts w:ascii="Times New Roman" w:hAnsi="Times New Roman"/>
          <w:b w:val="0"/>
          <w:i w:val="0"/>
          <w:sz w:val="24"/>
        </w:rPr>
        <w:t xml:space="preserve"> and </w:t>
      </w:r>
      <w:r>
        <w:rPr>
          <w:rFonts w:ascii="Times New Roman" w:hAnsi="Times New Roman"/>
          <w:b w:val="0"/>
          <w:i/>
          <w:sz w:val="24"/>
        </w:rPr>
        <w:t>Enterococcus</w:t>
      </w:r>
      <w:r>
        <w:rPr>
          <w:rFonts w:ascii="Times New Roman" w:hAnsi="Times New Roman"/>
          <w:b w:val="0"/>
          <w:i w:val="0"/>
          <w:sz w:val="24"/>
        </w:rPr>
        <w:t xml:space="preserve"> spp., 2 </w:t>
      </w:r>
      <w:r>
        <w:rPr>
          <w:rFonts w:ascii="Times New Roman" w:hAnsi="Times New Roman"/>
          <w:b w:val="0"/>
          <w:i/>
          <w:sz w:val="24"/>
        </w:rPr>
        <w:t>Acinetobacter baumannii</w:t>
      </w:r>
      <w:r>
        <w:rPr>
          <w:rFonts w:ascii="Times New Roman" w:hAnsi="Times New Roman"/>
          <w:b w:val="0"/>
          <w:i w:val="0"/>
          <w:sz w:val="24"/>
        </w:rPr>
        <w:t xml:space="preserve"> rep type groups, and 2 </w:t>
      </w:r>
      <w:r>
        <w:rPr>
          <w:rFonts w:ascii="Times New Roman" w:hAnsi="Times New Roman"/>
          <w:b w:val="0"/>
          <w:i/>
          <w:sz w:val="24"/>
        </w:rPr>
        <w:t>Pseudomonas aeruginosa</w:t>
      </w:r>
      <w:r>
        <w:rPr>
          <w:rFonts w:ascii="Times New Roman" w:hAnsi="Times New Roman"/>
          <w:b w:val="0"/>
          <w:i w:val="0"/>
          <w:sz w:val="24"/>
        </w:rPr>
        <w:t xml:space="preserve"> rep type groups -- pLIN resolved 3,073 unique strain-level codes with a Simpson's Index of Diversity of 0.985 (1.54-fold improvement over Inc/rep typing alone), while maintaining 97.8% concordance with established group assignments. A nested cross-validation machine learning pipeline confirmed that the compositional features robustly predict group membership (XGBoost weighted F1 = 0.896 +/- 0.009). A KNN-based group classifier (k = 5, cosine distance, distance-weighted; 91.1% accuracy, 5-fold cross-validation) enables per-group clustering of an expanded reference database of 79,305 plasmids (8,056 unique training + 71,249 reference), resolving 57,886 unique pLIN codes in under 30 minutes on consumer hardware. Beyond classification, pLIN now incorporates eight analytical modules addressing previously identified limitations: automated plasmid versus chromosome contig identification (multi-signal scoring using sequence length, compositional distance, header keywords, and classifier confidence; 97.8% accuracy), assembly completeness scoring (composite 0--100 scale), database coverage and novelty detection (nearest-neighbour distance percentiles with traffic-light flagging), recombination detection (minimap2-based mosaic analysis), novel group discovery (hierarchical clustering of low-confidence plasmids), evolutionary rate estimation (SNP accumulation regression), adaptive threshold calibration with cluster stability assessment (bootstrap resampling with Adjusted Rand Index), and mobile genetic element boundary detection (IS elements, composite transposons, colour-coded gene maps). Integration with NCBI AMRFinderPlus v4.2.5 identified 64,891 gene detections (29,583 AMR, 6,286 virulence, 29,022 stress) across 83.1% of Gram-negative plasmids, enabling lineage-level tracking of carbapenemase, ESBL, colistin resistance, and plasmid-mediated quinolone resistance genes. Cross-validation against 74 plasmids from 27 published outbreak and surveillance studies spanning seven resistance mechanisms across 13 countries confirmed prospective identification of known high-risk lineages, correct within-outbreak backbone grouping, and 85.1% high-confidence classification rate. The pLIN tool is implemented as an open-source Streamlit web application with integrated AMR surveillance, outbreak detection, ANI validation, and comprehensive quality assessment modules, and is freely available under GPL-3.0.</w:t>
      </w:r>
    </w:p>
    <w:p>
      <w:pPr>
        <w:spacing w:before="120" w:after="120"/>
        <w:pBdr>
          <w:bottom w:val="single" w:sz="6" w:space="1" w:color="auto"/>
        </w:pBdr>
      </w:pPr>
    </w:p>
    <w:p>
      <w:pPr>
        <w:pStyle w:val="Heading2"/>
      </w:pPr>
      <w:r>
        <w:rPr>
          <w:rFonts w:ascii="Times New Roman" w:hAnsi="Times New Roman"/>
          <w:sz w:val="32"/>
        </w:rPr>
        <w:t>Key Points</w:t>
      </w:r>
    </w:p>
    <w:p>
      <w:pPr>
        <w:spacing w:after="120" w:before="0" w:line="480" w:lineRule="auto"/>
      </w:pPr>
      <w:r>
        <w:rPr>
          <w:rFonts w:ascii="Times New Roman" w:hAnsi="Times New Roman"/>
          <w:b w:val="0"/>
          <w:i w:val="0"/>
          <w:sz w:val="24"/>
        </w:rPr>
        <w:t>- pLIN is the first application of the Life Identification Number (LIN) framework to plasmid genomes, assigning each plasmid a permanent, hierarchical six-position code based on tetranucleotide composition (256 features) and single-linkage clustering at six ANI-calibrated distance thresholds.</w:t>
      </w:r>
    </w:p>
    <w:p>
      <w:pPr>
        <w:spacing w:after="120" w:before="0" w:line="480" w:lineRule="auto"/>
      </w:pPr>
      <w:r>
        <w:rPr>
          <w:rFonts w:ascii="Times New Roman" w:hAnsi="Times New Roman"/>
          <w:b w:val="0"/>
          <w:i w:val="0"/>
          <w:sz w:val="24"/>
        </w:rPr>
        <w:t xml:space="preserve">- Applied to 8,077 training samples (8,056 unique plasmids) from 28 groups (20 Gram-negative Inc groups, 4 Gram-positive rep type groups covering </w:t>
      </w:r>
      <w:r>
        <w:rPr>
          <w:rFonts w:ascii="Times New Roman" w:hAnsi="Times New Roman"/>
          <w:b w:val="0"/>
          <w:i/>
          <w:sz w:val="24"/>
        </w:rPr>
        <w:t>S. aureus</w:t>
      </w:r>
      <w:r>
        <w:rPr>
          <w:rFonts w:ascii="Times New Roman" w:hAnsi="Times New Roman"/>
          <w:b w:val="0"/>
          <w:i w:val="0"/>
          <w:sz w:val="24"/>
        </w:rPr>
        <w:t xml:space="preserve"> and </w:t>
      </w:r>
      <w:r>
        <w:rPr>
          <w:rFonts w:ascii="Times New Roman" w:hAnsi="Times New Roman"/>
          <w:b w:val="0"/>
          <w:i/>
          <w:sz w:val="24"/>
        </w:rPr>
        <w:t>Enterococcus</w:t>
      </w:r>
      <w:r>
        <w:rPr>
          <w:rFonts w:ascii="Times New Roman" w:hAnsi="Times New Roman"/>
          <w:b w:val="0"/>
          <w:i w:val="0"/>
          <w:sz w:val="24"/>
        </w:rPr>
        <w:t xml:space="preserve"> spp., 2 </w:t>
      </w:r>
      <w:r>
        <w:rPr>
          <w:rFonts w:ascii="Times New Roman" w:hAnsi="Times New Roman"/>
          <w:b w:val="0"/>
          <w:i/>
          <w:sz w:val="24"/>
        </w:rPr>
        <w:t>Acinetobacter baumannii</w:t>
      </w:r>
      <w:r>
        <w:rPr>
          <w:rFonts w:ascii="Times New Roman" w:hAnsi="Times New Roman"/>
          <w:b w:val="0"/>
          <w:i w:val="0"/>
          <w:sz w:val="24"/>
        </w:rPr>
        <w:t xml:space="preserve"> rep type groups, and 2 </w:t>
      </w:r>
      <w:r>
        <w:rPr>
          <w:rFonts w:ascii="Times New Roman" w:hAnsi="Times New Roman"/>
          <w:b w:val="0"/>
          <w:i/>
          <w:sz w:val="24"/>
        </w:rPr>
        <w:t>Pseudomonas aeruginosa</w:t>
      </w:r>
      <w:r>
        <w:rPr>
          <w:rFonts w:ascii="Times New Roman" w:hAnsi="Times New Roman"/>
          <w:b w:val="0"/>
          <w:i w:val="0"/>
          <w:sz w:val="24"/>
        </w:rPr>
        <w:t xml:space="preserve"> rep type groups), pLIN achieved a Simpson's Index of Diversity of 0.985 (1.54-fold improvement over group typing), 97.8% concordance with group assignments, and 91.1% group classification accuracy via a KNN classifier validated by nested cross-validation (XGBoost F1 = 0.896).</w:t>
      </w:r>
    </w:p>
    <w:p>
      <w:pPr>
        <w:spacing w:after="120" w:before="0" w:line="480" w:lineRule="auto"/>
      </w:pPr>
      <w:r>
        <w:rPr>
          <w:rFonts w:ascii="Times New Roman" w:hAnsi="Times New Roman"/>
          <w:b w:val="0"/>
          <w:i w:val="0"/>
          <w:sz w:val="24"/>
        </w:rPr>
        <w:t>- Eight analytical modules address previously identified limitations: automated plasmid versus chromosome contig identification (multi-signal scoring; 97.8% accuracy, enabling direct analysis from whole-genome assemblies), assembly completeness scoring (composite 0--100), database coverage and novelty detection (traffic-light flagging), recombination detection (minimap2 mosaic analysis), novel group discovery (hierarchical clustering of low-confidence plasmids), evolutionary rate estimation (SNP regression), adaptive threshold calibration with bootstrap cluster stability (Adjusted Rand Index), and MGE boundary detection (IS elements, composite transposons, colour-coded gene maps).</w:t>
      </w:r>
    </w:p>
    <w:p>
      <w:pPr>
        <w:spacing w:after="120" w:before="0" w:line="480" w:lineRule="auto"/>
      </w:pPr>
      <w:r>
        <w:rPr>
          <w:rFonts w:ascii="Times New Roman" w:hAnsi="Times New Roman"/>
          <w:b w:val="0"/>
          <w:i w:val="0"/>
          <w:sz w:val="24"/>
        </w:rPr>
        <w:t>- A per-group clustering strategy scales to 79,305 reference plasmids (8,056 unique training + 71,249 reference; 57,886 unique pLIN codes) in under 30 minutes on a standard laptop, reducing memory requirements from 24 GB (global) to 2.3 GB (largest group), while the code permanence guarantee ensures that existing assignments are never altered by database expansion.</w:t>
      </w:r>
    </w:p>
    <w:p>
      <w:pPr>
        <w:spacing w:after="120" w:before="0" w:line="480" w:lineRule="auto"/>
      </w:pPr>
      <w:r>
        <w:rPr>
          <w:rFonts w:ascii="Times New Roman" w:hAnsi="Times New Roman"/>
          <w:b w:val="0"/>
          <w:i w:val="0"/>
          <w:sz w:val="24"/>
        </w:rPr>
        <w:t>- Integration with AMRFinderPlus across 6,998 Gram-negative plasmids (20 Inc groups) identified 1,635 carbapenemase, 1,804 ESBL, 204 mcr colistin resistance, and 2,315 plasmid-mediated quinolone resistance detections mapped to specific pLIN lineages, including pLIN 671 (IncN, n = 90, 100% blaKPC-2, 13.2 mean AMR genes) and pLIN 860 (n = 142, 5 Inc groups, 14.4 mean AMR genes, 44.4% mcr carriage).</w:t>
      </w:r>
    </w:p>
    <w:p>
      <w:pPr>
        <w:spacing w:after="120" w:before="0" w:line="480" w:lineRule="auto"/>
      </w:pPr>
      <w:r>
        <w:rPr>
          <w:rFonts w:ascii="Times New Roman" w:hAnsi="Times New Roman"/>
          <w:b w:val="0"/>
          <w:i w:val="0"/>
          <w:sz w:val="24"/>
        </w:rPr>
        <w:t>- Cross-validation against 74 plasmids from 27 independent outbreak and surveillance studies spanning seven resistance mechanisms (KPC, NDM, OXA-48, VIM, IMP, mcr, CTX-M) across 13 countries confirmed that pLIN prospectively identifies known high-risk lineages, correctly groups outbreak-related backbones (9 intra-study clusters detected), and provides hierarchical within-outbreak resolution unavailable from any existing tool.</w:t>
      </w:r>
    </w:p>
    <w:p>
      <w:pPr>
        <w:spacing w:after="120" w:before="0" w:line="480" w:lineRule="auto"/>
      </w:pPr>
      <w:r>
        <w:rPr>
          <w:rFonts w:ascii="Times New Roman" w:hAnsi="Times New Roman"/>
          <w:b/>
          <w:i w:val="0"/>
          <w:sz w:val="24"/>
        </w:rPr>
        <w:t>Keywords:</w:t>
      </w:r>
      <w:r>
        <w:rPr>
          <w:rFonts w:ascii="Times New Roman" w:hAnsi="Times New Roman"/>
          <w:b w:val="0"/>
          <w:i w:val="0"/>
          <w:sz w:val="24"/>
        </w:rPr>
        <w:t xml:space="preserve"> plasmid classification, Lineage Identification Number, tetranucleotide composition, antimicrobial resistance, hierarchical clustering, genomic epidemiology, Gram-positive plasmids, Acinetobacter baumannii, Pseudomonas aeruginosa, mobile genetic elements</w:t>
      </w:r>
    </w:p>
    <w:p>
      <w:pPr>
        <w:spacing w:before="120" w:after="120"/>
        <w:pBdr>
          <w:bottom w:val="single" w:sz="6" w:space="1" w:color="auto"/>
        </w:pBdr>
      </w:pPr>
    </w:p>
    <w:p>
      <w:pPr>
        <w:pStyle w:val="Heading2"/>
      </w:pPr>
      <w:r>
        <w:rPr>
          <w:rFonts w:ascii="Times New Roman" w:hAnsi="Times New Roman"/>
          <w:sz w:val="32"/>
        </w:rPr>
        <w:t>1. Introduction</w:t>
      </w:r>
    </w:p>
    <w:p>
      <w:pPr>
        <w:spacing w:after="120" w:before="0" w:line="480" w:lineRule="auto"/>
      </w:pPr>
      <w:r>
        <w:rPr>
          <w:rFonts w:ascii="Times New Roman" w:hAnsi="Times New Roman"/>
          <w:b w:val="0"/>
          <w:i w:val="0"/>
          <w:sz w:val="24"/>
        </w:rPr>
        <w:t>Bacterial plasmids -- extrachromosomal, self-replicating DNA elements -- are the principal vehicles of horizontal gene transfer (HGT) in prokaryotes, driving the rapid dissemination of antimicrobial resistance (AMR) determinants, virulence factors, and stress tolerance genes across species boundaries [1--3]. The clinical impact is profound: carbapenem-resistant Enterobacterales, extended-spectrum beta-lactamase (ESBL)-producing organisms, and colistin-resistant strains are now among the most urgent public health threats globally, and plasmids are the primary vectors for the resistance genes underlying each of these phenotypes [4--6,19]. A single conjugative plasmid can carry resistance determinants spanning multiple drug classes, creating extensively drug-resistant phenotypes in a single transfer event [7,8]. Tracking the plasmid -- not merely the pathogen -- is therefore essential for understanding and controlling AMR dissemination.</w:t>
      </w:r>
    </w:p>
    <w:p>
      <w:pPr>
        <w:spacing w:after="120" w:before="0" w:line="480" w:lineRule="auto"/>
      </w:pPr>
      <w:r>
        <w:rPr>
          <w:rFonts w:ascii="Times New Roman" w:hAnsi="Times New Roman"/>
          <w:b w:val="0"/>
          <w:i w:val="0"/>
          <w:sz w:val="24"/>
        </w:rPr>
        <w:t>Despite their central epidemiological role, plasmid classification remains fragmented. Existing approaches suffer from one or more critical limitations (Table 1; Figure 10). Replicon-based incompatibility (Inc) typing via PlasmidFinder [9] provides a single flat classification label and depends on a curated reference database. Plasmid multilocus sequence typing (pMLST) [9] covers only six Inc-group schemes. MOB-suite [10] clusters plasmids at a fixed Mash distance threshold of 0.06, producing flat codes that are reassigned with each database update. COPLA/Plasmid Taxonomic Units (PTUs) [11] employ average nucleotide identity (ANI) networks and hierarchical stochastic block modelling, but classify only 41% of plasmids overall and recompute codes upon each release. The reference-free tool mge-cluster [12] uses unitig Jaccard distances and HDBSCAN clustering but produces flat, non-permanent codes. No existing tool simultaneously satisfies the five criteria required for a comprehensive plasmid nomenclature: hierarchical multi-resolution typing, code permanence, reference-free operation, broad taxonomic scope, and integrated AMR surveillance.</w:t>
      </w:r>
    </w:p>
    <w:p>
      <w:pPr>
        <w:spacing w:after="120" w:before="0" w:line="480" w:lineRule="auto"/>
      </w:pPr>
      <w:r>
        <w:rPr>
          <w:rFonts w:ascii="Times New Roman" w:hAnsi="Times New Roman"/>
          <w:b w:val="0"/>
          <w:i w:val="0"/>
          <w:sz w:val="24"/>
        </w:rPr>
        <w:t>The Life Identification Number (LIN) system, originally developed for hierarchical, permanent classification of bacterial strains based on whole-genome similarity [13,14], provides an elegant solution. LIN assigns each genome a multi-position numerical code based on its distance to the nearest previously coded genome at a series of nested thresholds. The nearest-neighbour assignment rule guarantees two fundamental properties: (i) hierarchical consistency -- if two genomes share a code at a coarse level, they necessarily share codes at all coarser levels; and (ii) code permanence -- once assigned, a code is never altered by subsequent additions to the database. LIN has been validated for bacterial species classification [13] and plant pathogen strain typing [14], but has never been applied to plasmid genomes.</w:t>
      </w:r>
    </w:p>
    <w:p>
      <w:pPr>
        <w:spacing w:after="120" w:before="0" w:line="480" w:lineRule="auto"/>
      </w:pPr>
      <w:r>
        <w:rPr>
          <w:rFonts w:ascii="Times New Roman" w:hAnsi="Times New Roman"/>
          <w:b w:val="0"/>
          <w:i w:val="0"/>
          <w:sz w:val="24"/>
        </w:rPr>
        <w:t xml:space="preserve">Here we describe pLIN (plasmid Lineage Identification Number), the first LIN-based framework for plasmid classification. We detail the computational methodology, from tetranucleotide feature extraction and cosine distance computation through hierarchical threshold calibration and KNN-based group classification, followed by comprehensive benchmarking, scalability assessment, and application to AMR surveillance. Critically, pLIN has been expanded beyond Gram-negative Enterobacterales to incorporate four Gram-positive replicon type groups from </w:t>
      </w:r>
      <w:r>
        <w:rPr>
          <w:rFonts w:ascii="Times New Roman" w:hAnsi="Times New Roman"/>
          <w:b w:val="0"/>
          <w:i/>
          <w:sz w:val="24"/>
        </w:rPr>
        <w:t>Staphylococcus aureus</w:t>
      </w:r>
      <w:r>
        <w:rPr>
          <w:rFonts w:ascii="Times New Roman" w:hAnsi="Times New Roman"/>
          <w:b w:val="0"/>
          <w:i w:val="0"/>
          <w:sz w:val="24"/>
        </w:rPr>
        <w:t xml:space="preserve"> and </w:t>
      </w:r>
      <w:r>
        <w:rPr>
          <w:rFonts w:ascii="Times New Roman" w:hAnsi="Times New Roman"/>
          <w:b w:val="0"/>
          <w:i/>
          <w:sz w:val="24"/>
        </w:rPr>
        <w:t>Enterococcus</w:t>
      </w:r>
      <w:r>
        <w:rPr>
          <w:rFonts w:ascii="Times New Roman" w:hAnsi="Times New Roman"/>
          <w:b w:val="0"/>
          <w:i w:val="0"/>
          <w:sz w:val="24"/>
        </w:rPr>
        <w:t xml:space="preserve"> spp., two </w:t>
      </w:r>
      <w:r>
        <w:rPr>
          <w:rFonts w:ascii="Times New Roman" w:hAnsi="Times New Roman"/>
          <w:b w:val="0"/>
          <w:i/>
          <w:sz w:val="24"/>
        </w:rPr>
        <w:t>Acinetobacter baumannii</w:t>
      </w:r>
      <w:r>
        <w:rPr>
          <w:rFonts w:ascii="Times New Roman" w:hAnsi="Times New Roman"/>
          <w:b w:val="0"/>
          <w:i w:val="0"/>
          <w:sz w:val="24"/>
        </w:rPr>
        <w:t xml:space="preserve"> rep type groups, and two </w:t>
      </w:r>
      <w:r>
        <w:rPr>
          <w:rFonts w:ascii="Times New Roman" w:hAnsi="Times New Roman"/>
          <w:b w:val="0"/>
          <w:i/>
          <w:sz w:val="24"/>
        </w:rPr>
        <w:t>Pseudomonas aeruginosa</w:t>
      </w:r>
      <w:r>
        <w:rPr>
          <w:rFonts w:ascii="Times New Roman" w:hAnsi="Times New Roman"/>
          <w:b w:val="0"/>
          <w:i w:val="0"/>
          <w:sz w:val="24"/>
        </w:rPr>
        <w:t xml:space="preserve"> rep type groups, bringing the total to 28 groups (8,077 training samples; 8,056 unique plasmids). Eight analytical modules address key methodological limitations identified in earlier versions: automated plasmid versus chromosome contig identification, assembly completeness assessment, database coverage and novelty detection, recombination detection, novel group discovery, evolutionary rate estimation, adaptive threshold calibration with cluster stability analysis, and mobile genetic element (MGE) boundary detection. The complete system is implemented as an open-source Streamlit web application with modules for AMR annotation, mobility prediction, outbreak detection, ANI validation, and comprehensive quality assessment (Figures 8, 11).</w:t>
      </w:r>
    </w:p>
    <w:p>
      <w:pPr>
        <w:spacing w:before="120" w:after="120"/>
        <w:pBdr>
          <w:bottom w:val="single" w:sz="6" w:space="1" w:color="auto"/>
        </w:pBdr>
      </w:pPr>
    </w:p>
    <w:p>
      <w:pPr>
        <w:pStyle w:val="Heading2"/>
      </w:pPr>
      <w:r>
        <w:rPr>
          <w:rFonts w:ascii="Times New Roman" w:hAnsi="Times New Roman"/>
          <w:sz w:val="32"/>
        </w:rPr>
        <w:t>2. The pLIN Framework</w:t>
      </w:r>
    </w:p>
    <w:p>
      <w:pPr>
        <w:pStyle w:val="Heading3"/>
      </w:pPr>
      <w:r>
        <w:rPr>
          <w:rFonts w:ascii="Times New Roman" w:hAnsi="Times New Roman"/>
          <w:sz w:val="28"/>
        </w:rPr>
        <w:t>2.1 Tetranucleotide composition and distance metric</w:t>
      </w:r>
    </w:p>
    <w:p>
      <w:pPr>
        <w:spacing w:after="120" w:before="0" w:line="480" w:lineRule="auto"/>
      </w:pPr>
      <w:r>
        <w:rPr>
          <w:rFonts w:ascii="Times New Roman" w:hAnsi="Times New Roman"/>
          <w:b w:val="0"/>
          <w:i w:val="0"/>
          <w:sz w:val="24"/>
        </w:rPr>
        <w:t xml:space="preserve">The pLIN algorithm begins with alignment-free feature extraction. For each input plasmid sequence </w:t>
      </w:r>
      <w:r>
        <w:rPr>
          <w:rFonts w:ascii="Times New Roman" w:hAnsi="Times New Roman"/>
          <w:b w:val="0"/>
          <w:i/>
          <w:sz w:val="24"/>
        </w:rPr>
        <w:t>S</w:t>
      </w:r>
      <w:r>
        <w:rPr>
          <w:rFonts w:ascii="Times New Roman" w:hAnsi="Times New Roman"/>
          <w:b w:val="0"/>
          <w:i w:val="0"/>
          <w:sz w:val="24"/>
        </w:rPr>
        <w:t xml:space="preserve">, a normalised tetranucleotide (4-mer) frequency vector </w:t>
      </w:r>
      <w:r>
        <w:rPr>
          <w:rFonts w:ascii="Times New Roman" w:hAnsi="Times New Roman"/>
          <w:b/>
          <w:i w:val="0"/>
          <w:sz w:val="24"/>
        </w:rPr>
        <w:t>V</w:t>
      </w:r>
      <w:r>
        <w:rPr>
          <w:rFonts w:ascii="Times New Roman" w:hAnsi="Times New Roman"/>
          <w:b w:val="0"/>
          <w:i w:val="0"/>
          <w:sz w:val="24"/>
        </w:rPr>
        <w:t>(</w:t>
      </w:r>
      <w:r>
        <w:rPr>
          <w:rFonts w:ascii="Times New Roman" w:hAnsi="Times New Roman"/>
          <w:b w:val="0"/>
          <w:i/>
          <w:sz w:val="24"/>
        </w:rPr>
        <w:t>S</w:t>
      </w:r>
      <w:r>
        <w:rPr>
          <w:rFonts w:ascii="Times New Roman" w:hAnsi="Times New Roman"/>
          <w:b w:val="0"/>
          <w:i w:val="0"/>
          <w:sz w:val="24"/>
        </w:rPr>
        <w:t>) of length 256 (4^4 canonical tetranucleotides over the alphabet {A, C, G, T}) is computed:</w:t>
      </w:r>
    </w:p>
    <w:p>
      <w:pPr>
        <w:spacing w:after="120" w:before="0" w:line="480" w:lineRule="auto"/>
      </w:pPr>
      <w:r>
        <w:rPr>
          <w:rFonts w:ascii="Times New Roman" w:hAnsi="Times New Roman"/>
          <w:b w:val="0"/>
          <w:i w:val="0"/>
          <w:sz w:val="24"/>
        </w:rPr>
        <w:t>f(kmer) = count(kmer in S) / (|S| - 3)</w:t>
      </w:r>
    </w:p>
    <w:p>
      <w:pPr>
        <w:spacing w:after="120" w:before="0" w:line="480" w:lineRule="auto"/>
      </w:pPr>
      <w:r>
        <w:rPr>
          <w:rFonts w:ascii="Times New Roman" w:hAnsi="Times New Roman"/>
          <w:b w:val="0"/>
          <w:i w:val="0"/>
          <w:sz w:val="24"/>
        </w:rPr>
        <w:t xml:space="preserve">This yields a 256-dimensional compositional fingerprint that is invariant to sequence orientation and robust to minor assembly artefacts. For </w:t>
      </w:r>
      <w:r>
        <w:rPr>
          <w:rFonts w:ascii="Times New Roman" w:hAnsi="Times New Roman"/>
          <w:b w:val="0"/>
          <w:i/>
          <w:sz w:val="24"/>
        </w:rPr>
        <w:t>n</w:t>
      </w:r>
      <w:r>
        <w:rPr>
          <w:rFonts w:ascii="Times New Roman" w:hAnsi="Times New Roman"/>
          <w:b w:val="0"/>
          <w:i w:val="0"/>
          <w:sz w:val="24"/>
        </w:rPr>
        <w:t xml:space="preserve"> plasmids, the pairwise cosine distance matrix </w:t>
      </w:r>
      <w:r>
        <w:rPr>
          <w:rFonts w:ascii="Times New Roman" w:hAnsi="Times New Roman"/>
          <w:b/>
          <w:i w:val="0"/>
          <w:sz w:val="24"/>
        </w:rPr>
        <w:t>D</w:t>
      </w:r>
      <w:r>
        <w:rPr>
          <w:rFonts w:ascii="Times New Roman" w:hAnsi="Times New Roman"/>
          <w:b w:val="0"/>
          <w:i w:val="0"/>
          <w:sz w:val="24"/>
        </w:rPr>
        <w:t xml:space="preserve"> is computed:</w:t>
      </w:r>
    </w:p>
    <w:p>
      <w:pPr>
        <w:spacing w:after="120" w:before="0" w:line="480" w:lineRule="auto"/>
      </w:pPr>
      <w:r>
        <w:rPr>
          <w:rFonts w:ascii="Times New Roman" w:hAnsi="Times New Roman"/>
          <w:b w:val="0"/>
          <w:i w:val="0"/>
          <w:sz w:val="24"/>
        </w:rPr>
        <w:t>D(i,j) = 1 - [ V(S_i) . V(S_j) ] / [ ||V(S_i)|| * ||V(S_j)|| ]</w:t>
      </w:r>
    </w:p>
    <w:p>
      <w:pPr>
        <w:spacing w:after="120" w:before="0" w:line="480" w:lineRule="auto"/>
      </w:pPr>
      <w:r>
        <w:rPr>
          <w:rFonts w:ascii="Times New Roman" w:hAnsi="Times New Roman"/>
          <w:b w:val="0"/>
          <w:i w:val="0"/>
          <w:sz w:val="24"/>
        </w:rPr>
        <w:t xml:space="preserve">Cosine distance was chosen over Euclidean or Manhattan alternatives for three reasons: (i) scale invariance -- it is robust to the wide range of plasmid sizes in the dataset (1.8 kb to 400 kb); (ii) computational efficiency -- it can be computed in vectorised form using scipy.spatial.distance; and (iii) established correlation with genomic divergence for k-mer frequency profiles [15,16]. Applied to the training dataset of 8,077 plasmid sequences (8,056 unique; 20 Gram-negative Inc groups, 4 Gram-positive rep type groups, 2 </w:t>
      </w:r>
      <w:r>
        <w:rPr>
          <w:rFonts w:ascii="Times New Roman" w:hAnsi="Times New Roman"/>
          <w:b w:val="0"/>
          <w:i/>
          <w:sz w:val="24"/>
        </w:rPr>
        <w:t>Acinetobacter baumannii</w:t>
      </w:r>
      <w:r>
        <w:rPr>
          <w:rFonts w:ascii="Times New Roman" w:hAnsi="Times New Roman"/>
          <w:b w:val="0"/>
          <w:i w:val="0"/>
          <w:sz w:val="24"/>
        </w:rPr>
        <w:t xml:space="preserve"> rep type groups, and 2 </w:t>
      </w:r>
      <w:r>
        <w:rPr>
          <w:rFonts w:ascii="Times New Roman" w:hAnsi="Times New Roman"/>
          <w:b w:val="0"/>
          <w:i/>
          <w:sz w:val="24"/>
        </w:rPr>
        <w:t>Pseudomonas aeruginosa</w:t>
      </w:r>
      <w:r>
        <w:rPr>
          <w:rFonts w:ascii="Times New Roman" w:hAnsi="Times New Roman"/>
          <w:b w:val="0"/>
          <w:i w:val="0"/>
          <w:sz w:val="24"/>
        </w:rPr>
        <w:t xml:space="preserve"> rep type groups), this produced a distance matrix of 32,619,926 pairwise comparisons. Note: the 21-sequence difference between 8,077 training samples and 8,056 unique plasmids reflects 21 </w:t>
      </w:r>
      <w:r>
        <w:rPr>
          <w:rFonts w:ascii="Times New Roman" w:hAnsi="Times New Roman"/>
          <w:b w:val="0"/>
          <w:i/>
          <w:sz w:val="24"/>
        </w:rPr>
        <w:t>E. faecium</w:t>
      </w:r>
      <w:r>
        <w:rPr>
          <w:rFonts w:ascii="Times New Roman" w:hAnsi="Times New Roman"/>
          <w:b w:val="0"/>
          <w:i w:val="0"/>
          <w:sz w:val="24"/>
        </w:rPr>
        <w:t xml:space="preserve"> plasmids present in both repEF_conj and repEF_res training sets due to multi-replicon structure.</w:t>
      </w:r>
    </w:p>
    <w:p>
      <w:pPr>
        <w:pStyle w:val="Heading3"/>
      </w:pPr>
      <w:r>
        <w:rPr>
          <w:rFonts w:ascii="Times New Roman" w:hAnsi="Times New Roman"/>
          <w:sz w:val="28"/>
        </w:rPr>
        <w:t>2.2 Hierarchical clustering and threshold calibration</w:t>
      </w:r>
    </w:p>
    <w:p>
      <w:pPr>
        <w:spacing w:after="120" w:before="0" w:line="480" w:lineRule="auto"/>
      </w:pPr>
      <w:r>
        <w:rPr>
          <w:rFonts w:ascii="Times New Roman" w:hAnsi="Times New Roman"/>
          <w:b w:val="0"/>
          <w:i w:val="0"/>
          <w:sz w:val="24"/>
        </w:rPr>
        <w:t>Six cosine distance thresholds were defined to capture biologically meaningful levels of plasmid relatedness, calibrated against established ANI benchmarks (Table 2; Figure 7). The thresholds span three orders of magnitude: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2F5496"/>
          </w:tcPr>
          <w:p>
            <w:pPr>
              <w:jc w:val="center"/>
            </w:pPr>
            <w:r>
              <w:rPr>
                <w:rFonts w:ascii="Times New Roman" w:hAnsi="Times New Roman"/>
                <w:b/>
                <w:color w:val="FFFFFF"/>
                <w:sz w:val="22"/>
              </w:rPr>
              <w:t>Level</w:t>
            </w:r>
          </w:p>
        </w:tc>
        <w:tc>
          <w:tcPr>
            <w:tcW w:type="dxa" w:w="2340"/>
            <w:shd w:val="clear" w:color="auto" w:fill="2F5496"/>
          </w:tcPr>
          <w:p>
            <w:pPr>
              <w:jc w:val="center"/>
            </w:pPr>
            <w:r>
              <w:rPr>
                <w:rFonts w:ascii="Times New Roman" w:hAnsi="Times New Roman"/>
                <w:b/>
                <w:color w:val="FFFFFF"/>
                <w:sz w:val="22"/>
              </w:rPr>
              <w:t>Threshold (d)</w:t>
            </w:r>
          </w:p>
        </w:tc>
        <w:tc>
          <w:tcPr>
            <w:tcW w:type="dxa" w:w="2340"/>
            <w:shd w:val="clear" w:color="auto" w:fill="2F5496"/>
          </w:tcPr>
          <w:p>
            <w:pPr>
              <w:jc w:val="center"/>
            </w:pPr>
            <w:r>
              <w:rPr>
                <w:rFonts w:ascii="Times New Roman" w:hAnsi="Times New Roman"/>
                <w:b/>
                <w:color w:val="FFFFFF"/>
                <w:sz w:val="22"/>
              </w:rPr>
              <w:t>ANI equivalent</w:t>
            </w:r>
          </w:p>
        </w:tc>
        <w:tc>
          <w:tcPr>
            <w:tcW w:type="dxa" w:w="2340"/>
            <w:shd w:val="clear" w:color="auto" w:fill="2F5496"/>
          </w:tcPr>
          <w:p>
            <w:pPr>
              <w:jc w:val="center"/>
            </w:pPr>
            <w:r>
              <w:rPr>
                <w:rFonts w:ascii="Times New Roman" w:hAnsi="Times New Roman"/>
                <w:b/>
                <w:color w:val="FFFFFF"/>
                <w:sz w:val="22"/>
              </w:rPr>
              <w:t>Biological interpretation</w:t>
            </w:r>
          </w:p>
        </w:tc>
      </w:tr>
      <w:tr>
        <w:tc>
          <w:tcPr>
            <w:tcW w:type="dxa" w:w="2340"/>
          </w:tcPr>
          <w:p>
            <w:r>
              <w:rPr>
                <w:rFonts w:ascii="Times New Roman" w:hAnsi="Times New Roman"/>
                <w:sz w:val="22"/>
              </w:rPr>
              <w:t>L1</w:t>
            </w:r>
          </w:p>
        </w:tc>
        <w:tc>
          <w:tcPr>
            <w:tcW w:type="dxa" w:w="2340"/>
          </w:tcPr>
          <w:p>
            <w:r>
              <w:rPr>
                <w:rFonts w:ascii="Times New Roman" w:hAnsi="Times New Roman"/>
                <w:sz w:val="22"/>
              </w:rPr>
              <w:t>&lt;= 0.150</w:t>
            </w:r>
          </w:p>
        </w:tc>
        <w:tc>
          <w:tcPr>
            <w:tcW w:type="dxa" w:w="2340"/>
          </w:tcPr>
          <w:p>
            <w:r>
              <w:rPr>
                <w:rFonts w:ascii="Times New Roman" w:hAnsi="Times New Roman"/>
                <w:sz w:val="22"/>
              </w:rPr>
              <w:t>~85%</w:t>
            </w:r>
          </w:p>
        </w:tc>
        <w:tc>
          <w:tcPr>
            <w:tcW w:type="dxa" w:w="2340"/>
          </w:tcPr>
          <w:p>
            <w:r>
              <w:rPr>
                <w:rFonts w:ascii="Times New Roman" w:hAnsi="Times New Roman"/>
                <w:sz w:val="22"/>
              </w:rPr>
              <w:t>Family</w:t>
            </w:r>
          </w:p>
        </w:tc>
      </w:tr>
      <w:tr>
        <w:tc>
          <w:tcPr>
            <w:tcW w:type="dxa" w:w="2340"/>
          </w:tcPr>
          <w:p>
            <w:r>
              <w:rPr>
                <w:rFonts w:ascii="Times New Roman" w:hAnsi="Times New Roman"/>
                <w:sz w:val="22"/>
              </w:rPr>
              <w:t>L2</w:t>
            </w:r>
          </w:p>
        </w:tc>
        <w:tc>
          <w:tcPr>
            <w:tcW w:type="dxa" w:w="2340"/>
          </w:tcPr>
          <w:p>
            <w:r>
              <w:rPr>
                <w:rFonts w:ascii="Times New Roman" w:hAnsi="Times New Roman"/>
                <w:sz w:val="22"/>
              </w:rPr>
              <w:t>&lt;= 0.100</w:t>
            </w:r>
          </w:p>
        </w:tc>
        <w:tc>
          <w:tcPr>
            <w:tcW w:type="dxa" w:w="2340"/>
          </w:tcPr>
          <w:p>
            <w:r>
              <w:rPr>
                <w:rFonts w:ascii="Times New Roman" w:hAnsi="Times New Roman"/>
                <w:sz w:val="22"/>
              </w:rPr>
              <w:t>~90%</w:t>
            </w:r>
          </w:p>
        </w:tc>
        <w:tc>
          <w:tcPr>
            <w:tcW w:type="dxa" w:w="2340"/>
          </w:tcPr>
          <w:p>
            <w:r>
              <w:rPr>
                <w:rFonts w:ascii="Times New Roman" w:hAnsi="Times New Roman"/>
                <w:sz w:val="22"/>
              </w:rPr>
              <w:t>Subfamily</w:t>
            </w:r>
          </w:p>
        </w:tc>
      </w:tr>
      <w:tr>
        <w:tc>
          <w:tcPr>
            <w:tcW w:type="dxa" w:w="2340"/>
          </w:tcPr>
          <w:p>
            <w:r>
              <w:rPr>
                <w:rFonts w:ascii="Times New Roman" w:hAnsi="Times New Roman"/>
                <w:sz w:val="22"/>
              </w:rPr>
              <w:t>L3</w:t>
            </w:r>
          </w:p>
        </w:tc>
        <w:tc>
          <w:tcPr>
            <w:tcW w:type="dxa" w:w="2340"/>
          </w:tcPr>
          <w:p>
            <w:r>
              <w:rPr>
                <w:rFonts w:ascii="Times New Roman" w:hAnsi="Times New Roman"/>
                <w:sz w:val="22"/>
              </w:rPr>
              <w:t>&lt;= 0.050</w:t>
            </w:r>
          </w:p>
        </w:tc>
        <w:tc>
          <w:tcPr>
            <w:tcW w:type="dxa" w:w="2340"/>
          </w:tcPr>
          <w:p>
            <w:r>
              <w:rPr>
                <w:rFonts w:ascii="Times New Roman" w:hAnsi="Times New Roman"/>
                <w:sz w:val="22"/>
              </w:rPr>
              <w:t>~95%</w:t>
            </w:r>
          </w:p>
        </w:tc>
        <w:tc>
          <w:tcPr>
            <w:tcW w:type="dxa" w:w="2340"/>
          </w:tcPr>
          <w:p>
            <w:r>
              <w:rPr>
                <w:rFonts w:ascii="Times New Roman" w:hAnsi="Times New Roman"/>
                <w:sz w:val="22"/>
              </w:rPr>
              <w:t>Cluster</w:t>
            </w:r>
          </w:p>
        </w:tc>
      </w:tr>
      <w:tr>
        <w:tc>
          <w:tcPr>
            <w:tcW w:type="dxa" w:w="2340"/>
          </w:tcPr>
          <w:p>
            <w:r>
              <w:rPr>
                <w:rFonts w:ascii="Times New Roman" w:hAnsi="Times New Roman"/>
                <w:sz w:val="22"/>
              </w:rPr>
              <w:t>L4</w:t>
            </w:r>
          </w:p>
        </w:tc>
        <w:tc>
          <w:tcPr>
            <w:tcW w:type="dxa" w:w="2340"/>
          </w:tcPr>
          <w:p>
            <w:r>
              <w:rPr>
                <w:rFonts w:ascii="Times New Roman" w:hAnsi="Times New Roman"/>
                <w:sz w:val="22"/>
              </w:rPr>
              <w:t>&lt;= 0.020</w:t>
            </w:r>
          </w:p>
        </w:tc>
        <w:tc>
          <w:tcPr>
            <w:tcW w:type="dxa" w:w="2340"/>
          </w:tcPr>
          <w:p>
            <w:r>
              <w:rPr>
                <w:rFonts w:ascii="Times New Roman" w:hAnsi="Times New Roman"/>
                <w:sz w:val="22"/>
              </w:rPr>
              <w:t>~98%</w:t>
            </w:r>
          </w:p>
        </w:tc>
        <w:tc>
          <w:tcPr>
            <w:tcW w:type="dxa" w:w="2340"/>
          </w:tcPr>
          <w:p>
            <w:r>
              <w:rPr>
                <w:rFonts w:ascii="Times New Roman" w:hAnsi="Times New Roman"/>
                <w:sz w:val="22"/>
              </w:rPr>
              <w:t>Subcluster</w:t>
            </w:r>
          </w:p>
        </w:tc>
      </w:tr>
      <w:tr>
        <w:tc>
          <w:tcPr>
            <w:tcW w:type="dxa" w:w="2340"/>
          </w:tcPr>
          <w:p>
            <w:r>
              <w:rPr>
                <w:rFonts w:ascii="Times New Roman" w:hAnsi="Times New Roman"/>
                <w:sz w:val="22"/>
              </w:rPr>
              <w:t>L5</w:t>
            </w:r>
          </w:p>
        </w:tc>
        <w:tc>
          <w:tcPr>
            <w:tcW w:type="dxa" w:w="2340"/>
          </w:tcPr>
          <w:p>
            <w:r>
              <w:rPr>
                <w:rFonts w:ascii="Times New Roman" w:hAnsi="Times New Roman"/>
                <w:sz w:val="22"/>
              </w:rPr>
              <w:t>&lt;= 0.010</w:t>
            </w:r>
          </w:p>
        </w:tc>
        <w:tc>
          <w:tcPr>
            <w:tcW w:type="dxa" w:w="2340"/>
          </w:tcPr>
          <w:p>
            <w:r>
              <w:rPr>
                <w:rFonts w:ascii="Times New Roman" w:hAnsi="Times New Roman"/>
                <w:sz w:val="22"/>
              </w:rPr>
              <w:t>~99%</w:t>
            </w:r>
          </w:p>
        </w:tc>
        <w:tc>
          <w:tcPr>
            <w:tcW w:type="dxa" w:w="2340"/>
          </w:tcPr>
          <w:p>
            <w:r>
              <w:rPr>
                <w:rFonts w:ascii="Times New Roman" w:hAnsi="Times New Roman"/>
                <w:sz w:val="22"/>
              </w:rPr>
              <w:t>Clone complex</w:t>
            </w:r>
          </w:p>
        </w:tc>
      </w:tr>
      <w:tr>
        <w:tc>
          <w:tcPr>
            <w:tcW w:type="dxa" w:w="2340"/>
          </w:tcPr>
          <w:p>
            <w:r>
              <w:rPr>
                <w:rFonts w:ascii="Times New Roman" w:hAnsi="Times New Roman"/>
                <w:sz w:val="22"/>
              </w:rPr>
              <w:t>L6</w:t>
            </w:r>
          </w:p>
        </w:tc>
        <w:tc>
          <w:tcPr>
            <w:tcW w:type="dxa" w:w="2340"/>
          </w:tcPr>
          <w:p>
            <w:r>
              <w:rPr>
                <w:rFonts w:ascii="Times New Roman" w:hAnsi="Times New Roman"/>
                <w:sz w:val="22"/>
              </w:rPr>
              <w:t>&lt;= 0.001</w:t>
            </w:r>
          </w:p>
        </w:tc>
        <w:tc>
          <w:tcPr>
            <w:tcW w:type="dxa" w:w="2340"/>
          </w:tcPr>
          <w:p>
            <w:r>
              <w:rPr>
                <w:rFonts w:ascii="Times New Roman" w:hAnsi="Times New Roman"/>
                <w:sz w:val="22"/>
              </w:rPr>
              <w:t>~99.9%</w:t>
            </w:r>
          </w:p>
        </w:tc>
        <w:tc>
          <w:tcPr>
            <w:tcW w:type="dxa" w:w="2340"/>
          </w:tcPr>
          <w:p>
            <w:r>
              <w:rPr>
                <w:rFonts w:ascii="Times New Roman" w:hAnsi="Times New Roman"/>
                <w:sz w:val="22"/>
              </w:rPr>
              <w:t>Strain / Outbreak</w:t>
            </w:r>
          </w:p>
        </w:tc>
      </w:tr>
    </w:tbl>
    <w:p/>
    <w:p>
      <w:pPr>
        <w:spacing w:after="120" w:before="0" w:line="480" w:lineRule="auto"/>
      </w:pPr>
      <w:r>
        <w:rPr>
          <w:rFonts w:ascii="Times New Roman" w:hAnsi="Times New Roman"/>
          <w:b w:val="0"/>
          <w:i w:val="0"/>
          <w:sz w:val="24"/>
        </w:rPr>
        <w:t xml:space="preserve">Thresholds were initially calibrated against the nearest-neighbour distance distribution of 178 selected IncX-like reference plasmids and subsequently validated across the 20 Gram-negative Inc groups using FastANI v1.34 (--fragLen 1000) on 4,970 within-group pairs. The overall Spearman correlation between cosine distance and FastANI was rho = -0.348 (P &lt; 10^-141), with 15/20 groups showing significant negative correlation (P &lt; 0.05). At the strain-level threshold (d &lt;= 0.001), the median FastANI was 99.9%, confirming the target ANI mapping. The strongest per-group correlations were observed in IncFIC (rho = -0.88), IncI2 (rho = -0.81), ColE (rho = -0.72), and IncN (rho = -0.61). FastANI validation was performed on Gram-negative Inc groups only; validation of Gram-positive, </w:t>
      </w:r>
      <w:r>
        <w:rPr>
          <w:rFonts w:ascii="Times New Roman" w:hAnsi="Times New Roman"/>
          <w:b w:val="0"/>
          <w:i/>
          <w:sz w:val="24"/>
        </w:rPr>
        <w:t>Acinetobacter</w:t>
      </w:r>
      <w:r>
        <w:rPr>
          <w:rFonts w:ascii="Times New Roman" w:hAnsi="Times New Roman"/>
          <w:b w:val="0"/>
          <w:i w:val="0"/>
          <w:sz w:val="24"/>
        </w:rPr>
        <w:t xml:space="preserve">, and </w:t>
      </w:r>
      <w:r>
        <w:rPr>
          <w:rFonts w:ascii="Times New Roman" w:hAnsi="Times New Roman"/>
          <w:b w:val="0"/>
          <w:i/>
          <w:sz w:val="24"/>
        </w:rPr>
        <w:t>Pseudomonas</w:t>
      </w:r>
      <w:r>
        <w:rPr>
          <w:rFonts w:ascii="Times New Roman" w:hAnsi="Times New Roman"/>
          <w:b w:val="0"/>
          <w:i w:val="0"/>
          <w:sz w:val="24"/>
        </w:rPr>
        <w:t xml:space="preserve"> groups is planned for future work.</w:t>
      </w:r>
    </w:p>
    <w:p>
      <w:pPr>
        <w:spacing w:after="120" w:before="0" w:line="480" w:lineRule="auto"/>
      </w:pPr>
      <w:r>
        <w:rPr>
          <w:rFonts w:ascii="Times New Roman" w:hAnsi="Times New Roman"/>
          <w:b w:val="0"/>
          <w:i w:val="0"/>
          <w:sz w:val="24"/>
        </w:rPr>
        <w:t>Single-linkage hierarchical clustering is applied at each threshold to produce nested cluster assignments. At the training scale (8,077 plasmids across 28 groups), the six levels resolved 1 family, 2 subfamilies, 9 clusters, 44 subclusters, 131 clone complexes, and 3,073 strain-level groups, with the Gram-positive groups contributing 255 additional strain-level codes (repSA_large 72, repSA_small 52, repEF_conj 63, repEF_res 69). Each plasmid is assigned a six-position code of the form L1.L2.L3.L4.L5.L6 (e.g., 1.1.2.15.48.671). Single-linkage was chosen for theoretical consistency with the LIN nearest-neighbour rule, which guarantees code permanence [13].</w:t>
      </w:r>
    </w:p>
    <w:p>
      <w:pPr>
        <w:pStyle w:val="Heading3"/>
      </w:pPr>
      <w:r>
        <w:rPr>
          <w:rFonts w:ascii="Times New Roman" w:hAnsi="Times New Roman"/>
          <w:sz w:val="28"/>
        </w:rPr>
        <w:t>2.3 The code permanence guarantee</w:t>
      </w:r>
    </w:p>
    <w:p>
      <w:pPr>
        <w:spacing w:after="120" w:before="0" w:line="480" w:lineRule="auto"/>
      </w:pPr>
      <w:r>
        <w:rPr>
          <w:rFonts w:ascii="Times New Roman" w:hAnsi="Times New Roman"/>
          <w:b w:val="0"/>
          <w:i w:val="0"/>
          <w:sz w:val="24"/>
        </w:rPr>
        <w:t xml:space="preserve">The pLIN code permanence property is a mathematical consequence of the nearest-neighbour assignment rule and merits formal statement. When a new plasmid </w:t>
      </w:r>
      <w:r>
        <w:rPr>
          <w:rFonts w:ascii="Times New Roman" w:hAnsi="Times New Roman"/>
          <w:b w:val="0"/>
          <w:i/>
          <w:sz w:val="24"/>
        </w:rPr>
        <w:t>Q</w:t>
      </w:r>
      <w:r>
        <w:rPr>
          <w:rFonts w:ascii="Times New Roman" w:hAnsi="Times New Roman"/>
          <w:b w:val="0"/>
          <w:i w:val="0"/>
          <w:sz w:val="24"/>
        </w:rPr>
        <w:t xml:space="preserve"> is submitted for classification:</w:t>
      </w:r>
    </w:p>
    <w:p>
      <w:pPr>
        <w:spacing w:after="120" w:before="0" w:line="480" w:lineRule="auto"/>
      </w:pPr>
      <w:r>
        <w:rPr>
          <w:rFonts w:ascii="Times New Roman" w:hAnsi="Times New Roman"/>
          <w:b w:val="0"/>
          <w:i w:val="0"/>
          <w:sz w:val="24"/>
        </w:rPr>
        <w:t xml:space="preserve">1. Its 4-mer vector </w:t>
      </w:r>
      <w:r>
        <w:rPr>
          <w:rFonts w:ascii="Times New Roman" w:hAnsi="Times New Roman"/>
          <w:b/>
          <w:i w:val="0"/>
          <w:sz w:val="24"/>
        </w:rPr>
        <w:t>V</w:t>
      </w:r>
      <w:r>
        <w:rPr>
          <w:rFonts w:ascii="Times New Roman" w:hAnsi="Times New Roman"/>
          <w:b w:val="0"/>
          <w:i w:val="0"/>
          <w:sz w:val="24"/>
        </w:rPr>
        <w:t>(</w:t>
      </w:r>
      <w:r>
        <w:rPr>
          <w:rFonts w:ascii="Times New Roman" w:hAnsi="Times New Roman"/>
          <w:b w:val="0"/>
          <w:i/>
          <w:sz w:val="24"/>
        </w:rPr>
        <w:t>Q</w:t>
      </w:r>
      <w:r>
        <w:rPr>
          <w:rFonts w:ascii="Times New Roman" w:hAnsi="Times New Roman"/>
          <w:b w:val="0"/>
          <w:i w:val="0"/>
          <w:sz w:val="24"/>
        </w:rPr>
        <w:t xml:space="preserve">) is computed and compared to all existing reference vectors. 2. The nearest neighbour </w:t>
      </w:r>
      <w:r>
        <w:rPr>
          <w:rFonts w:ascii="Times New Roman" w:hAnsi="Times New Roman"/>
          <w:b w:val="0"/>
          <w:i/>
          <w:sz w:val="24"/>
        </w:rPr>
        <w:t>R</w:t>
      </w:r>
      <w:r>
        <w:rPr>
          <w:rFonts w:ascii="Times New Roman" w:hAnsi="Times New Roman"/>
          <w:b w:val="0"/>
          <w:i w:val="0"/>
          <w:sz w:val="24"/>
        </w:rPr>
        <w:t xml:space="preserve"> is identified (minimum cosine distance </w:t>
      </w:r>
      <w:r>
        <w:rPr>
          <w:rFonts w:ascii="Times New Roman" w:hAnsi="Times New Roman"/>
          <w:b w:val="0"/>
          <w:i/>
          <w:sz w:val="24"/>
        </w:rPr>
        <w:t>d</w:t>
      </w:r>
      <w:r>
        <w:rPr>
          <w:rFonts w:ascii="Times New Roman" w:hAnsi="Times New Roman"/>
          <w:b w:val="0"/>
          <w:i w:val="0"/>
          <w:sz w:val="24"/>
        </w:rPr>
        <w:t>(</w:t>
      </w:r>
      <w:r>
        <w:rPr>
          <w:rFonts w:ascii="Times New Roman" w:hAnsi="Times New Roman"/>
          <w:b w:val="0"/>
          <w:i/>
          <w:sz w:val="24"/>
        </w:rPr>
        <w:t>Q</w:t>
      </w:r>
      <w:r>
        <w:rPr>
          <w:rFonts w:ascii="Times New Roman" w:hAnsi="Times New Roman"/>
          <w:b w:val="0"/>
          <w:i w:val="0"/>
          <w:sz w:val="24"/>
        </w:rPr>
        <w:t xml:space="preserve">, </w:t>
      </w:r>
      <w:r>
        <w:rPr>
          <w:rFonts w:ascii="Times New Roman" w:hAnsi="Times New Roman"/>
          <w:b w:val="0"/>
          <w:i/>
          <w:sz w:val="24"/>
        </w:rPr>
        <w:t>R</w:t>
      </w:r>
      <w:r>
        <w:rPr>
          <w:rFonts w:ascii="Times New Roman" w:hAnsi="Times New Roman"/>
          <w:b w:val="0"/>
          <w:i w:val="0"/>
          <w:sz w:val="24"/>
        </w:rPr>
        <w:t xml:space="preserve">)). 3. At each threshold level </w:t>
      </w:r>
      <w:r>
        <w:rPr>
          <w:rFonts w:ascii="Times New Roman" w:hAnsi="Times New Roman"/>
          <w:b w:val="0"/>
          <w:i/>
          <w:sz w:val="24"/>
        </w:rPr>
        <w:t>L_k</w:t>
      </w:r>
      <w:r>
        <w:rPr>
          <w:rFonts w:ascii="Times New Roman" w:hAnsi="Times New Roman"/>
          <w:b w:val="0"/>
          <w:i w:val="0"/>
          <w:sz w:val="24"/>
        </w:rPr>
        <w:t xml:space="preserve">, if </w:t>
      </w:r>
      <w:r>
        <w:rPr>
          <w:rFonts w:ascii="Times New Roman" w:hAnsi="Times New Roman"/>
          <w:b w:val="0"/>
          <w:i/>
          <w:sz w:val="24"/>
        </w:rPr>
        <w:t>d</w:t>
      </w:r>
      <w:r>
        <w:rPr>
          <w:rFonts w:ascii="Times New Roman" w:hAnsi="Times New Roman"/>
          <w:b w:val="0"/>
          <w:i w:val="0"/>
          <w:sz w:val="24"/>
        </w:rPr>
        <w:t>(</w:t>
      </w:r>
      <w:r>
        <w:rPr>
          <w:rFonts w:ascii="Times New Roman" w:hAnsi="Times New Roman"/>
          <w:b w:val="0"/>
          <w:i/>
          <w:sz w:val="24"/>
        </w:rPr>
        <w:t>Q</w:t>
      </w:r>
      <w:r>
        <w:rPr>
          <w:rFonts w:ascii="Times New Roman" w:hAnsi="Times New Roman"/>
          <w:b w:val="0"/>
          <w:i w:val="0"/>
          <w:sz w:val="24"/>
        </w:rPr>
        <w:t xml:space="preserve">, </w:t>
      </w:r>
      <w:r>
        <w:rPr>
          <w:rFonts w:ascii="Times New Roman" w:hAnsi="Times New Roman"/>
          <w:b w:val="0"/>
          <w:i/>
          <w:sz w:val="24"/>
        </w:rPr>
        <w:t>R</w:t>
      </w:r>
      <w:r>
        <w:rPr>
          <w:rFonts w:ascii="Times New Roman" w:hAnsi="Times New Roman"/>
          <w:b w:val="0"/>
          <w:i w:val="0"/>
          <w:sz w:val="24"/>
        </w:rPr>
        <w:t xml:space="preserve">) &lt;= </w:t>
      </w:r>
      <w:r>
        <w:rPr>
          <w:rFonts w:ascii="Times New Roman" w:hAnsi="Times New Roman"/>
          <w:b w:val="0"/>
          <w:i/>
          <w:sz w:val="24"/>
        </w:rPr>
        <w:t>t_k</w:t>
      </w:r>
      <w:r>
        <w:rPr>
          <w:rFonts w:ascii="Times New Roman" w:hAnsi="Times New Roman"/>
          <w:b w:val="0"/>
          <w:i w:val="0"/>
          <w:sz w:val="24"/>
        </w:rPr>
        <w:t xml:space="preserve">, then </w:t>
      </w:r>
      <w:r>
        <w:rPr>
          <w:rFonts w:ascii="Times New Roman" w:hAnsi="Times New Roman"/>
          <w:b w:val="0"/>
          <w:i/>
          <w:sz w:val="24"/>
        </w:rPr>
        <w:t>Q</w:t>
      </w:r>
      <w:r>
        <w:rPr>
          <w:rFonts w:ascii="Times New Roman" w:hAnsi="Times New Roman"/>
          <w:b w:val="0"/>
          <w:i w:val="0"/>
          <w:sz w:val="24"/>
        </w:rPr>
        <w:t xml:space="preserve"> inherits the level-</w:t>
      </w:r>
      <w:r>
        <w:rPr>
          <w:rFonts w:ascii="Times New Roman" w:hAnsi="Times New Roman"/>
          <w:b w:val="0"/>
          <w:i/>
          <w:sz w:val="24"/>
        </w:rPr>
        <w:t>k</w:t>
      </w:r>
      <w:r>
        <w:rPr>
          <w:rFonts w:ascii="Times New Roman" w:hAnsi="Times New Roman"/>
          <w:b w:val="0"/>
          <w:i w:val="0"/>
          <w:sz w:val="24"/>
        </w:rPr>
        <w:t xml:space="preserve"> code of </w:t>
      </w:r>
      <w:r>
        <w:rPr>
          <w:rFonts w:ascii="Times New Roman" w:hAnsi="Times New Roman"/>
          <w:b w:val="0"/>
          <w:i/>
          <w:sz w:val="24"/>
        </w:rPr>
        <w:t>R</w:t>
      </w:r>
      <w:r>
        <w:rPr>
          <w:rFonts w:ascii="Times New Roman" w:hAnsi="Times New Roman"/>
          <w:b w:val="0"/>
          <w:i w:val="0"/>
          <w:sz w:val="24"/>
        </w:rPr>
        <w:t xml:space="preserve">; otherwise, </w:t>
      </w:r>
      <w:r>
        <w:rPr>
          <w:rFonts w:ascii="Times New Roman" w:hAnsi="Times New Roman"/>
          <w:b w:val="0"/>
          <w:i/>
          <w:sz w:val="24"/>
        </w:rPr>
        <w:t>Q</w:t>
      </w:r>
      <w:r>
        <w:rPr>
          <w:rFonts w:ascii="Times New Roman" w:hAnsi="Times New Roman"/>
          <w:b w:val="0"/>
          <w:i w:val="0"/>
          <w:sz w:val="24"/>
        </w:rPr>
        <w:t xml:space="preserve"> receives a new, unique level-</w:t>
      </w:r>
      <w:r>
        <w:rPr>
          <w:rFonts w:ascii="Times New Roman" w:hAnsi="Times New Roman"/>
          <w:b w:val="0"/>
          <w:i/>
          <w:sz w:val="24"/>
        </w:rPr>
        <w:t>k</w:t>
      </w:r>
      <w:r>
        <w:rPr>
          <w:rFonts w:ascii="Times New Roman" w:hAnsi="Times New Roman"/>
          <w:b w:val="0"/>
          <w:i w:val="0"/>
          <w:sz w:val="24"/>
        </w:rPr>
        <w:t xml:space="preserve"> identifier.</w:t>
      </w:r>
    </w:p>
    <w:p>
      <w:pPr>
        <w:spacing w:after="120" w:before="0" w:line="480" w:lineRule="auto"/>
      </w:pPr>
      <w:r>
        <w:rPr>
          <w:rFonts w:ascii="Times New Roman" w:hAnsi="Times New Roman"/>
          <w:b w:val="0"/>
          <w:i w:val="0"/>
          <w:sz w:val="24"/>
        </w:rPr>
        <w:t xml:space="preserve">Because the code assignment depends solely on the distance to the nearest existing reference -- not on the global structure of the database -- the addition of </w:t>
      </w:r>
      <w:r>
        <w:rPr>
          <w:rFonts w:ascii="Times New Roman" w:hAnsi="Times New Roman"/>
          <w:b w:val="0"/>
          <w:i/>
          <w:sz w:val="24"/>
        </w:rPr>
        <w:t>Q</w:t>
      </w:r>
      <w:r>
        <w:rPr>
          <w:rFonts w:ascii="Times New Roman" w:hAnsi="Times New Roman"/>
          <w:b w:val="0"/>
          <w:i w:val="0"/>
          <w:sz w:val="24"/>
        </w:rPr>
        <w:t xml:space="preserve"> cannot alter the codes of any previously assigned plasmid. This property distinguishes pLIN from MOB-suite (re-clustering on database update), COPLA (HSBM recomputation), and mge-cluster (t-SNE re-embedding), all of which can retroactively change codes when new sequences are added.</w:t>
      </w:r>
    </w:p>
    <w:p>
      <w:pPr>
        <w:pStyle w:val="Heading3"/>
      </w:pPr>
      <w:r>
        <w:rPr>
          <w:rFonts w:ascii="Times New Roman" w:hAnsi="Times New Roman"/>
          <w:sz w:val="28"/>
        </w:rPr>
        <w:t>2.4 KNN group classifier and Gram-positive expansion</w:t>
      </w:r>
    </w:p>
    <w:p>
      <w:pPr>
        <w:spacing w:after="120" w:before="0" w:line="480" w:lineRule="auto"/>
      </w:pPr>
      <w:r>
        <w:rPr>
          <w:rFonts w:ascii="Times New Roman" w:hAnsi="Times New Roman"/>
          <w:b w:val="0"/>
          <w:i w:val="0"/>
          <w:sz w:val="24"/>
        </w:rPr>
        <w:t xml:space="preserve">To enable per-group clustering of large reference databases, pLIN incorporates a K-nearest neighbours (KNN) classifier for group prediction. The classifier operates on the same 256-dimensional 4-mer feature space and was trained on the 8,077-sample dataset (8,056 unique plasmids) spanning 28 groups: 20 Gram-negative Inc groups, 4 Gram-positive rep type groups, 2 </w:t>
      </w:r>
      <w:r>
        <w:rPr>
          <w:rFonts w:ascii="Times New Roman" w:hAnsi="Times New Roman"/>
          <w:b w:val="0"/>
          <w:i/>
          <w:sz w:val="24"/>
        </w:rPr>
        <w:t>Acinetobacter baumannii</w:t>
      </w:r>
      <w:r>
        <w:rPr>
          <w:rFonts w:ascii="Times New Roman" w:hAnsi="Times New Roman"/>
          <w:b w:val="0"/>
          <w:i w:val="0"/>
          <w:sz w:val="24"/>
        </w:rPr>
        <w:t xml:space="preserve"> rep type groups, and 2 </w:t>
      </w:r>
      <w:r>
        <w:rPr>
          <w:rFonts w:ascii="Times New Roman" w:hAnsi="Times New Roman"/>
          <w:b w:val="0"/>
          <w:i/>
          <w:sz w:val="24"/>
        </w:rPr>
        <w:t>Pseudomonas aeruginosa</w:t>
      </w:r>
      <w:r>
        <w:rPr>
          <w:rFonts w:ascii="Times New Roman" w:hAnsi="Times New Roman"/>
          <w:b w:val="0"/>
          <w:i w:val="0"/>
          <w:sz w:val="24"/>
        </w:rPr>
        <w:t xml:space="preserve"> rep type groups. Key hyperparameters: k = 5 neighbours, cosine distance metric, distance-weighted voting. Five-fold cross-validation yielded an overall accuracy of 91.1% (Figure 12).</w:t>
      </w:r>
    </w:p>
    <w:p>
      <w:pPr>
        <w:spacing w:after="120" w:before="0" w:line="480" w:lineRule="auto"/>
      </w:pPr>
      <w:r>
        <w:rPr>
          <w:rFonts w:ascii="Times New Roman" w:hAnsi="Times New Roman"/>
          <w:b/>
          <w:i w:val="0"/>
          <w:sz w:val="24"/>
        </w:rPr>
        <w:t>Gram-positive and non-fermentative expansion.</w:t>
      </w:r>
      <w:r>
        <w:rPr>
          <w:rFonts w:ascii="Times New Roman" w:hAnsi="Times New Roman"/>
          <w:b w:val="0"/>
          <w:i w:val="0"/>
          <w:sz w:val="24"/>
        </w:rPr>
        <w:t xml:space="preserve"> The classifier was extended from 20 Gram-negative Inc groups to 28 groups by incorporating four Gram-positive replicon type groups curated from complete plasmid sequences in NCBI RefSeq and PLSDB [31], and four non-fermentative Gram-negative rep type groups: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2F5496"/>
          </w:tcPr>
          <w:p>
            <w:pPr>
              <w:jc w:val="center"/>
            </w:pPr>
            <w:r>
              <w:rPr>
                <w:rFonts w:ascii="Times New Roman" w:hAnsi="Times New Roman"/>
                <w:b/>
                <w:color w:val="FFFFFF"/>
                <w:sz w:val="22"/>
              </w:rPr>
              <w:t>Group</w:t>
            </w:r>
          </w:p>
        </w:tc>
        <w:tc>
          <w:tcPr>
            <w:tcW w:type="dxa" w:w="2340"/>
            <w:shd w:val="clear" w:color="auto" w:fill="2F5496"/>
          </w:tcPr>
          <w:p>
            <w:pPr>
              <w:jc w:val="center"/>
            </w:pPr>
            <w:r>
              <w:rPr>
                <w:rFonts w:ascii="Times New Roman" w:hAnsi="Times New Roman"/>
                <w:b/>
                <w:color w:val="FFFFFF"/>
                <w:sz w:val="22"/>
              </w:rPr>
              <w:t>Organism</w:t>
            </w:r>
          </w:p>
        </w:tc>
        <w:tc>
          <w:tcPr>
            <w:tcW w:type="dxa" w:w="2340"/>
            <w:shd w:val="clear" w:color="auto" w:fill="2F5496"/>
          </w:tcPr>
          <w:p>
            <w:pPr>
              <w:jc w:val="center"/>
            </w:pPr>
            <w:r>
              <w:rPr>
                <w:rFonts w:ascii="Times New Roman" w:hAnsi="Times New Roman"/>
                <w:b/>
                <w:color w:val="FFFFFF"/>
                <w:sz w:val="22"/>
              </w:rPr>
              <w:t>Description</w:t>
            </w:r>
          </w:p>
        </w:tc>
        <w:tc>
          <w:tcPr>
            <w:tcW w:type="dxa" w:w="2340"/>
            <w:shd w:val="clear" w:color="auto" w:fill="2F5496"/>
          </w:tcPr>
          <w:p>
            <w:pPr>
              <w:jc w:val="center"/>
            </w:pPr>
            <w:r>
              <w:rPr>
                <w:rFonts w:ascii="Times New Roman" w:hAnsi="Times New Roman"/>
                <w:b/>
                <w:color w:val="FFFFFF"/>
                <w:sz w:val="22"/>
              </w:rPr>
              <w:t>Training (n)</w:t>
            </w:r>
          </w:p>
        </w:tc>
      </w:tr>
      <w:tr>
        <w:tc>
          <w:tcPr>
            <w:tcW w:type="dxa" w:w="2340"/>
          </w:tcPr>
          <w:p>
            <w:r>
              <w:rPr>
                <w:rFonts w:ascii="Times New Roman" w:hAnsi="Times New Roman"/>
                <w:sz w:val="22"/>
              </w:rPr>
              <w:t>repSA_large</w:t>
            </w:r>
          </w:p>
        </w:tc>
        <w:tc>
          <w:tcPr>
            <w:tcW w:type="dxa" w:w="2340"/>
          </w:tcPr>
          <w:p>
            <w:r>
              <w:rPr>
                <w:rFonts w:ascii="Times New Roman" w:hAnsi="Times New Roman"/>
                <w:sz w:val="22"/>
              </w:rPr>
              <w:t>*S. aureus*</w:t>
            </w:r>
          </w:p>
        </w:tc>
        <w:tc>
          <w:tcPr>
            <w:tcW w:type="dxa" w:w="2340"/>
          </w:tcPr>
          <w:p>
            <w:r>
              <w:rPr>
                <w:rFonts w:ascii="Times New Roman" w:hAnsi="Times New Roman"/>
                <w:sz w:val="22"/>
              </w:rPr>
              <w:t>Large plasmids: pI258, pSK1, pSK41 families</w:t>
            </w:r>
          </w:p>
        </w:tc>
        <w:tc>
          <w:tcPr>
            <w:tcW w:type="dxa" w:w="2340"/>
          </w:tcPr>
          <w:p>
            <w:r>
              <w:rPr>
                <w:rFonts w:ascii="Times New Roman" w:hAnsi="Times New Roman"/>
                <w:sz w:val="22"/>
              </w:rPr>
              <w:t>121</w:t>
            </w:r>
          </w:p>
        </w:tc>
      </w:tr>
      <w:tr>
        <w:tc>
          <w:tcPr>
            <w:tcW w:type="dxa" w:w="2340"/>
          </w:tcPr>
          <w:p>
            <w:r>
              <w:rPr>
                <w:rFonts w:ascii="Times New Roman" w:hAnsi="Times New Roman"/>
                <w:sz w:val="22"/>
              </w:rPr>
              <w:t>repSA_small</w:t>
            </w:r>
          </w:p>
        </w:tc>
        <w:tc>
          <w:tcPr>
            <w:tcW w:type="dxa" w:w="2340"/>
          </w:tcPr>
          <w:p>
            <w:r>
              <w:rPr>
                <w:rFonts w:ascii="Times New Roman" w:hAnsi="Times New Roman"/>
                <w:sz w:val="22"/>
              </w:rPr>
              <w:t>*S. aureus*</w:t>
            </w:r>
          </w:p>
        </w:tc>
        <w:tc>
          <w:tcPr>
            <w:tcW w:type="dxa" w:w="2340"/>
          </w:tcPr>
          <w:p>
            <w:r>
              <w:rPr>
                <w:rFonts w:ascii="Times New Roman" w:hAnsi="Times New Roman"/>
                <w:sz w:val="22"/>
              </w:rPr>
              <w:t>Small plasmids: pT181, SAP, pWBG749 families</w:t>
            </w:r>
          </w:p>
        </w:tc>
        <w:tc>
          <w:tcPr>
            <w:tcW w:type="dxa" w:w="2340"/>
          </w:tcPr>
          <w:p>
            <w:r>
              <w:rPr>
                <w:rFonts w:ascii="Times New Roman" w:hAnsi="Times New Roman"/>
                <w:sz w:val="22"/>
              </w:rPr>
              <w:t>73</w:t>
            </w:r>
          </w:p>
        </w:tc>
      </w:tr>
      <w:tr>
        <w:tc>
          <w:tcPr>
            <w:tcW w:type="dxa" w:w="2340"/>
          </w:tcPr>
          <w:p>
            <w:r>
              <w:rPr>
                <w:rFonts w:ascii="Times New Roman" w:hAnsi="Times New Roman"/>
                <w:sz w:val="22"/>
              </w:rPr>
              <w:t>repEF_conj</w:t>
            </w:r>
          </w:p>
        </w:tc>
        <w:tc>
          <w:tcPr>
            <w:tcW w:type="dxa" w:w="2340"/>
          </w:tcPr>
          <w:p>
            <w:r>
              <w:rPr>
                <w:rFonts w:ascii="Times New Roman" w:hAnsi="Times New Roman"/>
                <w:sz w:val="22"/>
              </w:rPr>
              <w:t>*Enterococcus* spp.</w:t>
            </w:r>
          </w:p>
        </w:tc>
        <w:tc>
          <w:tcPr>
            <w:tcW w:type="dxa" w:w="2340"/>
          </w:tcPr>
          <w:p>
            <w:r>
              <w:rPr>
                <w:rFonts w:ascii="Times New Roman" w:hAnsi="Times New Roman"/>
                <w:sz w:val="22"/>
              </w:rPr>
              <w:t>Conjugative: pAD1, pCF10 families</w:t>
            </w:r>
          </w:p>
        </w:tc>
        <w:tc>
          <w:tcPr>
            <w:tcW w:type="dxa" w:w="2340"/>
          </w:tcPr>
          <w:p>
            <w:r>
              <w:rPr>
                <w:rFonts w:ascii="Times New Roman" w:hAnsi="Times New Roman"/>
                <w:sz w:val="22"/>
              </w:rPr>
              <w:t>92</w:t>
            </w:r>
          </w:p>
        </w:tc>
      </w:tr>
      <w:tr>
        <w:tc>
          <w:tcPr>
            <w:tcW w:type="dxa" w:w="2340"/>
          </w:tcPr>
          <w:p>
            <w:r>
              <w:rPr>
                <w:rFonts w:ascii="Times New Roman" w:hAnsi="Times New Roman"/>
                <w:sz w:val="22"/>
              </w:rPr>
              <w:t>repEF_res</w:t>
            </w:r>
          </w:p>
        </w:tc>
        <w:tc>
          <w:tcPr>
            <w:tcW w:type="dxa" w:w="2340"/>
          </w:tcPr>
          <w:p>
            <w:r>
              <w:rPr>
                <w:rFonts w:ascii="Times New Roman" w:hAnsi="Times New Roman"/>
                <w:sz w:val="22"/>
              </w:rPr>
              <w:t>*Enterococcus* spp.</w:t>
            </w:r>
          </w:p>
        </w:tc>
        <w:tc>
          <w:tcPr>
            <w:tcW w:type="dxa" w:w="2340"/>
          </w:tcPr>
          <w:p>
            <w:r>
              <w:rPr>
                <w:rFonts w:ascii="Times New Roman" w:hAnsi="Times New Roman"/>
                <w:sz w:val="22"/>
              </w:rPr>
              <w:t>Resistance: pRUM, pRE25, pHTbeta families</w:t>
            </w:r>
          </w:p>
        </w:tc>
        <w:tc>
          <w:tcPr>
            <w:tcW w:type="dxa" w:w="2340"/>
          </w:tcPr>
          <w:p>
            <w:r>
              <w:rPr>
                <w:rFonts w:ascii="Times New Roman" w:hAnsi="Times New Roman"/>
                <w:sz w:val="22"/>
              </w:rPr>
              <w:t>121 (100 unique plasmids; 21 multi-replicon overlap with repEF_conj)</w:t>
            </w:r>
          </w:p>
        </w:tc>
      </w:tr>
      <w:tr>
        <w:tc>
          <w:tcPr>
            <w:tcW w:type="dxa" w:w="2340"/>
          </w:tcPr>
          <w:p>
            <w:r>
              <w:rPr>
                <w:rFonts w:ascii="Times New Roman" w:hAnsi="Times New Roman"/>
                <w:sz w:val="22"/>
              </w:rPr>
              <w:t>repAci1</w:t>
            </w:r>
          </w:p>
        </w:tc>
        <w:tc>
          <w:tcPr>
            <w:tcW w:type="dxa" w:w="2340"/>
          </w:tcPr>
          <w:p>
            <w:r>
              <w:rPr>
                <w:rFonts w:ascii="Times New Roman" w:hAnsi="Times New Roman"/>
                <w:sz w:val="22"/>
              </w:rPr>
              <w:t>*A. baumannii*</w:t>
            </w:r>
          </w:p>
        </w:tc>
        <w:tc>
          <w:tcPr>
            <w:tcW w:type="dxa" w:w="2340"/>
          </w:tcPr>
          <w:p>
            <w:r>
              <w:rPr>
                <w:rFonts w:ascii="Times New Roman" w:hAnsi="Times New Roman"/>
                <w:sz w:val="22"/>
              </w:rPr>
              <w:t>Small rep-type plasmids: pRAY, pABVA01 families</w:t>
            </w:r>
          </w:p>
        </w:tc>
        <w:tc>
          <w:tcPr>
            <w:tcW w:type="dxa" w:w="2340"/>
          </w:tcPr>
          <w:p>
            <w:r>
              <w:rPr>
                <w:rFonts w:ascii="Times New Roman" w:hAnsi="Times New Roman"/>
                <w:sz w:val="22"/>
              </w:rPr>
              <w:t>--</w:t>
            </w:r>
          </w:p>
        </w:tc>
      </w:tr>
      <w:tr>
        <w:tc>
          <w:tcPr>
            <w:tcW w:type="dxa" w:w="2340"/>
          </w:tcPr>
          <w:p>
            <w:r>
              <w:rPr>
                <w:rFonts w:ascii="Times New Roman" w:hAnsi="Times New Roman"/>
                <w:sz w:val="22"/>
              </w:rPr>
              <w:t>repAci_large</w:t>
            </w:r>
          </w:p>
        </w:tc>
        <w:tc>
          <w:tcPr>
            <w:tcW w:type="dxa" w:w="2340"/>
          </w:tcPr>
          <w:p>
            <w:r>
              <w:rPr>
                <w:rFonts w:ascii="Times New Roman" w:hAnsi="Times New Roman"/>
                <w:sz w:val="22"/>
              </w:rPr>
              <w:t>*A. baumannii*</w:t>
            </w:r>
          </w:p>
        </w:tc>
        <w:tc>
          <w:tcPr>
            <w:tcW w:type="dxa" w:w="2340"/>
          </w:tcPr>
          <w:p>
            <w:r>
              <w:rPr>
                <w:rFonts w:ascii="Times New Roman" w:hAnsi="Times New Roman"/>
                <w:sz w:val="22"/>
              </w:rPr>
              <w:t>Large conjugative/resistance plasmids</w:t>
            </w:r>
          </w:p>
        </w:tc>
        <w:tc>
          <w:tcPr>
            <w:tcW w:type="dxa" w:w="2340"/>
          </w:tcPr>
          <w:p>
            <w:r>
              <w:rPr>
                <w:rFonts w:ascii="Times New Roman" w:hAnsi="Times New Roman"/>
                <w:sz w:val="22"/>
              </w:rPr>
              <w:t>--</w:t>
            </w:r>
          </w:p>
        </w:tc>
      </w:tr>
      <w:tr>
        <w:tc>
          <w:tcPr>
            <w:tcW w:type="dxa" w:w="2340"/>
          </w:tcPr>
          <w:p>
            <w:r>
              <w:rPr>
                <w:rFonts w:ascii="Times New Roman" w:hAnsi="Times New Roman"/>
                <w:sz w:val="22"/>
              </w:rPr>
              <w:t>repPae_large</w:t>
            </w:r>
          </w:p>
        </w:tc>
        <w:tc>
          <w:tcPr>
            <w:tcW w:type="dxa" w:w="2340"/>
          </w:tcPr>
          <w:p>
            <w:r>
              <w:rPr>
                <w:rFonts w:ascii="Times New Roman" w:hAnsi="Times New Roman"/>
                <w:sz w:val="22"/>
              </w:rPr>
              <w:t>*P. aeruginosa*</w:t>
            </w:r>
          </w:p>
        </w:tc>
        <w:tc>
          <w:tcPr>
            <w:tcW w:type="dxa" w:w="2340"/>
          </w:tcPr>
          <w:p>
            <w:r>
              <w:rPr>
                <w:rFonts w:ascii="Times New Roman" w:hAnsi="Times New Roman"/>
                <w:sz w:val="22"/>
              </w:rPr>
              <w:t>Large plasmids: pOZ176, megaplasmid families</w:t>
            </w:r>
          </w:p>
        </w:tc>
        <w:tc>
          <w:tcPr>
            <w:tcW w:type="dxa" w:w="2340"/>
          </w:tcPr>
          <w:p>
            <w:r>
              <w:rPr>
                <w:rFonts w:ascii="Times New Roman" w:hAnsi="Times New Roman"/>
                <w:sz w:val="22"/>
              </w:rPr>
              <w:t>--</w:t>
            </w:r>
          </w:p>
        </w:tc>
      </w:tr>
      <w:tr>
        <w:tc>
          <w:tcPr>
            <w:tcW w:type="dxa" w:w="2340"/>
          </w:tcPr>
          <w:p>
            <w:r>
              <w:rPr>
                <w:rFonts w:ascii="Times New Roman" w:hAnsi="Times New Roman"/>
                <w:sz w:val="22"/>
              </w:rPr>
              <w:t>repPae_small</w:t>
            </w:r>
          </w:p>
        </w:tc>
        <w:tc>
          <w:tcPr>
            <w:tcW w:type="dxa" w:w="2340"/>
          </w:tcPr>
          <w:p>
            <w:r>
              <w:rPr>
                <w:rFonts w:ascii="Times New Roman" w:hAnsi="Times New Roman"/>
                <w:sz w:val="22"/>
              </w:rPr>
              <w:t>*P. aeruginosa*</w:t>
            </w:r>
          </w:p>
        </w:tc>
        <w:tc>
          <w:tcPr>
            <w:tcW w:type="dxa" w:w="2340"/>
          </w:tcPr>
          <w:p>
            <w:r>
              <w:rPr>
                <w:rFonts w:ascii="Times New Roman" w:hAnsi="Times New Roman"/>
                <w:sz w:val="22"/>
              </w:rPr>
              <w:t>Small plasmids: pVS1, ColE-like families</w:t>
            </w:r>
          </w:p>
        </w:tc>
        <w:tc>
          <w:tcPr>
            <w:tcW w:type="dxa" w:w="2340"/>
          </w:tcPr>
          <w:p>
            <w:r>
              <w:rPr>
                <w:rFonts w:ascii="Times New Roman" w:hAnsi="Times New Roman"/>
                <w:sz w:val="22"/>
              </w:rPr>
              <w:t>--</w:t>
            </w:r>
          </w:p>
        </w:tc>
      </w:tr>
    </w:tbl>
    <w:p/>
    <w:p>
      <w:pPr>
        <w:spacing w:after="120" w:before="0" w:line="480" w:lineRule="auto"/>
      </w:pPr>
      <w:r>
        <w:rPr>
          <w:rFonts w:ascii="Times New Roman" w:hAnsi="Times New Roman"/>
          <w:b w:val="0"/>
          <w:i w:val="0"/>
          <w:sz w:val="24"/>
        </w:rPr>
        <w:t xml:space="preserve">Both </w:t>
      </w:r>
      <w:r>
        <w:rPr>
          <w:rFonts w:ascii="Times New Roman" w:hAnsi="Times New Roman"/>
          <w:b w:val="0"/>
          <w:i/>
          <w:sz w:val="24"/>
        </w:rPr>
        <w:t>A. baumannii</w:t>
      </w:r>
      <w:r>
        <w:rPr>
          <w:rFonts w:ascii="Times New Roman" w:hAnsi="Times New Roman"/>
          <w:b w:val="0"/>
          <w:i w:val="0"/>
          <w:sz w:val="24"/>
        </w:rPr>
        <w:t xml:space="preserve"> and </w:t>
      </w:r>
      <w:r>
        <w:rPr>
          <w:rFonts w:ascii="Times New Roman" w:hAnsi="Times New Roman"/>
          <w:b w:val="0"/>
          <w:i/>
          <w:sz w:val="24"/>
        </w:rPr>
        <w:t>P. aeruginosa</w:t>
      </w:r>
      <w:r>
        <w:rPr>
          <w:rFonts w:ascii="Times New Roman" w:hAnsi="Times New Roman"/>
          <w:b w:val="0"/>
          <w:i w:val="0"/>
          <w:sz w:val="24"/>
        </w:rPr>
        <w:t xml:space="preserve"> are designated WHO critical priority pathogens due to their extensive drug resistance and limited treatment options, making plasmid surveillance in these species particularly urgent. The reference plasmid sequences for all groups were sourced primarily from PLSDB 2025 (https://ccb-microbe.cs.uni-saarland.de/plsdb2025/) [31], supplemented by NCBI RefSeq.</w:t>
      </w:r>
    </w:p>
    <w:p>
      <w:pPr>
        <w:spacing w:after="120" w:before="0" w:line="480" w:lineRule="auto"/>
      </w:pPr>
      <w:r>
        <w:rPr>
          <w:rFonts w:ascii="Times New Roman" w:hAnsi="Times New Roman"/>
          <w:b w:val="0"/>
          <w:i w:val="0"/>
          <w:sz w:val="24"/>
        </w:rPr>
        <w:t xml:space="preserve">The 407 Gram-positive training sequences and the additional </w:t>
      </w:r>
      <w:r>
        <w:rPr>
          <w:rFonts w:ascii="Times New Roman" w:hAnsi="Times New Roman"/>
          <w:b w:val="0"/>
          <w:i/>
          <w:sz w:val="24"/>
        </w:rPr>
        <w:t>Acinetobacter</w:t>
      </w:r>
      <w:r>
        <w:rPr>
          <w:rFonts w:ascii="Times New Roman" w:hAnsi="Times New Roman"/>
          <w:b w:val="0"/>
          <w:i w:val="0"/>
          <w:sz w:val="24"/>
        </w:rPr>
        <w:t xml:space="preserve"> and </w:t>
      </w:r>
      <w:r>
        <w:rPr>
          <w:rFonts w:ascii="Times New Roman" w:hAnsi="Times New Roman"/>
          <w:b w:val="0"/>
          <w:i/>
          <w:sz w:val="24"/>
        </w:rPr>
        <w:t>Pseudomonas</w:t>
      </w:r>
      <w:r>
        <w:rPr>
          <w:rFonts w:ascii="Times New Roman" w:hAnsi="Times New Roman"/>
          <w:b w:val="0"/>
          <w:i w:val="0"/>
          <w:sz w:val="24"/>
        </w:rPr>
        <w:t xml:space="preserve"> training sequences were curated using the same pipeline as the Gram-negative groups: replicon typing via in silico PCR against known rep genes, followed by manual verification of complete assembly status. Gram-positive plasmids exhibit lower GC content (mean 33.2% for </w:t>
      </w:r>
      <w:r>
        <w:rPr>
          <w:rFonts w:ascii="Times New Roman" w:hAnsi="Times New Roman"/>
          <w:b w:val="0"/>
          <w:i/>
          <w:sz w:val="24"/>
        </w:rPr>
        <w:t>S. aureus</w:t>
      </w:r>
      <w:r>
        <w:rPr>
          <w:rFonts w:ascii="Times New Roman" w:hAnsi="Times New Roman"/>
          <w:b w:val="0"/>
          <w:i w:val="0"/>
          <w:sz w:val="24"/>
        </w:rPr>
        <w:t xml:space="preserve">, 36.8% for </w:t>
      </w:r>
      <w:r>
        <w:rPr>
          <w:rFonts w:ascii="Times New Roman" w:hAnsi="Times New Roman"/>
          <w:b w:val="0"/>
          <w:i/>
          <w:sz w:val="24"/>
        </w:rPr>
        <w:t>Enterococcus</w:t>
      </w:r>
      <w:r>
        <w:rPr>
          <w:rFonts w:ascii="Times New Roman" w:hAnsi="Times New Roman"/>
          <w:b w:val="0"/>
          <w:i w:val="0"/>
          <w:sz w:val="24"/>
        </w:rPr>
        <w:t xml:space="preserve">) than Gram-negative plasmids (mean 49.1%), while </w:t>
      </w:r>
      <w:r>
        <w:rPr>
          <w:rFonts w:ascii="Times New Roman" w:hAnsi="Times New Roman"/>
          <w:b w:val="0"/>
          <w:i/>
          <w:sz w:val="24"/>
        </w:rPr>
        <w:t>A. baumannii</w:t>
      </w:r>
      <w:r>
        <w:rPr>
          <w:rFonts w:ascii="Times New Roman" w:hAnsi="Times New Roman"/>
          <w:b w:val="0"/>
          <w:i w:val="0"/>
          <w:sz w:val="24"/>
        </w:rPr>
        <w:t xml:space="preserve"> (mean 39.1%) and </w:t>
      </w:r>
      <w:r>
        <w:rPr>
          <w:rFonts w:ascii="Times New Roman" w:hAnsi="Times New Roman"/>
          <w:b w:val="0"/>
          <w:i/>
          <w:sz w:val="24"/>
        </w:rPr>
        <w:t>P. aeruginosa</w:t>
      </w:r>
      <w:r>
        <w:rPr>
          <w:rFonts w:ascii="Times New Roman" w:hAnsi="Times New Roman"/>
          <w:b w:val="0"/>
          <w:i w:val="0"/>
          <w:sz w:val="24"/>
        </w:rPr>
        <w:t xml:space="preserve"> (mean 60.2%) plasmids span a wide GC range, necessitating a widened GC-content validation window from 30--65% to 25--70%. In the tetranucleotide composition space, the Gram-positive groups form a distinct cluster separated from Gram-negative groups by cosine distances of 0.08--0.15, while the </w:t>
      </w:r>
      <w:r>
        <w:rPr>
          <w:rFonts w:ascii="Times New Roman" w:hAnsi="Times New Roman"/>
          <w:b w:val="0"/>
          <w:i/>
          <w:sz w:val="24"/>
        </w:rPr>
        <w:t>Acinetobacter</w:t>
      </w:r>
      <w:r>
        <w:rPr>
          <w:rFonts w:ascii="Times New Roman" w:hAnsi="Times New Roman"/>
          <w:b w:val="0"/>
          <w:i w:val="0"/>
          <w:sz w:val="24"/>
        </w:rPr>
        <w:t xml:space="preserve"> and </w:t>
      </w:r>
      <w:r>
        <w:rPr>
          <w:rFonts w:ascii="Times New Roman" w:hAnsi="Times New Roman"/>
          <w:b w:val="0"/>
          <w:i/>
          <w:sz w:val="24"/>
        </w:rPr>
        <w:t>Pseudomonas</w:t>
      </w:r>
      <w:r>
        <w:rPr>
          <w:rFonts w:ascii="Times New Roman" w:hAnsi="Times New Roman"/>
          <w:b w:val="0"/>
          <w:i w:val="0"/>
          <w:sz w:val="24"/>
        </w:rPr>
        <w:t xml:space="preserve"> groups occupy intermediate positions reflecting their distinct genomic compositions. Cross-validation accuracy for the four Gram-positive groups ranged from 88.4% (repEF_conj) to 94.2% (repSA_small), comparable to Gram-negative group performance.</w:t>
      </w:r>
    </w:p>
    <w:p>
      <w:pPr>
        <w:spacing w:after="120" w:before="0" w:line="480" w:lineRule="auto"/>
      </w:pPr>
      <w:r>
        <w:rPr>
          <w:rFonts w:ascii="Times New Roman" w:hAnsi="Times New Roman"/>
          <w:b w:val="0"/>
          <w:i w:val="0"/>
          <w:sz w:val="24"/>
        </w:rPr>
        <w:t xml:space="preserve">The classifier stores training vectors and labels in a compressed NumPy archive (inc_classifier.npz), enabling rapid loading and inference without retraining. Classification confidence is computed as the proportion of nearest-neighbour votes for the winning class, weighted by inverse distance. Sequences with confidence below 40% are flagged as "Unknown/Novel" and excluded from pLIN assignment, preventing unreliable codes. The dominant confusion pairs involve compositionally near-identical Inc groups within the IncF family (IncFIB/IncFII inter-centroid distance d = 0.002; IncF/IncFII d = 0.003), where misclassification places the plasmid in a biologically equivalent neighbourhood. Within the Gram-positive groups, the primary confusion pair is repEF_conj/repEF_res (inter-centroid d = 0.012), reflecting shared </w:t>
      </w:r>
      <w:r>
        <w:rPr>
          <w:rFonts w:ascii="Times New Roman" w:hAnsi="Times New Roman"/>
          <w:b w:val="0"/>
          <w:i/>
          <w:sz w:val="24"/>
        </w:rPr>
        <w:t>Enterococcus</w:t>
      </w:r>
      <w:r>
        <w:rPr>
          <w:rFonts w:ascii="Times New Roman" w:hAnsi="Times New Roman"/>
          <w:b w:val="0"/>
          <w:i w:val="0"/>
          <w:sz w:val="24"/>
        </w:rPr>
        <w:t xml:space="preserve"> backbone composition. Within the </w:t>
      </w:r>
      <w:r>
        <w:rPr>
          <w:rFonts w:ascii="Times New Roman" w:hAnsi="Times New Roman"/>
          <w:b w:val="0"/>
          <w:i/>
          <w:sz w:val="24"/>
        </w:rPr>
        <w:t>Acinetobacter</w:t>
      </w:r>
      <w:r>
        <w:rPr>
          <w:rFonts w:ascii="Times New Roman" w:hAnsi="Times New Roman"/>
          <w:b w:val="0"/>
          <w:i w:val="0"/>
          <w:sz w:val="24"/>
        </w:rPr>
        <w:t xml:space="preserve"> and </w:t>
      </w:r>
      <w:r>
        <w:rPr>
          <w:rFonts w:ascii="Times New Roman" w:hAnsi="Times New Roman"/>
          <w:b w:val="0"/>
          <w:i/>
          <w:sz w:val="24"/>
        </w:rPr>
        <w:t>Pseudomonas</w:t>
      </w:r>
      <w:r>
        <w:rPr>
          <w:rFonts w:ascii="Times New Roman" w:hAnsi="Times New Roman"/>
          <w:b w:val="0"/>
          <w:i w:val="0"/>
          <w:sz w:val="24"/>
        </w:rPr>
        <w:t xml:space="preserve"> groups, the size-based separation (repAci1/repAci_large, repPae_large/repPae_small) provides strong classification signal.</w:t>
      </w:r>
    </w:p>
    <w:p>
      <w:pPr>
        <w:spacing w:before="120" w:after="120"/>
        <w:pBdr>
          <w:bottom w:val="single" w:sz="6" w:space="1" w:color="auto"/>
        </w:pBdr>
      </w:pPr>
    </w:p>
    <w:p>
      <w:pPr>
        <w:pStyle w:val="Heading2"/>
      </w:pPr>
      <w:r>
        <w:rPr>
          <w:rFonts w:ascii="Times New Roman" w:hAnsi="Times New Roman"/>
          <w:sz w:val="32"/>
        </w:rPr>
        <w:t>3. Implementation</w:t>
      </w:r>
    </w:p>
    <w:p>
      <w:pPr>
        <w:pStyle w:val="Heading3"/>
      </w:pPr>
      <w:r>
        <w:rPr>
          <w:rFonts w:ascii="Times New Roman" w:hAnsi="Times New Roman"/>
          <w:sz w:val="28"/>
        </w:rPr>
        <w:t>3.1 Software architecture</w:t>
      </w:r>
    </w:p>
    <w:p>
      <w:pPr>
        <w:spacing w:after="120" w:before="0" w:line="480" w:lineRule="auto"/>
      </w:pPr>
      <w:r>
        <w:rPr>
          <w:rFonts w:ascii="Times New Roman" w:hAnsi="Times New Roman"/>
          <w:b w:val="0"/>
          <w:i w:val="0"/>
          <w:sz w:val="24"/>
        </w:rPr>
        <w:t>pLIN is implemented as a single-file Streamlit web application (plin_app.py, ~6,500 lines of Python) that runs locally in the user's web browser without server-side infrastructure. The architecture comprises eight modular layers:</w:t>
      </w:r>
    </w:p>
    <w:p>
      <w:pPr>
        <w:spacing w:after="120" w:before="0" w:line="480" w:lineRule="auto"/>
      </w:pPr>
      <w:r>
        <w:rPr>
          <w:rFonts w:ascii="Times New Roman" w:hAnsi="Times New Roman"/>
          <w:b w:val="0"/>
          <w:i w:val="0"/>
          <w:sz w:val="24"/>
        </w:rPr>
        <w:t xml:space="preserve">1. </w:t>
      </w:r>
      <w:r>
        <w:rPr>
          <w:rFonts w:ascii="Times New Roman" w:hAnsi="Times New Roman"/>
          <w:b/>
          <w:i w:val="0"/>
          <w:sz w:val="24"/>
        </w:rPr>
        <w:t>Feature extraction layer.</w:t>
      </w:r>
      <w:r>
        <w:rPr>
          <w:rFonts w:ascii="Times New Roman" w:hAnsi="Times New Roman"/>
          <w:b w:val="0"/>
          <w:i w:val="0"/>
          <w:sz w:val="24"/>
        </w:rPr>
        <w:t xml:space="preserve"> Computes 4-mer frequency vectors using BioPython for FASTA parsing and NumPy for vectorised counting. Accepts single or batch FASTA uploads. 2. </w:t>
      </w:r>
      <w:r>
        <w:rPr>
          <w:rFonts w:ascii="Times New Roman" w:hAnsi="Times New Roman"/>
          <w:b/>
          <w:i w:val="0"/>
          <w:sz w:val="24"/>
        </w:rPr>
        <w:t>Contig identification layer.</w:t>
      </w:r>
      <w:r>
        <w:rPr>
          <w:rFonts w:ascii="Times New Roman" w:hAnsi="Times New Roman"/>
          <w:b w:val="0"/>
          <w:i w:val="0"/>
          <w:sz w:val="24"/>
        </w:rPr>
        <w:t xml:space="preserve"> Multi-signal scoring classifies input contigs as plasmid or chromosomal, automatically filtering non-plasmid sequences before downstream analysis (Section 3.2). 3. </w:t>
      </w:r>
      <w:r>
        <w:rPr>
          <w:rFonts w:ascii="Times New Roman" w:hAnsi="Times New Roman"/>
          <w:b/>
          <w:i w:val="0"/>
          <w:sz w:val="24"/>
        </w:rPr>
        <w:t>Classification layer.</w:t>
      </w:r>
      <w:r>
        <w:rPr>
          <w:rFonts w:ascii="Times New Roman" w:hAnsi="Times New Roman"/>
          <w:b w:val="0"/>
          <w:i w:val="0"/>
          <w:sz w:val="24"/>
        </w:rPr>
        <w:t xml:space="preserve"> KNN group prediction (28 groups) using scikit-learn, followed by nearest-neighbour pLIN code assignment against the pre-computed reference database. 4. </w:t>
      </w:r>
      <w:r>
        <w:rPr>
          <w:rFonts w:ascii="Times New Roman" w:hAnsi="Times New Roman"/>
          <w:b/>
          <w:i w:val="0"/>
          <w:sz w:val="24"/>
        </w:rPr>
        <w:t>Quality assessment layer.</w:t>
      </w:r>
      <w:r>
        <w:rPr>
          <w:rFonts w:ascii="Times New Roman" w:hAnsi="Times New Roman"/>
          <w:b w:val="0"/>
          <w:i w:val="0"/>
          <w:sz w:val="24"/>
        </w:rPr>
        <w:t xml:space="preserve"> Assembly completeness scoring, database coverage and novelty detection, and recombination analysis (Sections 3.6--3.8). 5. </w:t>
      </w:r>
      <w:r>
        <w:rPr>
          <w:rFonts w:ascii="Times New Roman" w:hAnsi="Times New Roman"/>
          <w:b/>
          <w:i w:val="0"/>
          <w:sz w:val="24"/>
        </w:rPr>
        <w:t>AMR annotation layer.</w:t>
      </w:r>
      <w:r>
        <w:rPr>
          <w:rFonts w:ascii="Times New Roman" w:hAnsi="Times New Roman"/>
          <w:b w:val="0"/>
          <w:i w:val="0"/>
          <w:sz w:val="24"/>
        </w:rPr>
        <w:t xml:space="preserve"> Optional integration with NCBI AMRFinderPlus for nucleotide-mode detection of AMR, virulence, and stress genes, with results merged into the pLIN output table. MGE boundary detection and composite transposon identification (Section 3.12). 6. </w:t>
      </w:r>
      <w:r>
        <w:rPr>
          <w:rFonts w:ascii="Times New Roman" w:hAnsi="Times New Roman"/>
          <w:b/>
          <w:i w:val="0"/>
          <w:sz w:val="24"/>
        </w:rPr>
        <w:t>Validation layer.</w:t>
      </w:r>
      <w:r>
        <w:rPr>
          <w:rFonts w:ascii="Times New Roman" w:hAnsi="Times New Roman"/>
          <w:b w:val="0"/>
          <w:i w:val="0"/>
          <w:sz w:val="24"/>
        </w:rPr>
        <w:t xml:space="preserve"> Optional Mash and FastANI ANI estimation; minimap2-based SNP sub-typing for within-strain resolution below the L6 threshold. 7. </w:t>
      </w:r>
      <w:r>
        <w:rPr>
          <w:rFonts w:ascii="Times New Roman" w:hAnsi="Times New Roman"/>
          <w:b/>
          <w:i w:val="0"/>
          <w:sz w:val="24"/>
        </w:rPr>
        <w:t>Discovery layer.</w:t>
      </w:r>
      <w:r>
        <w:rPr>
          <w:rFonts w:ascii="Times New Roman" w:hAnsi="Times New Roman"/>
          <w:b w:val="0"/>
          <w:i w:val="0"/>
          <w:sz w:val="24"/>
        </w:rPr>
        <w:t xml:space="preserve"> Novel group discovery from low-confidence classifications, evolutionary rate estimation for dated clusters, and adaptive threshold calibration with cluster stability assessment (Sections 3.9--3.11). 8. </w:t>
      </w:r>
      <w:r>
        <w:rPr>
          <w:rFonts w:ascii="Times New Roman" w:hAnsi="Times New Roman"/>
          <w:b/>
          <w:i w:val="0"/>
          <w:sz w:val="24"/>
        </w:rPr>
        <w:t>Surveillance layer.</w:t>
      </w:r>
      <w:r>
        <w:rPr>
          <w:rFonts w:ascii="Times New Roman" w:hAnsi="Times New Roman"/>
          <w:b w:val="0"/>
          <w:i w:val="0"/>
          <w:sz w:val="24"/>
        </w:rPr>
        <w:t xml:space="preserve"> Basic and temporal outbreak detection modules with risk stratification; CRISPR-based host inference via MinCED; mobility prediction via MOB-suite.</w:t>
      </w:r>
    </w:p>
    <w:p>
      <w:pPr>
        <w:spacing w:after="120" w:before="0" w:line="480" w:lineRule="auto"/>
      </w:pPr>
      <w:r>
        <w:rPr>
          <w:rFonts w:ascii="Times New Roman" w:hAnsi="Times New Roman"/>
          <w:b w:val="0"/>
          <w:i w:val="0"/>
          <w:sz w:val="24"/>
        </w:rPr>
        <w:t>External tool dependencies (AMRFinderPlus, Mash, FastANI, minimap2, MinCED, MOB-suite) follow a graceful degradation model: each tool is auto-detected at runtime, and the corresponding module is enabled or disabled accordingly. The core pLIN classification pipeline -- feature extraction, distance computation, and code assignment -- requires only Python standard library packages plus NumPy, SciPy, and scikit-learn, ensuring portability across platforms (Figure 11).</w:t>
      </w:r>
    </w:p>
    <w:p>
      <w:pPr>
        <w:pStyle w:val="Heading3"/>
      </w:pPr>
      <w:r>
        <w:rPr>
          <w:rFonts w:ascii="Times New Roman" w:hAnsi="Times New Roman"/>
          <w:sz w:val="28"/>
        </w:rPr>
        <w:t>3.2 Plasmid contig identification</w:t>
      </w:r>
    </w:p>
    <w:p>
      <w:pPr>
        <w:spacing w:after="120" w:before="0" w:line="480" w:lineRule="auto"/>
      </w:pPr>
      <w:r>
        <w:rPr>
          <w:rFonts w:ascii="Times New Roman" w:hAnsi="Times New Roman"/>
          <w:b w:val="0"/>
          <w:i w:val="0"/>
          <w:sz w:val="24"/>
        </w:rPr>
        <w:t>A key challenge in plasmid genomics is that user-submitted assemblies frequently contain a mixture of plasmid and chromosomal contigs, particularly when derived from short-read whole-genome sequencing without prior plasmid extraction. Submitting chromosomal contigs to the pLIN classifier can produce spurious group assignments and inflate false-positive rates. To address this, pLIN incorporates a multi-signal scoring system (`classify_contigs_plasmid_vs_chromosome()`) that automatically identifies and separates plasmid contigs from chromosomal sequences prior to pLIN assignment.</w:t>
      </w:r>
    </w:p>
    <w:p>
      <w:pPr>
        <w:spacing w:after="120" w:before="0" w:line="480" w:lineRule="auto"/>
      </w:pPr>
      <w:r>
        <w:rPr>
          <w:rFonts w:ascii="Times New Roman" w:hAnsi="Times New Roman"/>
          <w:b w:val="0"/>
          <w:i w:val="0"/>
          <w:sz w:val="24"/>
        </w:rPr>
        <w:t>The scoring system integrates four independent signals, each contributing an additive component to a composite plasmid score:</w:t>
      </w:r>
    </w:p>
    <w:p>
      <w:pPr>
        <w:spacing w:after="120" w:before="0" w:line="480" w:lineRule="auto"/>
      </w:pPr>
      <w:r>
        <w:rPr>
          <w:rFonts w:ascii="Times New Roman" w:hAnsi="Times New Roman"/>
          <w:b w:val="0"/>
          <w:i w:val="0"/>
          <w:sz w:val="24"/>
        </w:rPr>
        <w:t xml:space="preserve">1. </w:t>
      </w:r>
      <w:r>
        <w:rPr>
          <w:rFonts w:ascii="Times New Roman" w:hAnsi="Times New Roman"/>
          <w:b/>
          <w:i w:val="0"/>
          <w:sz w:val="24"/>
        </w:rPr>
        <w:t>Sequence length scoring.</w:t>
      </w:r>
      <w:r>
        <w:rPr>
          <w:rFonts w:ascii="Times New Roman" w:hAnsi="Times New Roman"/>
          <w:b w:val="0"/>
          <w:i w:val="0"/>
          <w:sz w:val="24"/>
        </w:rPr>
        <w:t xml:space="preserve"> Plasmids are typically smaller than chromosomes, and contig length provides a strong prior. The length signal assigns scores as follows: contigs exceeding 1 Mb receive a score of -50 (strongly chromosomal); contigs between 500 kb and 1 Mb receive -30; contigs below 300 kb receive +20 (consistent with typical plasmid sizes); and contigs below 20 kb receive an additional +10 bonus, reflecting the predominance of small plasmids in public databases. These thresholds were calibrated against the size distribution of the 79,305-plasmid reference database, in which 99.3% of plasmids were below 300 kb and the largest was 421 kb.</w:t>
      </w:r>
    </w:p>
    <w:p>
      <w:pPr>
        <w:spacing w:after="120" w:before="0" w:line="480" w:lineRule="auto"/>
      </w:pPr>
      <w:r>
        <w:rPr>
          <w:rFonts w:ascii="Times New Roman" w:hAnsi="Times New Roman"/>
          <w:b w:val="0"/>
          <w:i w:val="0"/>
          <w:sz w:val="24"/>
        </w:rPr>
        <w:t xml:space="preserve">2. </w:t>
      </w:r>
      <w:r>
        <w:rPr>
          <w:rFonts w:ascii="Times New Roman" w:hAnsi="Times New Roman"/>
          <w:b/>
          <w:i w:val="0"/>
          <w:sz w:val="24"/>
        </w:rPr>
        <w:t>Cosine distance to nearest plasmid training vector.</w:t>
      </w:r>
      <w:r>
        <w:rPr>
          <w:rFonts w:ascii="Times New Roman" w:hAnsi="Times New Roman"/>
          <w:b w:val="0"/>
          <w:i w:val="0"/>
          <w:sz w:val="24"/>
        </w:rPr>
        <w:t xml:space="preserve"> Each contig's 4-mer frequency vector (computed as described in Section 2.1) is compared to all training vectors in the KNN classifier. The cosine distance to the nearest training plasmid provides a direct measure of compositional similarity to known plasmid sequences. Smaller distances indicate higher plasmid likelihood; this signal is scaled to contribute positively for contigs with distances within the training distribution and negatively for distant outliers.</w:t>
      </w:r>
    </w:p>
    <w:p>
      <w:pPr>
        <w:spacing w:after="120" w:before="0" w:line="480" w:lineRule="auto"/>
      </w:pPr>
      <w:r>
        <w:rPr>
          <w:rFonts w:ascii="Times New Roman" w:hAnsi="Times New Roman"/>
          <w:b w:val="0"/>
          <w:i w:val="0"/>
          <w:sz w:val="24"/>
        </w:rPr>
        <w:t xml:space="preserve">3. </w:t>
      </w:r>
      <w:r>
        <w:rPr>
          <w:rFonts w:ascii="Times New Roman" w:hAnsi="Times New Roman"/>
          <w:b/>
          <w:i w:val="0"/>
          <w:sz w:val="24"/>
        </w:rPr>
        <w:t>FASTA header keyword matching.</w:t>
      </w:r>
      <w:r>
        <w:rPr>
          <w:rFonts w:ascii="Times New Roman" w:hAnsi="Times New Roman"/>
          <w:b w:val="0"/>
          <w:i w:val="0"/>
          <w:sz w:val="24"/>
        </w:rPr>
        <w:t xml:space="preserve"> Assembly tools and database annotations frequently encode informative metadata in FASTA headers. The module scans header lines for plasmid-associated keywords (e.g., "plasmid", "unnamed", "untitled") that contribute positive scores, and chromosome-associated keywords (e.g., "chromosome", "genome", "complete genome") that contribute negative scores. While header-based classification alone is unreliable due to inconsistent annotation practices, it provides a useful supplementary signal when combined with sequence-based features.</w:t>
      </w:r>
    </w:p>
    <w:p>
      <w:pPr>
        <w:spacing w:after="120" w:before="0" w:line="480" w:lineRule="auto"/>
      </w:pPr>
      <w:r>
        <w:rPr>
          <w:rFonts w:ascii="Times New Roman" w:hAnsi="Times New Roman"/>
          <w:b w:val="0"/>
          <w:i w:val="0"/>
          <w:sz w:val="24"/>
        </w:rPr>
        <w:t xml:space="preserve">4. </w:t>
      </w:r>
      <w:r>
        <w:rPr>
          <w:rFonts w:ascii="Times New Roman" w:hAnsi="Times New Roman"/>
          <w:b/>
          <w:i w:val="0"/>
          <w:sz w:val="24"/>
        </w:rPr>
        <w:t>Inc group confidence score from KNN classifier.</w:t>
      </w:r>
      <w:r>
        <w:rPr>
          <w:rFonts w:ascii="Times New Roman" w:hAnsi="Times New Roman"/>
          <w:b w:val="0"/>
          <w:i w:val="0"/>
          <w:sz w:val="24"/>
        </w:rPr>
        <w:t xml:space="preserve"> The KNN classifier confidence (Section 2.4) provides an independent signal: contigs that receive high-confidence Inc group assignments (&gt;=60%) are more likely to be genuine plasmids, as chromosomal sequences typically produce low-confidence, dispersed nearest-neighbour votes across multiple groups. This signal is scaled proportionally to classifier confidence.</w:t>
      </w:r>
    </w:p>
    <w:p>
      <w:pPr>
        <w:spacing w:after="120" w:before="0" w:line="480" w:lineRule="auto"/>
      </w:pPr>
      <w:r>
        <w:rPr>
          <w:rFonts w:ascii="Times New Roman" w:hAnsi="Times New Roman"/>
          <w:b w:val="0"/>
          <w:i w:val="0"/>
          <w:sz w:val="24"/>
        </w:rPr>
        <w:t>The four signals are summed to produce a composite plasmid score for each contig. Classification follows a three-tier decision rule: contigs with a composite score &gt;=10 are classified as "plasmid" and proceed to pLIN assignment; contigs with a score &lt;=-10 are classified as "chromosome" and excluded from downstream analysis (with results reported in a separate output table); contigs with borderline scores (-10 to +10) default to "plasmid" classification, reflecting a conservative design philosophy that prioritises sensitivity (avoiding missed plasmids) over specificity. Users can override individual classifications via the interactive interface.</w:t>
      </w:r>
    </w:p>
    <w:p>
      <w:pPr>
        <w:spacing w:after="120" w:before="0" w:line="480" w:lineRule="auto"/>
      </w:pPr>
      <w:r>
        <w:rPr>
          <w:rFonts w:ascii="Times New Roman" w:hAnsi="Times New Roman"/>
          <w:b w:val="0"/>
          <w:i w:val="0"/>
          <w:sz w:val="24"/>
        </w:rPr>
        <w:t>This preprocessing step is particularly valuable for three common input scenarios: (i) whole-genome assemblies containing both chromosomal and plasmid contigs; (ii) metagenomic assemblies where plasmid-origin contigs must be distinguished from chromosomal fragments; and (iii) hybrid assemblies where long-read scaffolding may concatenate plasmid and chromosomal sequences. By filtering chromosomal contigs before pLIN assignment, the module prevents spurious group classifications and ensures that downstream analyses (AMR mapping, outbreak detection, novelty assessment) operate exclusively on genuine plasmid sequences.</w:t>
      </w:r>
    </w:p>
    <w:p>
      <w:pPr>
        <w:pStyle w:val="Heading3"/>
      </w:pPr>
      <w:r>
        <w:rPr>
          <w:rFonts w:ascii="Times New Roman" w:hAnsi="Times New Roman"/>
          <w:sz w:val="28"/>
        </w:rPr>
        <w:t>3.3 Reference database expansion strategy</w:t>
      </w:r>
    </w:p>
    <w:p>
      <w:pPr>
        <w:spacing w:after="120" w:before="0" w:line="480" w:lineRule="auto"/>
      </w:pPr>
      <w:r>
        <w:rPr>
          <w:rFonts w:ascii="Times New Roman" w:hAnsi="Times New Roman"/>
          <w:b w:val="0"/>
          <w:i w:val="0"/>
          <w:sz w:val="24"/>
        </w:rPr>
        <w:t>The reference database was expanded from 8,056 unique training sequences to 79,305 total plasmids (8,056 unique training + 71,249 PLSDB/NCBI RefSeq reference) using a three-phase pipeline (Figure 8):</w:t>
      </w:r>
    </w:p>
    <w:p>
      <w:pPr>
        <w:spacing w:after="120" w:before="0" w:line="480" w:lineRule="auto"/>
      </w:pPr>
      <w:r>
        <w:rPr>
          <w:rFonts w:ascii="Times New Roman" w:hAnsi="Times New Roman"/>
          <w:b/>
          <w:i w:val="0"/>
          <w:sz w:val="24"/>
        </w:rPr>
        <w:t>Phase 1: Feature extraction.</w:t>
      </w:r>
      <w:r>
        <w:rPr>
          <w:rFonts w:ascii="Times New Roman" w:hAnsi="Times New Roman"/>
          <w:b w:val="0"/>
          <w:i w:val="0"/>
          <w:sz w:val="24"/>
        </w:rPr>
        <w:t xml:space="preserve"> 4-mer frequency vectors were computed for all 71,249 reference plasmid sequences (split from a 6.9 GB master FASTA sourced from PLSDB 2025 [31] and supplemented by NCBI RefSeq). Runtime: 23.5 minutes on an Apple M-series laptop (~52 sequences/second).</w:t>
      </w:r>
    </w:p>
    <w:p>
      <w:pPr>
        <w:spacing w:after="120" w:before="0" w:line="480" w:lineRule="auto"/>
      </w:pPr>
      <w:r>
        <w:rPr>
          <w:rFonts w:ascii="Times New Roman" w:hAnsi="Times New Roman"/>
          <w:b/>
          <w:i w:val="0"/>
          <w:sz w:val="24"/>
        </w:rPr>
        <w:t>Phase 2: KNN group classification.</w:t>
      </w:r>
      <w:r>
        <w:rPr>
          <w:rFonts w:ascii="Times New Roman" w:hAnsi="Times New Roman"/>
          <w:b w:val="0"/>
          <w:i w:val="0"/>
          <w:sz w:val="24"/>
        </w:rPr>
        <w:t xml:space="preserve"> Each reference sequence was assigned a group using the trained 28-group KNN classifier. Classification rate: 97.3% (69,140 sequences assigned; 2,109 flagged as Unknown/Novel at &lt;40% confidence). Runtime: 7 seconds. The four Gram-positive groups collectively classified additional reference sequences, and the four </w:t>
      </w:r>
      <w:r>
        <w:rPr>
          <w:rFonts w:ascii="Times New Roman" w:hAnsi="Times New Roman"/>
          <w:b w:val="0"/>
          <w:i/>
          <w:sz w:val="24"/>
        </w:rPr>
        <w:t>Acinetobacter</w:t>
      </w:r>
      <w:r>
        <w:rPr>
          <w:rFonts w:ascii="Times New Roman" w:hAnsi="Times New Roman"/>
          <w:b w:val="0"/>
          <w:i w:val="0"/>
          <w:sz w:val="24"/>
        </w:rPr>
        <w:t xml:space="preserve"> and </w:t>
      </w:r>
      <w:r>
        <w:rPr>
          <w:rFonts w:ascii="Times New Roman" w:hAnsi="Times New Roman"/>
          <w:b w:val="0"/>
          <w:i/>
          <w:sz w:val="24"/>
        </w:rPr>
        <w:t>Pseudomonas</w:t>
      </w:r>
      <w:r>
        <w:rPr>
          <w:rFonts w:ascii="Times New Roman" w:hAnsi="Times New Roman"/>
          <w:b w:val="0"/>
          <w:i w:val="0"/>
          <w:sz w:val="24"/>
        </w:rPr>
        <w:t xml:space="preserve"> groups classified additional reference sequences from these WHO critical priority pathogens.</w:t>
      </w:r>
    </w:p>
    <w:p>
      <w:pPr>
        <w:spacing w:after="120" w:before="0" w:line="480" w:lineRule="auto"/>
      </w:pPr>
      <w:r>
        <w:rPr>
          <w:rFonts w:ascii="Times New Roman" w:hAnsi="Times New Roman"/>
          <w:b/>
          <w:i w:val="0"/>
          <w:sz w:val="24"/>
        </w:rPr>
        <w:t>Phase 3: Per-group clustering.</w:t>
      </w:r>
      <w:r>
        <w:rPr>
          <w:rFonts w:ascii="Times New Roman" w:hAnsi="Times New Roman"/>
          <w:b w:val="0"/>
          <w:i w:val="0"/>
          <w:sz w:val="24"/>
        </w:rPr>
        <w:t xml:space="preserve"> Single-linkage hierarchical clustering was performed independently within each of the 28 groups. This per-group strategy was essential for computational feasibility: global clustering of 79,305 sequences would require a ~24 GB distance matrix (infeasible on standard hardware), whereas the largest single-group matrix (IncFII, 34,036 sequences) required only 2.3 GB. Runtime: 4.2 minutes. Total pipeline: under 30 minutes.</w:t>
      </w:r>
    </w:p>
    <w:p>
      <w:pPr>
        <w:spacing w:after="120" w:before="0" w:line="480" w:lineRule="auto"/>
      </w:pPr>
      <w:r>
        <w:rPr>
          <w:rFonts w:ascii="Times New Roman" w:hAnsi="Times New Roman"/>
          <w:b w:val="0"/>
          <w:i w:val="0"/>
          <w:sz w:val="24"/>
        </w:rPr>
        <w:t>The per-group approach resolved 57,886 unique strain-level pLIN codes -- a 22.1-fold increase over the training-only analysis -- demonstrating the vast plasmid diversity in public databases (Table 5 in main paper; Figure 9).</w:t>
      </w:r>
    </w:p>
    <w:p>
      <w:pPr>
        <w:pStyle w:val="Heading3"/>
      </w:pPr>
      <w:r>
        <w:rPr>
          <w:rFonts w:ascii="Times New Roman" w:hAnsi="Times New Roman"/>
          <w:sz w:val="28"/>
        </w:rPr>
        <w:t>3.4 AMR gene integration pipeline</w:t>
      </w:r>
    </w:p>
    <w:p>
      <w:pPr>
        <w:spacing w:after="120" w:before="0" w:line="480" w:lineRule="auto"/>
      </w:pPr>
      <w:r>
        <w:rPr>
          <w:rFonts w:ascii="Times New Roman" w:hAnsi="Times New Roman"/>
          <w:b w:val="0"/>
          <w:i w:val="0"/>
          <w:sz w:val="24"/>
        </w:rPr>
        <w:t xml:space="preserve">AMR gene annotation was performed using NCBI AMRFinderPlus v4.2.5 [23] (database 2026-01-21.1) in nucleotide mode with the --plus flag, which extends detection to virulence factors and stress response genes. The integration pipeline follows a detect-checkbox-run-merge pattern: (i) auto-detect whether amrfinder is installed; (ii) present the user with an opt-in checkbox; (iii) run amrfinder on each input sequence; (iv) merge results with the pLIN classification table. The same pattern is used for MOB-suite mobility prediction. Across the 6,998 Gram-negative training plasmids (20 Inc groups), AMRFinderPlus identified 64,891 gene detections in 5,816 plasmids (83.1%): 29,583 AMR, 6,286 virulence, and 29,022 stress (Figure 2). AMR analysis was not performed on the Gram-positive, </w:t>
      </w:r>
      <w:r>
        <w:rPr>
          <w:rFonts w:ascii="Times New Roman" w:hAnsi="Times New Roman"/>
          <w:b w:val="0"/>
          <w:i/>
          <w:sz w:val="24"/>
        </w:rPr>
        <w:t>Acinetobacter</w:t>
      </w:r>
      <w:r>
        <w:rPr>
          <w:rFonts w:ascii="Times New Roman" w:hAnsi="Times New Roman"/>
          <w:b w:val="0"/>
          <w:i w:val="0"/>
          <w:sz w:val="24"/>
        </w:rPr>
        <w:t xml:space="preserve">, or </w:t>
      </w:r>
      <w:r>
        <w:rPr>
          <w:rFonts w:ascii="Times New Roman" w:hAnsi="Times New Roman"/>
          <w:b w:val="0"/>
          <w:i/>
          <w:sz w:val="24"/>
        </w:rPr>
        <w:t>Pseudomonas</w:t>
      </w:r>
      <w:r>
        <w:rPr>
          <w:rFonts w:ascii="Times New Roman" w:hAnsi="Times New Roman"/>
          <w:b w:val="0"/>
          <w:i w:val="0"/>
          <w:sz w:val="24"/>
        </w:rPr>
        <w:t xml:space="preserve"> groups.</w:t>
      </w:r>
    </w:p>
    <w:p>
      <w:pPr>
        <w:pStyle w:val="Heading3"/>
      </w:pPr>
      <w:r>
        <w:rPr>
          <w:rFonts w:ascii="Times New Roman" w:hAnsi="Times New Roman"/>
          <w:sz w:val="28"/>
        </w:rPr>
        <w:t>3.5 Outbreak detection modules</w:t>
      </w:r>
    </w:p>
    <w:p>
      <w:pPr>
        <w:spacing w:after="120" w:before="0" w:line="480" w:lineRule="auto"/>
      </w:pPr>
      <w:r>
        <w:rPr>
          <w:rFonts w:ascii="Times New Roman" w:hAnsi="Times New Roman"/>
          <w:b w:val="0"/>
          <w:i w:val="0"/>
          <w:sz w:val="24"/>
        </w:rPr>
        <w:t>pLIN implements a two-tier outbreak detection system that is absent from all competing tools:</w:t>
      </w:r>
    </w:p>
    <w:p>
      <w:pPr>
        <w:spacing w:after="120" w:before="0" w:line="480" w:lineRule="auto"/>
      </w:pPr>
      <w:r>
        <w:rPr>
          <w:rFonts w:ascii="Times New Roman" w:hAnsi="Times New Roman"/>
          <w:b/>
          <w:i w:val="0"/>
          <w:sz w:val="24"/>
        </w:rPr>
        <w:t>Basic module.</w:t>
      </w:r>
      <w:r>
        <w:rPr>
          <w:rFonts w:ascii="Times New Roman" w:hAnsi="Times New Roman"/>
          <w:b w:val="0"/>
          <w:i w:val="0"/>
          <w:sz w:val="24"/>
        </w:rPr>
        <w:t xml:space="preserve"> Identifies groups of &gt;= 2 plasmids sharing both an identical L6 pLIN code (d &lt;= 0.001) and an identical AMR gene fingerprint, assigning HIGH or MODERATE risk levels based on AMR burden.</w:t>
      </w:r>
    </w:p>
    <w:p>
      <w:pPr>
        <w:spacing w:after="120" w:before="0" w:line="480" w:lineRule="auto"/>
      </w:pPr>
      <w:r>
        <w:rPr>
          <w:rFonts w:ascii="Times New Roman" w:hAnsi="Times New Roman"/>
          <w:b/>
          <w:i w:val="0"/>
          <w:sz w:val="24"/>
        </w:rPr>
        <w:t>Temporal module.</w:t>
      </w:r>
      <w:r>
        <w:rPr>
          <w:rFonts w:ascii="Times New Roman" w:hAnsi="Times New Roman"/>
          <w:b w:val="0"/>
          <w:i w:val="0"/>
          <w:sz w:val="24"/>
        </w:rPr>
        <w:t xml:space="preserve"> Extends basic detection by incorporating collection dates from user-uploaded metadata, requiring co-occurrence within a configurable time window (default 30 days). A three-tier risk classification (CRITICAL, HIGH, MODERATE) is assigned based on AMR burden and temporal proximity. Ward and hospital metadata are incorporated when available.</w:t>
      </w:r>
    </w:p>
    <w:p>
      <w:pPr>
        <w:spacing w:after="120" w:before="0" w:line="480" w:lineRule="auto"/>
      </w:pPr>
      <w:r>
        <w:rPr>
          <w:rFonts w:ascii="Times New Roman" w:hAnsi="Times New Roman"/>
          <w:b w:val="0"/>
          <w:i w:val="0"/>
          <w:sz w:val="24"/>
        </w:rPr>
        <w:t>Hierarchical context provides immediate zoom-out from an outbreak cluster (L6) to its broader lineage (L5, L4, L3), revealing whether a suspected outbreak is a singleton event or part of a larger epidemic clone. Integration with minimap2-based SNP sub-typing provides nucleotide-level resolution (0 SNPs = potentially clonal) within L6 clusters, bridging fast compositional screening and confirmatory outbreak investigation [20].</w:t>
      </w:r>
    </w:p>
    <w:p>
      <w:pPr>
        <w:pStyle w:val="Heading3"/>
      </w:pPr>
      <w:r>
        <w:rPr>
          <w:rFonts w:ascii="Times New Roman" w:hAnsi="Times New Roman"/>
          <w:sz w:val="28"/>
        </w:rPr>
        <w:t>3.6 Assembly completeness assessment (L3)</w:t>
      </w:r>
    </w:p>
    <w:p>
      <w:pPr>
        <w:spacing w:after="120" w:before="0" w:line="480" w:lineRule="auto"/>
      </w:pPr>
      <w:r>
        <w:rPr>
          <w:rFonts w:ascii="Times New Roman" w:hAnsi="Times New Roman"/>
          <w:b w:val="0"/>
          <w:i w:val="0"/>
          <w:sz w:val="24"/>
        </w:rPr>
        <w:t>A fundamental limitation of composition-based classification is its sensitivity to input assembly quality. pLIN now incorporates a composite assembly completeness score (0--100) that evaluates five independent quality dimensions:</w:t>
      </w:r>
    </w:p>
    <w:p>
      <w:pPr>
        <w:spacing w:after="120" w:before="0" w:line="480" w:lineRule="auto"/>
      </w:pPr>
      <w:r>
        <w:rPr>
          <w:rFonts w:ascii="Times New Roman" w:hAnsi="Times New Roman"/>
          <w:b w:val="0"/>
          <w:i w:val="0"/>
          <w:sz w:val="24"/>
        </w:rPr>
        <w:t xml:space="preserve">1. </w:t>
      </w:r>
      <w:r>
        <w:rPr>
          <w:rFonts w:ascii="Times New Roman" w:hAnsi="Times New Roman"/>
          <w:b/>
          <w:i w:val="0"/>
          <w:sz w:val="24"/>
        </w:rPr>
        <w:t>Contig count penalty.</w:t>
      </w:r>
      <w:r>
        <w:rPr>
          <w:rFonts w:ascii="Times New Roman" w:hAnsi="Times New Roman"/>
          <w:b w:val="0"/>
          <w:i w:val="0"/>
          <w:sz w:val="24"/>
        </w:rPr>
        <w:t xml:space="preserve"> Assemblies with a single contig receive full marks; scores decrease logarithmically with increasing contig count. Single-contig assemblies (typical of completed plasmids) score 20/20; assemblies with &gt;50 contigs score 0. 2. </w:t>
      </w:r>
      <w:r>
        <w:rPr>
          <w:rFonts w:ascii="Times New Roman" w:hAnsi="Times New Roman"/>
          <w:b/>
          <w:i w:val="0"/>
          <w:sz w:val="24"/>
        </w:rPr>
        <w:t>N50 ratio.</w:t>
      </w:r>
      <w:r>
        <w:rPr>
          <w:rFonts w:ascii="Times New Roman" w:hAnsi="Times New Roman"/>
          <w:b w:val="0"/>
          <w:i w:val="0"/>
          <w:sz w:val="24"/>
        </w:rPr>
        <w:t xml:space="preserve"> The N50 statistic normalised by total assembly length. A ratio of 1.0 (single contig or near-complete) scores 20/20; ratios below 0.1 score 0. 3. </w:t>
      </w:r>
      <w:r>
        <w:rPr>
          <w:rFonts w:ascii="Times New Roman" w:hAnsi="Times New Roman"/>
          <w:b/>
          <w:i w:val="0"/>
          <w:sz w:val="24"/>
        </w:rPr>
        <w:t>Circular topology signal.</w:t>
      </w:r>
      <w:r>
        <w:rPr>
          <w:rFonts w:ascii="Times New Roman" w:hAnsi="Times New Roman"/>
          <w:b w:val="0"/>
          <w:i w:val="0"/>
          <w:sz w:val="24"/>
        </w:rPr>
        <w:t xml:space="preserve"> Detection of terminal repeat overlap or assembler annotations indicating circular topology. Binary: 20 points if circular, 0 otherwise. 4. </w:t>
      </w:r>
      <w:r>
        <w:rPr>
          <w:rFonts w:ascii="Times New Roman" w:hAnsi="Times New Roman"/>
          <w:b/>
          <w:i w:val="0"/>
          <w:sz w:val="24"/>
        </w:rPr>
        <w:t>Coding density.</w:t>
      </w:r>
      <w:r>
        <w:rPr>
          <w:rFonts w:ascii="Times New Roman" w:hAnsi="Times New Roman"/>
          <w:b w:val="0"/>
          <w:i w:val="0"/>
          <w:sz w:val="24"/>
        </w:rPr>
        <w:t xml:space="preserve"> The proportion of the assembly covered by predicted coding sequences (Prodigal). Typical complete plasmids have coding densities of 80--90%; assemblies with &lt;50% coding density receive reduced scores, indicating potential assembly artefacts or contamination. 5. </w:t>
      </w:r>
      <w:r>
        <w:rPr>
          <w:rFonts w:ascii="Times New Roman" w:hAnsi="Times New Roman"/>
          <w:b/>
          <w:i w:val="0"/>
          <w:sz w:val="24"/>
        </w:rPr>
        <w:t>N-gap presence.</w:t>
      </w:r>
      <w:r>
        <w:rPr>
          <w:rFonts w:ascii="Times New Roman" w:hAnsi="Times New Roman"/>
          <w:b w:val="0"/>
          <w:i w:val="0"/>
          <w:sz w:val="24"/>
        </w:rPr>
        <w:t xml:space="preserve"> Detection of ambiguous bases (Ns) in the assembly. Assemblies with no N-gaps receive full marks (20/20); those with &gt;1% N content score 0.</w:t>
      </w:r>
    </w:p>
    <w:p>
      <w:pPr>
        <w:spacing w:after="120" w:before="0" w:line="480" w:lineRule="auto"/>
      </w:pPr>
      <w:r>
        <w:rPr>
          <w:rFonts w:ascii="Times New Roman" w:hAnsi="Times New Roman"/>
          <w:b w:val="0"/>
          <w:i w:val="0"/>
          <w:sz w:val="24"/>
        </w:rPr>
        <w:t>The composite score is categorised as COMPLETE (&gt;=80), NEAR-COMPLETE (60--79), FRAGMENTED (40--59), or POOR (&lt;40). Plasmids scoring POOR are flagged with a warning in the output, and their pLIN code assignments are annotated as provisional. This scoring system enables users to assess whether classification results are reliable before downstream interpretation.</w:t>
      </w:r>
    </w:p>
    <w:p>
      <w:pPr>
        <w:pStyle w:val="Heading3"/>
      </w:pPr>
      <w:r>
        <w:rPr>
          <w:rFonts w:ascii="Times New Roman" w:hAnsi="Times New Roman"/>
          <w:sz w:val="28"/>
        </w:rPr>
        <w:t>3.7 Database coverage and novelty detection (L4)</w:t>
      </w:r>
    </w:p>
    <w:p>
      <w:pPr>
        <w:spacing w:after="120" w:before="0" w:line="480" w:lineRule="auto"/>
      </w:pPr>
      <w:r>
        <w:rPr>
          <w:rFonts w:ascii="Times New Roman" w:hAnsi="Times New Roman"/>
          <w:b w:val="0"/>
          <w:i w:val="0"/>
          <w:sz w:val="24"/>
        </w:rPr>
        <w:t>Composition-based classifiers can assign confident but misleading codes to plasmids that are genuinely novel -- i.e., distant from all training examples. pLIN addresses this by computing the nearest-neighbour distance percentile of each query within the training distribution of its assigned group. For each of the 28 groups, the within-group nearest-neighbour distance distribution is pre-computed from the training data. A query's nearest-neighbour distance is then ranked against this distribution to produce a percentile score.</w:t>
      </w:r>
    </w:p>
    <w:p>
      <w:pPr>
        <w:spacing w:after="120" w:before="0" w:line="480" w:lineRule="auto"/>
      </w:pPr>
      <w:r>
        <w:rPr>
          <w:rFonts w:ascii="Times New Roman" w:hAnsi="Times New Roman"/>
          <w:b w:val="0"/>
          <w:i w:val="0"/>
          <w:sz w:val="24"/>
        </w:rPr>
        <w:t>Results are reported using a traffic-light system:</w:t>
      </w:r>
    </w:p>
    <w:p>
      <w:pPr>
        <w:spacing w:after="120" w:before="0" w:line="480" w:lineRule="auto"/>
      </w:pPr>
      <w:r>
        <w:rPr>
          <w:rFonts w:ascii="Times New Roman" w:hAnsi="Times New Roman"/>
          <w:b w:val="0"/>
          <w:i w:val="0"/>
          <w:sz w:val="24"/>
        </w:rPr>
        <w:t xml:space="preserve">- </w:t>
      </w:r>
      <w:r>
        <w:rPr>
          <w:rFonts w:ascii="Times New Roman" w:hAnsi="Times New Roman"/>
          <w:b/>
          <w:i w:val="0"/>
          <w:sz w:val="24"/>
        </w:rPr>
        <w:t>GREEN</w:t>
      </w:r>
      <w:r>
        <w:rPr>
          <w:rFonts w:ascii="Times New Roman" w:hAnsi="Times New Roman"/>
          <w:b w:val="0"/>
          <w:i w:val="0"/>
          <w:sz w:val="24"/>
        </w:rPr>
        <w:t xml:space="preserve"> (&lt;=50th percentile): The query falls well within the known diversity of the group; the pLIN assignment is highly reliable. - </w:t>
      </w:r>
      <w:r>
        <w:rPr>
          <w:rFonts w:ascii="Times New Roman" w:hAnsi="Times New Roman"/>
          <w:b/>
          <w:i w:val="0"/>
          <w:sz w:val="24"/>
        </w:rPr>
        <w:t>YELLOW</w:t>
      </w:r>
      <w:r>
        <w:rPr>
          <w:rFonts w:ascii="Times New Roman" w:hAnsi="Times New Roman"/>
          <w:b w:val="0"/>
          <w:i w:val="0"/>
          <w:sz w:val="24"/>
        </w:rPr>
        <w:t xml:space="preserve"> (50th--95th percentile): The query is at the periphery of known diversity; the assignment is likely correct but should be interpreted with caution. - </w:t>
      </w:r>
      <w:r>
        <w:rPr>
          <w:rFonts w:ascii="Times New Roman" w:hAnsi="Times New Roman"/>
          <w:b/>
          <w:i w:val="0"/>
          <w:sz w:val="24"/>
        </w:rPr>
        <w:t>RED</w:t>
      </w:r>
      <w:r>
        <w:rPr>
          <w:rFonts w:ascii="Times New Roman" w:hAnsi="Times New Roman"/>
          <w:b w:val="0"/>
          <w:i w:val="0"/>
          <w:sz w:val="24"/>
        </w:rPr>
        <w:t xml:space="preserve"> (&gt;95th percentile): The query exceeds the range of known diversity for this group; the assignment may represent a genuine novel lineage or a misclassification.</w:t>
      </w:r>
    </w:p>
    <w:p>
      <w:pPr>
        <w:spacing w:after="120" w:before="0" w:line="480" w:lineRule="auto"/>
      </w:pPr>
      <w:r>
        <w:rPr>
          <w:rFonts w:ascii="Times New Roman" w:hAnsi="Times New Roman"/>
          <w:b w:val="0"/>
          <w:i w:val="0"/>
          <w:sz w:val="24"/>
        </w:rPr>
        <w:t>Plasmids exceeding the 95th percentile are additionally flagged as "novelty candidates" and routed to the novel group discovery module (Section 3.9). This two-tier flagging ensures that genuinely novel plasmids are identified rather than silently absorbed into existing classification bins.</w:t>
      </w:r>
    </w:p>
    <w:p>
      <w:pPr>
        <w:pStyle w:val="Heading3"/>
      </w:pPr>
      <w:r>
        <w:rPr>
          <w:rFonts w:ascii="Times New Roman" w:hAnsi="Times New Roman"/>
          <w:sz w:val="28"/>
        </w:rPr>
        <w:t>3.8 Recombination and mosaic structure detection (L5)</w:t>
      </w:r>
    </w:p>
    <w:p>
      <w:pPr>
        <w:spacing w:after="120" w:before="0" w:line="480" w:lineRule="auto"/>
      </w:pPr>
      <w:r>
        <w:rPr>
          <w:rFonts w:ascii="Times New Roman" w:hAnsi="Times New Roman"/>
          <w:b w:val="0"/>
          <w:i w:val="0"/>
          <w:sz w:val="24"/>
        </w:rPr>
        <w:t>Plasmid genomes are subject to extensive recombination and modular exchange, producing mosaic structures that can confound composition-based classification. pLIN implements a recombination detection module based on minimap2 pairwise alignment format (PAF) analysis. For each query plasmid, minimap2 alignments are computed against all members of its assigned group within the reference database. Three metrics are evaluated:</w:t>
      </w:r>
    </w:p>
    <w:p>
      <w:pPr>
        <w:spacing w:after="120" w:before="0" w:line="480" w:lineRule="auto"/>
      </w:pPr>
      <w:r>
        <w:rPr>
          <w:rFonts w:ascii="Times New Roman" w:hAnsi="Times New Roman"/>
          <w:b w:val="0"/>
          <w:i w:val="0"/>
          <w:sz w:val="24"/>
        </w:rPr>
        <w:t xml:space="preserve">1. </w:t>
      </w:r>
      <w:r>
        <w:rPr>
          <w:rFonts w:ascii="Times New Roman" w:hAnsi="Times New Roman"/>
          <w:b/>
          <w:i w:val="0"/>
          <w:sz w:val="24"/>
        </w:rPr>
        <w:t>Alignment coverage.</w:t>
      </w:r>
      <w:r>
        <w:rPr>
          <w:rFonts w:ascii="Times New Roman" w:hAnsi="Times New Roman"/>
          <w:b w:val="0"/>
          <w:i w:val="0"/>
          <w:sz w:val="24"/>
        </w:rPr>
        <w:t xml:space="preserve"> The fraction of the query genome covered by alignments to the nearest reference. Low coverage (&lt;60%) indicates that substantial portions of the query are absent from the closest relative, suggestive of horizontal acquisition. 2. </w:t>
      </w:r>
      <w:r>
        <w:rPr>
          <w:rFonts w:ascii="Times New Roman" w:hAnsi="Times New Roman"/>
          <w:b/>
          <w:i w:val="0"/>
          <w:sz w:val="24"/>
        </w:rPr>
        <w:t>Block fragmentation index.</w:t>
      </w:r>
      <w:r>
        <w:rPr>
          <w:rFonts w:ascii="Times New Roman" w:hAnsi="Times New Roman"/>
          <w:b w:val="0"/>
          <w:i w:val="0"/>
          <w:sz w:val="24"/>
        </w:rPr>
        <w:t xml:space="preserve"> The number of distinct alignment blocks normalised by query length. A single contiguous alignment indicates collinear structure; multiple fragmented blocks indicate structural rearrangements or mosaic assembly from multiple donors. 3. </w:t>
      </w:r>
      <w:r>
        <w:rPr>
          <w:rFonts w:ascii="Times New Roman" w:hAnsi="Times New Roman"/>
          <w:b/>
          <w:i w:val="0"/>
          <w:sz w:val="24"/>
        </w:rPr>
        <w:t>Gap analysis.</w:t>
      </w:r>
      <w:r>
        <w:rPr>
          <w:rFonts w:ascii="Times New Roman" w:hAnsi="Times New Roman"/>
          <w:b w:val="0"/>
          <w:i w:val="0"/>
          <w:sz w:val="24"/>
        </w:rPr>
        <w:t xml:space="preserve"> The total length and distribution of unaligned regions (gaps) between alignment blocks. Large internal gaps flanked by aligned regions are characteristic of horizontally acquired genomic islands.</w:t>
      </w:r>
    </w:p>
    <w:p>
      <w:pPr>
        <w:spacing w:after="120" w:before="0" w:line="480" w:lineRule="auto"/>
      </w:pPr>
      <w:r>
        <w:rPr>
          <w:rFonts w:ascii="Times New Roman" w:hAnsi="Times New Roman"/>
          <w:b w:val="0"/>
          <w:i w:val="0"/>
          <w:sz w:val="24"/>
        </w:rPr>
        <w:t xml:space="preserve">These three metrics are combined into a recombination flag with four levels: </w:t>
      </w:r>
      <w:r>
        <w:rPr>
          <w:rFonts w:ascii="Times New Roman" w:hAnsi="Times New Roman"/>
          <w:b/>
          <w:i w:val="0"/>
          <w:sz w:val="24"/>
        </w:rPr>
        <w:t>None</w:t>
      </w:r>
      <w:r>
        <w:rPr>
          <w:rFonts w:ascii="Times New Roman" w:hAnsi="Times New Roman"/>
          <w:b w:val="0"/>
          <w:i w:val="0"/>
          <w:sz w:val="24"/>
        </w:rPr>
        <w:t xml:space="preserve"> (high coverage, single block, no gaps), </w:t>
      </w:r>
      <w:r>
        <w:rPr>
          <w:rFonts w:ascii="Times New Roman" w:hAnsi="Times New Roman"/>
          <w:b/>
          <w:i w:val="0"/>
          <w:sz w:val="24"/>
        </w:rPr>
        <w:t>Low</w:t>
      </w:r>
      <w:r>
        <w:rPr>
          <w:rFonts w:ascii="Times New Roman" w:hAnsi="Times New Roman"/>
          <w:b w:val="0"/>
          <w:i w:val="0"/>
          <w:sz w:val="24"/>
        </w:rPr>
        <w:t xml:space="preserve"> (minor fragmentation or small gaps), </w:t>
      </w:r>
      <w:r>
        <w:rPr>
          <w:rFonts w:ascii="Times New Roman" w:hAnsi="Times New Roman"/>
          <w:b/>
          <w:i w:val="0"/>
          <w:sz w:val="24"/>
        </w:rPr>
        <w:t>Medium</w:t>
      </w:r>
      <w:r>
        <w:rPr>
          <w:rFonts w:ascii="Times New Roman" w:hAnsi="Times New Roman"/>
          <w:b w:val="0"/>
          <w:i w:val="0"/>
          <w:sz w:val="24"/>
        </w:rPr>
        <w:t xml:space="preserve"> (moderate fragmentation with identifiable gap regions), and </w:t>
      </w:r>
      <w:r>
        <w:rPr>
          <w:rFonts w:ascii="Times New Roman" w:hAnsi="Times New Roman"/>
          <w:b/>
          <w:i w:val="0"/>
          <w:sz w:val="24"/>
        </w:rPr>
        <w:t>High</w:t>
      </w:r>
      <w:r>
        <w:rPr>
          <w:rFonts w:ascii="Times New Roman" w:hAnsi="Times New Roman"/>
          <w:b w:val="0"/>
          <w:i w:val="0"/>
          <w:sz w:val="24"/>
        </w:rPr>
        <w:t xml:space="preserve"> (extensive fragmentation with multiple large gaps, consistent with chimeric structure). The flag is reported alongside the pLIN code to alert users when classification may be complicated by mosaic evolution.</w:t>
      </w:r>
    </w:p>
    <w:p>
      <w:pPr>
        <w:pStyle w:val="Heading3"/>
      </w:pPr>
      <w:r>
        <w:rPr>
          <w:rFonts w:ascii="Times New Roman" w:hAnsi="Times New Roman"/>
          <w:sz w:val="28"/>
        </w:rPr>
        <w:t>3.9 Novel Inc/rep group discovery (L6)</w:t>
      </w:r>
    </w:p>
    <w:p>
      <w:pPr>
        <w:spacing w:after="120" w:before="0" w:line="480" w:lineRule="auto"/>
      </w:pPr>
      <w:r>
        <w:rPr>
          <w:rFonts w:ascii="Times New Roman" w:hAnsi="Times New Roman"/>
          <w:b w:val="0"/>
          <w:i w:val="0"/>
          <w:sz w:val="24"/>
        </w:rPr>
        <w:t>Plasmids that cannot be confidently assigned to any of the 28 established groups (KNN confidence &lt;40%) -- 2,109 sequences in the reference database expansion -- represent either genuinely novel replicon types or highly divergent members of known groups. Rather than discarding these sequences, pLIN implements a discovery module that applies hierarchical clustering (single-linkage, cosine distance) to all low-confidence plasmids at the L3 threshold (d &lt;= 0.050).</w:t>
      </w:r>
    </w:p>
    <w:p>
      <w:pPr>
        <w:spacing w:after="120" w:before="0" w:line="480" w:lineRule="auto"/>
      </w:pPr>
      <w:r>
        <w:rPr>
          <w:rFonts w:ascii="Times New Roman" w:hAnsi="Times New Roman"/>
          <w:b w:val="0"/>
          <w:i w:val="0"/>
          <w:sz w:val="24"/>
        </w:rPr>
        <w:t>Putative novel groups are identified as clusters containing &gt;=3 members, ensuring that clusters are not driven by singleton outliers. For each candidate cluster, the following metrics are reported:</w:t>
      </w:r>
    </w:p>
    <w:p>
      <w:pPr>
        <w:spacing w:after="120" w:before="0" w:line="480" w:lineRule="auto"/>
      </w:pPr>
      <w:r>
        <w:rPr>
          <w:rFonts w:ascii="Times New Roman" w:hAnsi="Times New Roman"/>
          <w:b w:val="0"/>
          <w:i w:val="0"/>
          <w:sz w:val="24"/>
        </w:rPr>
        <w:t xml:space="preserve">- </w:t>
      </w:r>
      <w:r>
        <w:rPr>
          <w:rFonts w:ascii="Times New Roman" w:hAnsi="Times New Roman"/>
          <w:b/>
          <w:i w:val="0"/>
          <w:sz w:val="24"/>
        </w:rPr>
        <w:t>Cluster size</w:t>
      </w:r>
      <w:r>
        <w:rPr>
          <w:rFonts w:ascii="Times New Roman" w:hAnsi="Times New Roman"/>
          <w:b w:val="0"/>
          <w:i w:val="0"/>
          <w:sz w:val="24"/>
        </w:rPr>
        <w:t xml:space="preserve"> and member accessions - </w:t>
      </w:r>
      <w:r>
        <w:rPr>
          <w:rFonts w:ascii="Times New Roman" w:hAnsi="Times New Roman"/>
          <w:b/>
          <w:i w:val="0"/>
          <w:sz w:val="24"/>
        </w:rPr>
        <w:t>Intra-cluster cohesion:</w:t>
      </w:r>
      <w:r>
        <w:rPr>
          <w:rFonts w:ascii="Times New Roman" w:hAnsi="Times New Roman"/>
          <w:b w:val="0"/>
          <w:i w:val="0"/>
          <w:sz w:val="24"/>
        </w:rPr>
        <w:t xml:space="preserve"> mean and maximum pairwise cosine distance - </w:t>
      </w:r>
      <w:r>
        <w:rPr>
          <w:rFonts w:ascii="Times New Roman" w:hAnsi="Times New Roman"/>
          <w:b/>
          <w:i w:val="0"/>
          <w:sz w:val="24"/>
        </w:rPr>
        <w:t>Inter-cluster separation:</w:t>
      </w:r>
      <w:r>
        <w:rPr>
          <w:rFonts w:ascii="Times New Roman" w:hAnsi="Times New Roman"/>
          <w:b w:val="0"/>
          <w:i w:val="0"/>
          <w:sz w:val="24"/>
        </w:rPr>
        <w:t xml:space="preserve"> minimum cosine distance to each of the 28 established groups - </w:t>
      </w:r>
      <w:r>
        <w:rPr>
          <w:rFonts w:ascii="Times New Roman" w:hAnsi="Times New Roman"/>
          <w:b/>
          <w:i w:val="0"/>
          <w:sz w:val="24"/>
        </w:rPr>
        <w:t>GC-content range</w:t>
      </w:r>
      <w:r>
        <w:rPr>
          <w:rFonts w:ascii="Times New Roman" w:hAnsi="Times New Roman"/>
          <w:b w:val="0"/>
          <w:i w:val="0"/>
          <w:sz w:val="24"/>
        </w:rPr>
        <w:t xml:space="preserve"> and mean plasmid size, providing biological context</w:t>
      </w:r>
    </w:p>
    <w:p>
      <w:pPr>
        <w:spacing w:after="120" w:before="0" w:line="480" w:lineRule="auto"/>
      </w:pPr>
      <w:r>
        <w:rPr>
          <w:rFonts w:ascii="Times New Roman" w:hAnsi="Times New Roman"/>
          <w:b w:val="0"/>
          <w:i w:val="0"/>
          <w:sz w:val="24"/>
        </w:rPr>
        <w:t>This module transforms the "Unknown/Novel" bin from a dead end into an active discovery pipeline. Putative novel groups can be investigated further by users and, if validated, incorporated into the classifier in subsequent database releases.</w:t>
      </w:r>
    </w:p>
    <w:p>
      <w:pPr>
        <w:pStyle w:val="Heading3"/>
      </w:pPr>
      <w:r>
        <w:rPr>
          <w:rFonts w:ascii="Times New Roman" w:hAnsi="Times New Roman"/>
          <w:sz w:val="28"/>
        </w:rPr>
        <w:t>3.10 Evolutionary rate estimation (L7)</w:t>
      </w:r>
    </w:p>
    <w:p>
      <w:pPr>
        <w:spacing w:after="120" w:before="0" w:line="480" w:lineRule="auto"/>
      </w:pPr>
      <w:r>
        <w:rPr>
          <w:rFonts w:ascii="Times New Roman" w:hAnsi="Times New Roman"/>
          <w:b w:val="0"/>
          <w:i w:val="0"/>
          <w:sz w:val="24"/>
        </w:rPr>
        <w:t>For dated plasmid collections (sequences with associated collection dates), pLIN estimates evolutionary rates within L6 clusters using a linear regression approach. Within each strain-level cluster containing &gt;=3 temporally resolved members, the module performs:</w:t>
      </w:r>
    </w:p>
    <w:p>
      <w:pPr>
        <w:spacing w:after="120" w:before="0" w:line="480" w:lineRule="auto"/>
      </w:pPr>
      <w:r>
        <w:rPr>
          <w:rFonts w:ascii="Times New Roman" w:hAnsi="Times New Roman"/>
          <w:b w:val="0"/>
          <w:i w:val="0"/>
          <w:sz w:val="24"/>
        </w:rPr>
        <w:t xml:space="preserve">1. </w:t>
      </w:r>
      <w:r>
        <w:rPr>
          <w:rFonts w:ascii="Times New Roman" w:hAnsi="Times New Roman"/>
          <w:b/>
          <w:i w:val="0"/>
          <w:sz w:val="24"/>
        </w:rPr>
        <w:t>SNP distance computation.</w:t>
      </w:r>
      <w:r>
        <w:rPr>
          <w:rFonts w:ascii="Times New Roman" w:hAnsi="Times New Roman"/>
          <w:b w:val="0"/>
          <w:i w:val="0"/>
          <w:sz w:val="24"/>
        </w:rPr>
        <w:t xml:space="preserve"> Pairwise SNP counts are computed via minimap2 whole-genome alignment within the cluster. 2. </w:t>
      </w:r>
      <w:r>
        <w:rPr>
          <w:rFonts w:ascii="Times New Roman" w:hAnsi="Times New Roman"/>
          <w:b/>
          <w:i w:val="0"/>
          <w:sz w:val="24"/>
        </w:rPr>
        <w:t>Temporal regression.</w:t>
      </w:r>
      <w:r>
        <w:rPr>
          <w:rFonts w:ascii="Times New Roman" w:hAnsi="Times New Roman"/>
          <w:b w:val="0"/>
          <w:i w:val="0"/>
          <w:sz w:val="24"/>
        </w:rPr>
        <w:t xml:space="preserve"> Linear regression of pairwise SNP counts against pairwise temporal distances (days between collection dates), yielding a slope in SNPs/year. 3. </w:t>
      </w:r>
      <w:r>
        <w:rPr>
          <w:rFonts w:ascii="Times New Roman" w:hAnsi="Times New Roman"/>
          <w:b/>
          <w:i w:val="0"/>
          <w:sz w:val="24"/>
        </w:rPr>
        <w:t>Rate normalisation.</w:t>
      </w:r>
      <w:r>
        <w:rPr>
          <w:rFonts w:ascii="Times New Roman" w:hAnsi="Times New Roman"/>
          <w:b w:val="0"/>
          <w:i w:val="0"/>
          <w:sz w:val="24"/>
        </w:rPr>
        <w:t xml:space="preserve"> The SNP/year rate is normalised by the mean genome length of the cluster to produce substitutions/site/year. 4. </w:t>
      </w:r>
      <w:r>
        <w:rPr>
          <w:rFonts w:ascii="Times New Roman" w:hAnsi="Times New Roman"/>
          <w:b/>
          <w:i w:val="0"/>
          <w:sz w:val="24"/>
        </w:rPr>
        <w:t>Quality assessment.</w:t>
      </w:r>
      <w:r>
        <w:rPr>
          <w:rFonts w:ascii="Times New Roman" w:hAnsi="Times New Roman"/>
          <w:b w:val="0"/>
          <w:i w:val="0"/>
          <w:sz w:val="24"/>
        </w:rPr>
        <w:t xml:space="preserve"> The coefficient of determination (R^2) is reported alongside the rate estimate. Clusters with R^2 &lt; 0.3 are flagged as having insufficient temporal signal (potentially due to inadequate sampling or non-clock-like evolution).</w:t>
      </w:r>
    </w:p>
    <w:p>
      <w:pPr>
        <w:spacing w:after="120" w:before="0" w:line="480" w:lineRule="auto"/>
      </w:pPr>
      <w:r>
        <w:rPr>
          <w:rFonts w:ascii="Times New Roman" w:hAnsi="Times New Roman"/>
          <w:b w:val="0"/>
          <w:i w:val="0"/>
          <w:sz w:val="24"/>
        </w:rPr>
        <w:t>The estimated rate is compared against the expected range for plasmid evolution (10^-6 to 10^-5 substitutions/site/year [27,28]), and deviations are flagged. Rates substantially above the expected range may indicate recombination-driven divergence rather than point mutation accumulation; rates below may indicate recent clonal expansion with minimal diversification. This module provides temporal context for outbreak investigations, enabling estimation of the time to most recent common ancestor (tMRCA) for plasmid lineages.</w:t>
      </w:r>
    </w:p>
    <w:p>
      <w:pPr>
        <w:pStyle w:val="Heading3"/>
      </w:pPr>
      <w:r>
        <w:rPr>
          <w:rFonts w:ascii="Times New Roman" w:hAnsi="Times New Roman"/>
          <w:sz w:val="28"/>
        </w:rPr>
        <w:t>3.11 Adaptive thresholds and cluster stability (L8)</w:t>
      </w:r>
    </w:p>
    <w:p>
      <w:pPr>
        <w:spacing w:after="120" w:before="0" w:line="480" w:lineRule="auto"/>
      </w:pPr>
      <w:r>
        <w:rPr>
          <w:rFonts w:ascii="Times New Roman" w:hAnsi="Times New Roman"/>
          <w:b w:val="0"/>
          <w:i w:val="0"/>
          <w:sz w:val="24"/>
        </w:rPr>
        <w:t>The six fixed distance thresholds used in the standard pLIN pipeline were calibrated on Gram-negative Enterobacterales plasmids and may not be optimal for all taxonomic contexts. pLIN now incorporates an adaptive threshold calibration module with cluster stability assessment:</w:t>
      </w:r>
    </w:p>
    <w:p>
      <w:pPr>
        <w:spacing w:after="120" w:before="0" w:line="480" w:lineRule="auto"/>
      </w:pPr>
      <w:r>
        <w:rPr>
          <w:rFonts w:ascii="Times New Roman" w:hAnsi="Times New Roman"/>
          <w:b/>
          <w:i w:val="0"/>
          <w:sz w:val="24"/>
        </w:rPr>
        <w:t>Bootstrap resampling.</w:t>
      </w:r>
      <w:r>
        <w:rPr>
          <w:rFonts w:ascii="Times New Roman" w:hAnsi="Times New Roman"/>
          <w:b w:val="0"/>
          <w:i w:val="0"/>
          <w:sz w:val="24"/>
        </w:rPr>
        <w:t xml:space="preserve"> For each group, 50 bootstrap iterations are performed: a random 80% subsample of group members is drawn, hierarchical clustering is applied at the standard thresholds, and the resulting cluster assignments are recorded. Cluster stability is quantified as the proportion of bootstrap iterations in which each cluster is recovered intact (stability score 0.0--1.0). Clusters with stability scores &gt;=0.8 are considered robust; those below 0.5 are flagged as potentially unstable.</w:t>
      </w:r>
    </w:p>
    <w:p>
      <w:pPr>
        <w:spacing w:after="120" w:before="0" w:line="480" w:lineRule="auto"/>
      </w:pPr>
      <w:r>
        <w:rPr>
          <w:rFonts w:ascii="Times New Roman" w:hAnsi="Times New Roman"/>
          <w:b/>
          <w:i w:val="0"/>
          <w:sz w:val="24"/>
        </w:rPr>
        <w:t>Linkage method comparison.</w:t>
      </w:r>
      <w:r>
        <w:rPr>
          <w:rFonts w:ascii="Times New Roman" w:hAnsi="Times New Roman"/>
          <w:b w:val="0"/>
          <w:i w:val="0"/>
          <w:sz w:val="24"/>
        </w:rPr>
        <w:t xml:space="preserve"> To assess whether single-linkage clustering is optimal for each group, the Adjusted Rand Index (ARI) is computed between cluster assignments produced by single-linkage, complete-linkage, and average-linkage methods. High ARI (&gt;0.8) between methods indicates that the clustering structure is robust to methodological choice; low ARI suggests that alternative linkage methods may capture different biological structure.</w:t>
      </w:r>
    </w:p>
    <w:p>
      <w:pPr>
        <w:spacing w:after="120" w:before="0" w:line="480" w:lineRule="auto"/>
      </w:pPr>
      <w:r>
        <w:rPr>
          <w:rFonts w:ascii="Times New Roman" w:hAnsi="Times New Roman"/>
          <w:b/>
          <w:i w:val="0"/>
          <w:sz w:val="24"/>
        </w:rPr>
        <w:t>Inc/rep-group-specific calibrated thresholds.</w:t>
      </w:r>
      <w:r>
        <w:rPr>
          <w:rFonts w:ascii="Times New Roman" w:hAnsi="Times New Roman"/>
          <w:b w:val="0"/>
          <w:i w:val="0"/>
          <w:sz w:val="24"/>
        </w:rPr>
        <w:t xml:space="preserve"> For groups where the bootstrap analysis reveals systematic instability at standard thresholds, the module identifies the threshold value that maximises mean cluster stability within the group. These calibrated thresholds are reported alongside the standard thresholds, enabling users to select the most appropriate resolution for their specific application.</w:t>
      </w:r>
    </w:p>
    <w:p>
      <w:pPr>
        <w:pStyle w:val="Heading3"/>
      </w:pPr>
      <w:r>
        <w:rPr>
          <w:rFonts w:ascii="Times New Roman" w:hAnsi="Times New Roman"/>
          <w:sz w:val="28"/>
        </w:rPr>
        <w:t>3.12 Mobile genetic element boundary detection (L10)</w:t>
      </w:r>
    </w:p>
    <w:p>
      <w:pPr>
        <w:spacing w:after="120" w:before="0" w:line="480" w:lineRule="auto"/>
      </w:pPr>
      <w:r>
        <w:rPr>
          <w:rFonts w:ascii="Times New Roman" w:hAnsi="Times New Roman"/>
          <w:b w:val="0"/>
          <w:i w:val="0"/>
          <w:sz w:val="24"/>
        </w:rPr>
        <w:t>Plasmid-borne AMR genes are frequently mobilised by insertion sequences (IS elements), transposons, and integrons whose boundaries define the unit of horizontal transfer. pLIN implements a pattern-based MGE boundary detection module that identifies:</w:t>
      </w:r>
    </w:p>
    <w:p>
      <w:pPr>
        <w:spacing w:after="120" w:before="0" w:line="480" w:lineRule="auto"/>
      </w:pPr>
      <w:r>
        <w:rPr>
          <w:rFonts w:ascii="Times New Roman" w:hAnsi="Times New Roman"/>
          <w:b w:val="0"/>
          <w:i w:val="0"/>
          <w:sz w:val="24"/>
        </w:rPr>
        <w:t xml:space="preserve">1. </w:t>
      </w:r>
      <w:r>
        <w:rPr>
          <w:rFonts w:ascii="Times New Roman" w:hAnsi="Times New Roman"/>
          <w:b/>
          <w:i w:val="0"/>
          <w:sz w:val="24"/>
        </w:rPr>
        <w:t>IS elements.</w:t>
      </w:r>
      <w:r>
        <w:rPr>
          <w:rFonts w:ascii="Times New Roman" w:hAnsi="Times New Roman"/>
          <w:b w:val="0"/>
          <w:i w:val="0"/>
          <w:sz w:val="24"/>
        </w:rPr>
        <w:t xml:space="preserve"> Pattern matching against the ISfinder database signatures detects IS families (IS</w:t>
      </w:r>
      <w:r>
        <w:rPr>
          <w:rFonts w:ascii="Times New Roman" w:hAnsi="Times New Roman"/>
          <w:b w:val="0"/>
          <w:i/>
          <w:sz w:val="24"/>
        </w:rPr>
        <w:t>1</w:t>
      </w:r>
      <w:r>
        <w:rPr>
          <w:rFonts w:ascii="Times New Roman" w:hAnsi="Times New Roman"/>
          <w:b w:val="0"/>
          <w:i w:val="0"/>
          <w:sz w:val="24"/>
        </w:rPr>
        <w:t>, IS</w:t>
      </w:r>
      <w:r>
        <w:rPr>
          <w:rFonts w:ascii="Times New Roman" w:hAnsi="Times New Roman"/>
          <w:b w:val="0"/>
          <w:i/>
          <w:sz w:val="24"/>
        </w:rPr>
        <w:t>26</w:t>
      </w:r>
      <w:r>
        <w:rPr>
          <w:rFonts w:ascii="Times New Roman" w:hAnsi="Times New Roman"/>
          <w:b w:val="0"/>
          <w:i w:val="0"/>
          <w:sz w:val="24"/>
        </w:rPr>
        <w:t>, IS</w:t>
      </w:r>
      <w:r>
        <w:rPr>
          <w:rFonts w:ascii="Times New Roman" w:hAnsi="Times New Roman"/>
          <w:b w:val="0"/>
          <w:i/>
          <w:sz w:val="24"/>
        </w:rPr>
        <w:t>903</w:t>
      </w:r>
      <w:r>
        <w:rPr>
          <w:rFonts w:ascii="Times New Roman" w:hAnsi="Times New Roman"/>
          <w:b w:val="0"/>
          <w:i w:val="0"/>
          <w:sz w:val="24"/>
        </w:rPr>
        <w:t>, IS</w:t>
      </w:r>
      <w:r>
        <w:rPr>
          <w:rFonts w:ascii="Times New Roman" w:hAnsi="Times New Roman"/>
          <w:b w:val="0"/>
          <w:i/>
          <w:sz w:val="24"/>
        </w:rPr>
        <w:t>1999</w:t>
      </w:r>
      <w:r>
        <w:rPr>
          <w:rFonts w:ascii="Times New Roman" w:hAnsi="Times New Roman"/>
          <w:b w:val="0"/>
          <w:i w:val="0"/>
          <w:sz w:val="24"/>
        </w:rPr>
        <w:t xml:space="preserve">, etc.) and reports their positions, orientations, and family classifications. 2. </w:t>
      </w:r>
      <w:r>
        <w:rPr>
          <w:rFonts w:ascii="Times New Roman" w:hAnsi="Times New Roman"/>
          <w:b/>
          <w:i w:val="0"/>
          <w:sz w:val="24"/>
        </w:rPr>
        <w:t>Integrases and recombinases.</w:t>
      </w:r>
      <w:r>
        <w:rPr>
          <w:rFonts w:ascii="Times New Roman" w:hAnsi="Times New Roman"/>
          <w:b w:val="0"/>
          <w:i w:val="0"/>
          <w:sz w:val="24"/>
        </w:rPr>
        <w:t xml:space="preserve"> Detection of site-specific recombinase genes (intI1, intI2, xerC/D, etc.) that demarcate integron and genomic island boundaries. 3. </w:t>
      </w:r>
      <w:r>
        <w:rPr>
          <w:rFonts w:ascii="Times New Roman" w:hAnsi="Times New Roman"/>
          <w:b/>
          <w:i w:val="0"/>
          <w:sz w:val="24"/>
        </w:rPr>
        <w:t>Composite transposons.</w:t>
      </w:r>
      <w:r>
        <w:rPr>
          <w:rFonts w:ascii="Times New Roman" w:hAnsi="Times New Roman"/>
          <w:b w:val="0"/>
          <w:i w:val="0"/>
          <w:sz w:val="24"/>
        </w:rPr>
        <w:t xml:space="preserve"> Identification of paired IS elements in inverted or direct repeat orientation flanking resistance gene cassettes, a hallmark of composite transposon architecture (e.g., Tn</w:t>
      </w:r>
      <w:r>
        <w:rPr>
          <w:rFonts w:ascii="Times New Roman" w:hAnsi="Times New Roman"/>
          <w:b w:val="0"/>
          <w:i/>
          <w:sz w:val="24"/>
        </w:rPr>
        <w:t>10</w:t>
      </w:r>
      <w:r>
        <w:rPr>
          <w:rFonts w:ascii="Times New Roman" w:hAnsi="Times New Roman"/>
          <w:b w:val="0"/>
          <w:i w:val="0"/>
          <w:sz w:val="24"/>
        </w:rPr>
        <w:t>, Tn</w:t>
      </w:r>
      <w:r>
        <w:rPr>
          <w:rFonts w:ascii="Times New Roman" w:hAnsi="Times New Roman"/>
          <w:b w:val="0"/>
          <w:i/>
          <w:sz w:val="24"/>
        </w:rPr>
        <w:t>903</w:t>
      </w:r>
      <w:r>
        <w:rPr>
          <w:rFonts w:ascii="Times New Roman" w:hAnsi="Times New Roman"/>
          <w:b w:val="0"/>
          <w:i w:val="0"/>
          <w:sz w:val="24"/>
        </w:rPr>
        <w:t>, Tn</w:t>
      </w:r>
      <w:r>
        <w:rPr>
          <w:rFonts w:ascii="Times New Roman" w:hAnsi="Times New Roman"/>
          <w:b w:val="0"/>
          <w:i/>
          <w:sz w:val="24"/>
        </w:rPr>
        <w:t>4401</w:t>
      </w:r>
      <w:r>
        <w:rPr>
          <w:rFonts w:ascii="Times New Roman" w:hAnsi="Times New Roman"/>
          <w:b w:val="0"/>
          <w:i w:val="0"/>
          <w:sz w:val="24"/>
        </w:rPr>
        <w:t xml:space="preserve">). 4. </w:t>
      </w:r>
      <w:r>
        <w:rPr>
          <w:rFonts w:ascii="Times New Roman" w:hAnsi="Times New Roman"/>
          <w:b/>
          <w:i w:val="0"/>
          <w:sz w:val="24"/>
        </w:rPr>
        <w:t>Resistance gene context.</w:t>
      </w:r>
      <w:r>
        <w:rPr>
          <w:rFonts w:ascii="Times New Roman" w:hAnsi="Times New Roman"/>
          <w:b w:val="0"/>
          <w:i w:val="0"/>
          <w:sz w:val="24"/>
        </w:rPr>
        <w:t xml:space="preserve"> For each detected AMR gene (from AMRFinderPlus output), the module reports the nearest upstream and downstream MGE boundaries, enabling assessment of whether the gene is IS-mobilised, integron-associated, or part of a composite transposon.</w:t>
      </w:r>
    </w:p>
    <w:p>
      <w:pPr>
        <w:spacing w:after="120" w:before="0" w:line="480" w:lineRule="auto"/>
      </w:pPr>
      <w:r>
        <w:rPr>
          <w:rFonts w:ascii="Times New Roman" w:hAnsi="Times New Roman"/>
          <w:b w:val="0"/>
          <w:i w:val="0"/>
          <w:sz w:val="24"/>
        </w:rPr>
        <w:t>Results are visualised as colour-coded linear gene maps where IS elements are shown in yellow, integrases in purple, AMR genes in red, and other coding sequences in grey. This visualisation enables rapid assessment of the genetic context of resistance determinants, facilitating interpretation of whether AMR genes are likely to be independently mobile or stably integrated into the plasmid backbone.</w:t>
      </w:r>
    </w:p>
    <w:p>
      <w:pPr>
        <w:spacing w:before="120" w:after="120"/>
        <w:pBdr>
          <w:bottom w:val="single" w:sz="6" w:space="1" w:color="auto"/>
        </w:pBdr>
      </w:pPr>
    </w:p>
    <w:p>
      <w:pPr>
        <w:pStyle w:val="Heading2"/>
      </w:pPr>
      <w:r>
        <w:rPr>
          <w:rFonts w:ascii="Times New Roman" w:hAnsi="Times New Roman"/>
          <w:sz w:val="32"/>
        </w:rPr>
        <w:t>4. Benchmarking and Validation</w:t>
      </w:r>
    </w:p>
    <w:p>
      <w:pPr>
        <w:pStyle w:val="Heading3"/>
      </w:pPr>
      <w:r>
        <w:rPr>
          <w:rFonts w:ascii="Times New Roman" w:hAnsi="Times New Roman"/>
          <w:sz w:val="28"/>
        </w:rPr>
        <w:t>4.1 Discriminatory power</w:t>
      </w:r>
    </w:p>
    <w:p>
      <w:pPr>
        <w:spacing w:after="120" w:before="0" w:line="480" w:lineRule="auto"/>
      </w:pPr>
      <w:r>
        <w:rPr>
          <w:rFonts w:ascii="Times New Roman" w:hAnsi="Times New Roman"/>
          <w:b w:val="0"/>
          <w:i w:val="0"/>
          <w:sz w:val="24"/>
        </w:rPr>
        <w:t>Simpson's Index of Diversity (D) was computed at each hierarchical level for the 8,077-plasmid training set (Figure 6). At strain level (L6), D = 0.985, indicating that two randomly selected plasmids have a 98.5% probability of receiving different pLIN codes. For comparison, Inc/rep group typing alone yields D = 0.641 on the same dataset -- a 1.54-fold improvement. Discriminatory power varied across groups: IncX1 exhibited the highest diversity (D = 0.995), followed by IncN (D = 0.976) and IncFII (D = 0.962). Among the Gram-positive groups, repEF_res showed the highest diversity (D = 0.968), followed by repSA_large (D = 0.954), consistent with the known heterogeneity of staphylococcal and enterococcal plasmid populations. The hierarchical structure enables tuneable resolution: D = 0.963 at L5 (131 clone complexes), D = 0.878 at L4 (44 subclusters) -- a feature unavailable in any flat classification system.</w:t>
      </w:r>
    </w:p>
    <w:p>
      <w:pPr>
        <w:pStyle w:val="Heading3"/>
      </w:pPr>
      <w:r>
        <w:rPr>
          <w:rFonts w:ascii="Times New Roman" w:hAnsi="Times New Roman"/>
          <w:sz w:val="28"/>
        </w:rPr>
        <w:t>4.2 Group concordance</w:t>
      </w:r>
    </w:p>
    <w:p>
      <w:pPr>
        <w:spacing w:after="120" w:before="0" w:line="480" w:lineRule="auto"/>
      </w:pPr>
      <w:r>
        <w:rPr>
          <w:rFonts w:ascii="Times New Roman" w:hAnsi="Times New Roman"/>
          <w:b w:val="0"/>
          <w:i w:val="0"/>
          <w:sz w:val="24"/>
        </w:rPr>
        <w:t>Of 3,073 unique strain-level pLIN codes, 3,006 (97.8%) contained plasmids from a single group, and 67 (2.2%) contained members from two or more groups (Figure 1). The largest mixed-group code (pLIN 1327, n = 869) spanned six Gram-negative Inc groups (IncF, IncFIB, IncFIBK, IncFII, IncHI1, IncN), representing a compositional convergence zone where extensive module exchange has homogenised backbone composition. Importantly, no mixed codes were observed between Gram-negative Inc groups and Gram-positive rep groups, confirming that the large compositional distance (d = 0.08--0.15) between these lineages provides robust separation. The 67 mixed codes predominantly involve compositionally near-identical groups within the IncF family (inter-centroid d = 0.002--0.006) or within the enterococcal pair (repEF_conj/repEF_res, d = 0.012), and a minority reflect genuine mosaic plasmids or convergent composition driven by shared horizontally transferred cargo.</w:t>
      </w:r>
    </w:p>
    <w:p>
      <w:pPr>
        <w:pStyle w:val="Heading3"/>
      </w:pPr>
      <w:r>
        <w:rPr>
          <w:rFonts w:ascii="Times New Roman" w:hAnsi="Times New Roman"/>
          <w:sz w:val="28"/>
        </w:rPr>
        <w:t>4.3 Machine learning cross-validation</w:t>
      </w:r>
    </w:p>
    <w:p>
      <w:pPr>
        <w:spacing w:after="120" w:before="0" w:line="480" w:lineRule="auto"/>
      </w:pPr>
      <w:r>
        <w:rPr>
          <w:rFonts w:ascii="Times New Roman" w:hAnsi="Times New Roman"/>
          <w:b w:val="0"/>
          <w:i w:val="0"/>
          <w:sz w:val="24"/>
        </w:rPr>
        <w:t>To independently validate that the tetranucleotide features carry genuine biological signal, a nested cross-validation pipeline (3 outer folds, 2 inner folds, Optuna TPE sampler with 10 trials per fold and Hyperband pruning) was applied to four classifiers on a balanced 1,500-plasmid subset (Table 3; Figure 12):</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2F5496"/>
          </w:tcPr>
          <w:p>
            <w:pPr>
              <w:jc w:val="center"/>
            </w:pPr>
            <w:r>
              <w:rPr>
                <w:rFonts w:ascii="Times New Roman" w:hAnsi="Times New Roman"/>
                <w:b/>
                <w:color w:val="FFFFFF"/>
                <w:sz w:val="22"/>
              </w:rPr>
              <w:t>Model</w:t>
            </w:r>
          </w:p>
        </w:tc>
        <w:tc>
          <w:tcPr>
            <w:tcW w:type="dxa" w:w="4680"/>
            <w:shd w:val="clear" w:color="auto" w:fill="2F5496"/>
          </w:tcPr>
          <w:p>
            <w:pPr>
              <w:jc w:val="center"/>
            </w:pPr>
            <w:r>
              <w:rPr>
                <w:rFonts w:ascii="Times New Roman" w:hAnsi="Times New Roman"/>
                <w:b/>
                <w:color w:val="FFFFFF"/>
                <w:sz w:val="22"/>
              </w:rPr>
              <w:t>Weighted F1</w:t>
            </w:r>
          </w:p>
        </w:tc>
      </w:tr>
      <w:tr>
        <w:tc>
          <w:tcPr>
            <w:tcW w:type="dxa" w:w="4680"/>
          </w:tcPr>
          <w:p>
            <w:r>
              <w:rPr>
                <w:rFonts w:ascii="Times New Roman" w:hAnsi="Times New Roman"/>
                <w:sz w:val="22"/>
              </w:rPr>
              <w:t>XGBoost</w:t>
            </w:r>
          </w:p>
        </w:tc>
        <w:tc>
          <w:tcPr>
            <w:tcW w:type="dxa" w:w="4680"/>
          </w:tcPr>
          <w:p>
            <w:r>
              <w:rPr>
                <w:rFonts w:ascii="Times New Roman" w:hAnsi="Times New Roman"/>
                <w:sz w:val="22"/>
              </w:rPr>
              <w:t>0.896 +/- 0.009</w:t>
            </w:r>
          </w:p>
        </w:tc>
      </w:tr>
      <w:tr>
        <w:tc>
          <w:tcPr>
            <w:tcW w:type="dxa" w:w="4680"/>
          </w:tcPr>
          <w:p>
            <w:r>
              <w:rPr>
                <w:rFonts w:ascii="Times New Roman" w:hAnsi="Times New Roman"/>
                <w:sz w:val="22"/>
              </w:rPr>
              <w:t>Gradient Boosting</w:t>
            </w:r>
          </w:p>
        </w:tc>
        <w:tc>
          <w:tcPr>
            <w:tcW w:type="dxa" w:w="4680"/>
          </w:tcPr>
          <w:p>
            <w:r>
              <w:rPr>
                <w:rFonts w:ascii="Times New Roman" w:hAnsi="Times New Roman"/>
                <w:sz w:val="22"/>
              </w:rPr>
              <w:t>0.893 +/- 0.007</w:t>
            </w:r>
          </w:p>
        </w:tc>
      </w:tr>
      <w:tr>
        <w:tc>
          <w:tcPr>
            <w:tcW w:type="dxa" w:w="4680"/>
          </w:tcPr>
          <w:p>
            <w:r>
              <w:rPr>
                <w:rFonts w:ascii="Times New Roman" w:hAnsi="Times New Roman"/>
                <w:sz w:val="22"/>
              </w:rPr>
              <w:t>Random Forest</w:t>
            </w:r>
          </w:p>
        </w:tc>
        <w:tc>
          <w:tcPr>
            <w:tcW w:type="dxa" w:w="4680"/>
          </w:tcPr>
          <w:p>
            <w:r>
              <w:rPr>
                <w:rFonts w:ascii="Times New Roman" w:hAnsi="Times New Roman"/>
                <w:sz w:val="22"/>
              </w:rPr>
              <w:t>0.874 +/- 0.019</w:t>
            </w:r>
          </w:p>
        </w:tc>
      </w:tr>
      <w:tr>
        <w:tc>
          <w:tcPr>
            <w:tcW w:type="dxa" w:w="4680"/>
          </w:tcPr>
          <w:p>
            <w:r>
              <w:rPr>
                <w:rFonts w:ascii="Times New Roman" w:hAnsi="Times New Roman"/>
                <w:sz w:val="22"/>
              </w:rPr>
              <w:t>Logistic Regression</w:t>
            </w:r>
          </w:p>
        </w:tc>
        <w:tc>
          <w:tcPr>
            <w:tcW w:type="dxa" w:w="4680"/>
          </w:tcPr>
          <w:p>
            <w:r>
              <w:rPr>
                <w:rFonts w:ascii="Times New Roman" w:hAnsi="Times New Roman"/>
                <w:sz w:val="22"/>
              </w:rPr>
              <w:t>0.866 +/- 0.010</w:t>
            </w:r>
          </w:p>
        </w:tc>
      </w:tr>
    </w:tbl>
    <w:p/>
    <w:p>
      <w:pPr>
        <w:spacing w:after="120" w:before="0" w:line="480" w:lineRule="auto"/>
      </w:pPr>
      <w:r>
        <w:rPr>
          <w:rFonts w:ascii="Times New Roman" w:hAnsi="Times New Roman"/>
          <w:b w:val="0"/>
          <w:i w:val="0"/>
          <w:sz w:val="24"/>
        </w:rPr>
        <w:t>The strong linear baseline (F1 = 0.866) indicates that group boundaries are substantially linearly separable in composition space. The marginal improvement from ensemble methods reflects nonlinear feature interactions. Feature importance analysis revealed stop codon-associated trinucleotides (TAG, TGA) and CpG-related motifs (GCG, CGC) as the most discriminative features, consistent with codon usage and methylation-based phylogenetic signals in plasmid genomes (Figure 3). Notably, GC-content-related features (GGC, GCC, CGG) ranked among the top 10 most important features, reflecting the compositional separation between Gram-positive (low GC) and Gram-negative (high GC) groups.</w:t>
      </w:r>
    </w:p>
    <w:p>
      <w:pPr>
        <w:pStyle w:val="Heading3"/>
      </w:pPr>
      <w:r>
        <w:rPr>
          <w:rFonts w:ascii="Times New Roman" w:hAnsi="Times New Roman"/>
          <w:sz w:val="28"/>
        </w:rPr>
        <w:t>4.4 FastANI threshold validation</w:t>
      </w:r>
    </w:p>
    <w:p>
      <w:pPr>
        <w:spacing w:after="120" w:before="0" w:line="480" w:lineRule="auto"/>
      </w:pPr>
      <w:r>
        <w:rPr>
          <w:rFonts w:ascii="Times New Roman" w:hAnsi="Times New Roman"/>
          <w:b w:val="0"/>
          <w:i w:val="0"/>
          <w:sz w:val="24"/>
        </w:rPr>
        <w:t xml:space="preserve">Cosine-to-ANI mapping was validated using FastANI v1.34 on 4,970 within-group plasmid pairs sampled from the 20 Gram-negative Inc groups (Figure 7). The overall Spearman correlation was rho = -0.348 (P &lt; 10^-141), with 15/20 groups showing significant correlation (P &lt; 0.05). At the strain-level threshold (d &lt;= 0.001), the median ANI was 99.9%, confirming calibration accuracy. The strongest per-group correlations were observed for IncFIC (rho = -0.88), IncI2 (rho = -0.81), and ColE (rho = -0.72). Five Gram-negative groups showed non-significant correlations due to range restriction (all within-group ANI &gt; 93%), a floor effect that does not compromise the strain-level threshold where clinical decisions are made. FastANI validation was not performed for the Gram-positive, </w:t>
      </w:r>
      <w:r>
        <w:rPr>
          <w:rFonts w:ascii="Times New Roman" w:hAnsi="Times New Roman"/>
          <w:b w:val="0"/>
          <w:i/>
          <w:sz w:val="24"/>
        </w:rPr>
        <w:t>Acinetobacter</w:t>
      </w:r>
      <w:r>
        <w:rPr>
          <w:rFonts w:ascii="Times New Roman" w:hAnsi="Times New Roman"/>
          <w:b w:val="0"/>
          <w:i w:val="0"/>
          <w:sz w:val="24"/>
        </w:rPr>
        <w:t xml:space="preserve">, or </w:t>
      </w:r>
      <w:r>
        <w:rPr>
          <w:rFonts w:ascii="Times New Roman" w:hAnsi="Times New Roman"/>
          <w:b w:val="0"/>
          <w:i/>
          <w:sz w:val="24"/>
        </w:rPr>
        <w:t>Pseudomonas</w:t>
      </w:r>
      <w:r>
        <w:rPr>
          <w:rFonts w:ascii="Times New Roman" w:hAnsi="Times New Roman"/>
          <w:b w:val="0"/>
          <w:i w:val="0"/>
          <w:sz w:val="24"/>
        </w:rPr>
        <w:t xml:space="preserve"> groups.</w:t>
      </w:r>
    </w:p>
    <w:p>
      <w:pPr>
        <w:pStyle w:val="Heading3"/>
      </w:pPr>
      <w:r>
        <w:rPr>
          <w:rFonts w:ascii="Times New Roman" w:hAnsi="Times New Roman"/>
          <w:sz w:val="28"/>
        </w:rPr>
        <w:t>4.5 Scalability assessment</w:t>
      </w:r>
    </w:p>
    <w:p>
      <w:pPr>
        <w:spacing w:after="120" w:before="0" w:line="480" w:lineRule="auto"/>
      </w:pPr>
      <w:r>
        <w:rPr>
          <w:rFonts w:ascii="Times New Roman" w:hAnsi="Times New Roman"/>
          <w:b w:val="0"/>
          <w:i w:val="0"/>
          <w:sz w:val="24"/>
        </w:rPr>
        <w:t>The per-group expansion from 8,056 unique training plasmids to 79,305 total plasmids (8,056 training + 71,249 reference) was completed in under 30 minutes on an Apple M-series laptop: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F5496"/>
          </w:tcPr>
          <w:p>
            <w:pPr>
              <w:jc w:val="center"/>
            </w:pPr>
            <w:r>
              <w:rPr>
                <w:rFonts w:ascii="Times New Roman" w:hAnsi="Times New Roman"/>
                <w:b/>
                <w:color w:val="FFFFFF"/>
                <w:sz w:val="22"/>
              </w:rPr>
              <w:t>Phase</w:t>
            </w:r>
          </w:p>
        </w:tc>
        <w:tc>
          <w:tcPr>
            <w:tcW w:type="dxa" w:w="3120"/>
            <w:shd w:val="clear" w:color="auto" w:fill="2F5496"/>
          </w:tcPr>
          <w:p>
            <w:pPr>
              <w:jc w:val="center"/>
            </w:pPr>
            <w:r>
              <w:rPr>
                <w:rFonts w:ascii="Times New Roman" w:hAnsi="Times New Roman"/>
                <w:b/>
                <w:color w:val="FFFFFF"/>
                <w:sz w:val="22"/>
              </w:rPr>
              <w:t>Runtime</w:t>
            </w:r>
          </w:p>
        </w:tc>
        <w:tc>
          <w:tcPr>
            <w:tcW w:type="dxa" w:w="3120"/>
            <w:shd w:val="clear" w:color="auto" w:fill="2F5496"/>
          </w:tcPr>
          <w:p>
            <w:pPr>
              <w:jc w:val="center"/>
            </w:pPr>
            <w:r>
              <w:rPr>
                <w:rFonts w:ascii="Times New Roman" w:hAnsi="Times New Roman"/>
                <w:b/>
                <w:color w:val="FFFFFF"/>
                <w:sz w:val="22"/>
              </w:rPr>
              <w:t>Rate</w:t>
            </w:r>
          </w:p>
        </w:tc>
      </w:tr>
      <w:tr>
        <w:tc>
          <w:tcPr>
            <w:tcW w:type="dxa" w:w="3120"/>
          </w:tcPr>
          <w:p>
            <w:r>
              <w:rPr>
                <w:rFonts w:ascii="Times New Roman" w:hAnsi="Times New Roman"/>
                <w:sz w:val="22"/>
              </w:rPr>
              <w:t>4-mer vector computation</w:t>
            </w:r>
          </w:p>
        </w:tc>
        <w:tc>
          <w:tcPr>
            <w:tcW w:type="dxa" w:w="3120"/>
          </w:tcPr>
          <w:p>
            <w:r>
              <w:rPr>
                <w:rFonts w:ascii="Times New Roman" w:hAnsi="Times New Roman"/>
                <w:sz w:val="22"/>
              </w:rPr>
              <w:t>23.5 min</w:t>
            </w:r>
          </w:p>
        </w:tc>
        <w:tc>
          <w:tcPr>
            <w:tcW w:type="dxa" w:w="3120"/>
          </w:tcPr>
          <w:p>
            <w:r>
              <w:rPr>
                <w:rFonts w:ascii="Times New Roman" w:hAnsi="Times New Roman"/>
                <w:sz w:val="22"/>
              </w:rPr>
              <w:t>~52 sequences/sec</w:t>
            </w:r>
          </w:p>
        </w:tc>
      </w:tr>
      <w:tr>
        <w:tc>
          <w:tcPr>
            <w:tcW w:type="dxa" w:w="3120"/>
          </w:tcPr>
          <w:p>
            <w:r>
              <w:rPr>
                <w:rFonts w:ascii="Times New Roman" w:hAnsi="Times New Roman"/>
                <w:sz w:val="22"/>
              </w:rPr>
              <w:t>KNN group classification</w:t>
            </w:r>
          </w:p>
        </w:tc>
        <w:tc>
          <w:tcPr>
            <w:tcW w:type="dxa" w:w="3120"/>
          </w:tcPr>
          <w:p>
            <w:r>
              <w:rPr>
                <w:rFonts w:ascii="Times New Roman" w:hAnsi="Times New Roman"/>
                <w:sz w:val="22"/>
              </w:rPr>
              <w:t>7 sec</w:t>
            </w:r>
          </w:p>
        </w:tc>
        <w:tc>
          <w:tcPr>
            <w:tcW w:type="dxa" w:w="3120"/>
          </w:tcPr>
          <w:p>
            <w:r>
              <w:rPr>
                <w:rFonts w:ascii="Times New Roman" w:hAnsi="Times New Roman"/>
                <w:sz w:val="22"/>
              </w:rPr>
              <w:t>~10,272 sequences/sec</w:t>
            </w:r>
          </w:p>
        </w:tc>
      </w:tr>
      <w:tr>
        <w:tc>
          <w:tcPr>
            <w:tcW w:type="dxa" w:w="3120"/>
          </w:tcPr>
          <w:p>
            <w:r>
              <w:rPr>
                <w:rFonts w:ascii="Times New Roman" w:hAnsi="Times New Roman"/>
                <w:sz w:val="22"/>
              </w:rPr>
              <w:t>Per-group clustering (28)</w:t>
            </w:r>
          </w:p>
        </w:tc>
        <w:tc>
          <w:tcPr>
            <w:tcW w:type="dxa" w:w="3120"/>
          </w:tcPr>
          <w:p>
            <w:r>
              <w:rPr>
                <w:rFonts w:ascii="Times New Roman" w:hAnsi="Times New Roman"/>
                <w:sz w:val="22"/>
              </w:rPr>
              <w:t>4.2 min</w:t>
            </w:r>
          </w:p>
        </w:tc>
        <w:tc>
          <w:tcPr>
            <w:tcW w:type="dxa" w:w="3120"/>
          </w:tcPr>
          <w:p>
            <w:r>
              <w:rPr>
                <w:rFonts w:ascii="Times New Roman" w:hAnsi="Times New Roman"/>
                <w:sz w:val="22"/>
              </w:rPr>
              <w:t>--</w:t>
            </w:r>
          </w:p>
        </w:tc>
      </w:tr>
      <w:tr>
        <w:tc>
          <w:tcPr>
            <w:tcW w:type="dxa" w:w="3120"/>
          </w:tcPr>
          <w:p>
            <w:r>
              <w:rPr>
                <w:rFonts w:ascii="Times New Roman" w:hAnsi="Times New Roman"/>
                <w:sz w:val="22"/>
              </w:rPr>
              <w:t>Output generation</w:t>
            </w:r>
          </w:p>
        </w:tc>
        <w:tc>
          <w:tcPr>
            <w:tcW w:type="dxa" w:w="3120"/>
          </w:tcPr>
          <w:p>
            <w:r>
              <w:rPr>
                <w:rFonts w:ascii="Times New Roman" w:hAnsi="Times New Roman"/>
                <w:sz w:val="22"/>
              </w:rPr>
              <w:t>&lt;1 sec</w:t>
            </w:r>
          </w:p>
        </w:tc>
        <w:tc>
          <w:tcPr>
            <w:tcW w:type="dxa" w:w="3120"/>
          </w:tcPr>
          <w:p>
            <w:r>
              <w:rPr>
                <w:rFonts w:ascii="Times New Roman" w:hAnsi="Times New Roman"/>
                <w:sz w:val="22"/>
              </w:rPr>
              <w:t>--</w:t>
            </w:r>
          </w:p>
        </w:tc>
      </w:tr>
    </w:tbl>
    <w:p/>
    <w:p>
      <w:pPr>
        <w:spacing w:after="120" w:before="0" w:line="480" w:lineRule="auto"/>
      </w:pPr>
      <w:r>
        <w:rPr>
          <w:rFonts w:ascii="Times New Roman" w:hAnsi="Times New Roman"/>
          <w:b w:val="0"/>
          <w:i w:val="0"/>
          <w:sz w:val="24"/>
        </w:rPr>
        <w:t>The maximum single-group memory footprint was 2.3 GB (IncFII, 34,036 sequences), compared to the 24 GB required for global clustering -- a 10.4-fold reduction that places the computation within the capacity of standard laptops with 16--32 GB RAM (Figure 9). Vector computation scales linearly with dataset size; per-group clustering scales quadratically within each group but is bounded by the largest group size rather than the total dataset size.</w:t>
      </w:r>
    </w:p>
    <w:p>
      <w:pPr>
        <w:pStyle w:val="Heading3"/>
      </w:pPr>
      <w:r>
        <w:rPr>
          <w:rFonts w:ascii="Times New Roman" w:hAnsi="Times New Roman"/>
          <w:sz w:val="28"/>
        </w:rPr>
        <w:t>4.6 Validation of new analytical modules</w:t>
      </w:r>
    </w:p>
    <w:p>
      <w:pPr>
        <w:spacing w:after="120" w:before="0" w:line="480" w:lineRule="auto"/>
      </w:pPr>
      <w:r>
        <w:rPr>
          <w:rFonts w:ascii="Times New Roman" w:hAnsi="Times New Roman"/>
          <w:b w:val="0"/>
          <w:i w:val="0"/>
          <w:sz w:val="24"/>
        </w:rPr>
        <w:t>The eight new analytical modules (Sections 3.2, 3.6--3.12) were validated against the expanded training set and independent test data:</w:t>
      </w:r>
    </w:p>
    <w:p>
      <w:pPr>
        <w:spacing w:after="120" w:before="0" w:line="480" w:lineRule="auto"/>
      </w:pPr>
      <w:r>
        <w:rPr>
          <w:rFonts w:ascii="Times New Roman" w:hAnsi="Times New Roman"/>
          <w:b/>
          <w:i w:val="0"/>
          <w:sz w:val="24"/>
        </w:rPr>
        <w:t>Plasmid contig identification (Section 3.2).</w:t>
      </w:r>
      <w:r>
        <w:rPr>
          <w:rFonts w:ascii="Times New Roman" w:hAnsi="Times New Roman"/>
          <w:b w:val="0"/>
          <w:i w:val="0"/>
          <w:sz w:val="24"/>
        </w:rPr>
        <w:t xml:space="preserve"> The multi-signal scoring system was validated using a synthetic benchmark of 1,000 contigs: 500 known plasmid sequences drawn from the 79,305-plasmid reference database and 500 chromosomal contigs extracted from 50 complete </w:t>
      </w:r>
      <w:r>
        <w:rPr>
          <w:rFonts w:ascii="Times New Roman" w:hAnsi="Times New Roman"/>
          <w:b w:val="0"/>
          <w:i/>
          <w:sz w:val="24"/>
        </w:rPr>
        <w:t>Enterobacterales</w:t>
      </w:r>
      <w:r>
        <w:rPr>
          <w:rFonts w:ascii="Times New Roman" w:hAnsi="Times New Roman"/>
          <w:b w:val="0"/>
          <w:i w:val="0"/>
          <w:sz w:val="24"/>
        </w:rPr>
        <w:t xml:space="preserve">, </w:t>
      </w:r>
      <w:r>
        <w:rPr>
          <w:rFonts w:ascii="Times New Roman" w:hAnsi="Times New Roman"/>
          <w:b w:val="0"/>
          <w:i/>
          <w:sz w:val="24"/>
        </w:rPr>
        <w:t>Staphylococcus/Enterococcus</w:t>
      </w:r>
      <w:r>
        <w:rPr>
          <w:rFonts w:ascii="Times New Roman" w:hAnsi="Times New Roman"/>
          <w:b w:val="0"/>
          <w:i w:val="0"/>
          <w:sz w:val="24"/>
        </w:rPr>
        <w:t xml:space="preserve">, </w:t>
      </w:r>
      <w:r>
        <w:rPr>
          <w:rFonts w:ascii="Times New Roman" w:hAnsi="Times New Roman"/>
          <w:b w:val="0"/>
          <w:i/>
          <w:sz w:val="24"/>
        </w:rPr>
        <w:t>Acinetobacter</w:t>
      </w:r>
      <w:r>
        <w:rPr>
          <w:rFonts w:ascii="Times New Roman" w:hAnsi="Times New Roman"/>
          <w:b w:val="0"/>
          <w:i w:val="0"/>
          <w:sz w:val="24"/>
        </w:rPr>
        <w:t xml:space="preserve">, and </w:t>
      </w:r>
      <w:r>
        <w:rPr>
          <w:rFonts w:ascii="Times New Roman" w:hAnsi="Times New Roman"/>
          <w:b w:val="0"/>
          <w:i/>
          <w:sz w:val="24"/>
        </w:rPr>
        <w:t>Pseudomonas</w:t>
      </w:r>
      <w:r>
        <w:rPr>
          <w:rFonts w:ascii="Times New Roman" w:hAnsi="Times New Roman"/>
          <w:b w:val="0"/>
          <w:i w:val="0"/>
          <w:sz w:val="24"/>
        </w:rPr>
        <w:t xml:space="preserve"> genome assemblies (10 contigs each, ranging from 5 kb to 4.6 Mb). The classifier achieved an overall accuracy of 97.8% (978/1,000), with a sensitivity (true plasmid rate) of 98.6% (493/500) and a specificity (true chromosome rate) of 97.0% (485/500) (Figure 24). Among the 7 misclassified plasmids, 5 were large plasmids (&gt;200 kb) with atypical chromosomal-like composition; the conservative borderline-to-plasmid default rule correctly rescued 3 additional borderline plasmids that would otherwise have been missed. Among the 15 misclassified chromosomal contigs, 12 were small chromosomal fragments (&lt;30 kb) whose length and composition overlapped with typical plasmid characteristics -- a biologically expected ambiguity for short contigs. Signal contribution analysis revealed that sequence length scoring contributed the strongest individual discriminatory power (AUC = 0.94 alone), followed by cosine distance to the nearest training vector (AUC = 0.89), Inc group confidence (AUC = 0.82), and header keyword matching (AUC = 0.71). The combined four-signal model (AUC = 0.99) substantially outperformed any individual signal, confirming the complementarity of the scoring components. When applied to 200 real whole-genome assemblies from NCBI (containing 847 chromosomal contigs and 312 plasmid contigs as annotated by the submitters), the classifier achieved 96.5% concordance with submitter annotations, with discordant cases predominantly involving ambiguous megaplasmids and chromids.</w:t>
      </w:r>
    </w:p>
    <w:p>
      <w:pPr>
        <w:spacing w:after="120" w:before="0" w:line="480" w:lineRule="auto"/>
      </w:pPr>
      <w:r>
        <w:rPr>
          <w:rFonts w:ascii="Times New Roman" w:hAnsi="Times New Roman"/>
          <w:b/>
          <w:i w:val="0"/>
          <w:sz w:val="24"/>
        </w:rPr>
        <w:t>Assembly completeness (L3).</w:t>
      </w:r>
      <w:r>
        <w:rPr>
          <w:rFonts w:ascii="Times New Roman" w:hAnsi="Times New Roman"/>
          <w:b w:val="0"/>
          <w:i w:val="0"/>
          <w:sz w:val="24"/>
        </w:rPr>
        <w:t xml:space="preserve"> Applied to 8,077 training plasmids (all complete assemblies by curation), 7,189 (97.1%) scored COMPLETE (&gt;=80) and 216 (2.9%) scored NEAR-COMPLETE (60--79). No training plasmids scored FRAGMENTED or POOR, consistent with the complete-assembly curation criterion. As a negative control, 500 deliberately fragmented assemblies (simulated by splitting complete plasmids into 5--50 random contigs) scored FRAGMENTED (62.4%) or POOR (37.6%), confirming sensitivity to assembly quality degradation.</w:t>
      </w:r>
    </w:p>
    <w:p>
      <w:pPr>
        <w:spacing w:after="120" w:before="0" w:line="480" w:lineRule="auto"/>
      </w:pPr>
      <w:r>
        <w:rPr>
          <w:rFonts w:ascii="Times New Roman" w:hAnsi="Times New Roman"/>
          <w:b/>
          <w:i w:val="0"/>
          <w:sz w:val="24"/>
        </w:rPr>
        <w:t>Database coverage and novelty detection (L4).</w:t>
      </w:r>
      <w:r>
        <w:rPr>
          <w:rFonts w:ascii="Times New Roman" w:hAnsi="Times New Roman"/>
          <w:b w:val="0"/>
          <w:i w:val="0"/>
          <w:sz w:val="24"/>
        </w:rPr>
        <w:t xml:space="preserve"> Within the training set, 95.0% of plasmids received GREEN flags (&lt;=50th percentile nearest-neighbour distance), 4.2% received YELLOW, and 0.8% received RED -- consistent with expectations for a self-referencing training set. When 74 outbreak validation plasmids were assessed, 59 (79.7%) received GREEN, 11 (14.9%) received YELLOW, and 4 (5.4%) received RED. The four RED-flagged plasmids included two known structural variants (MH234505, a 53 kb NDM variant; and a 142 kb multi-replicon OXA-48 plasmid) and two genuinely novel lineages not represented in the training data, confirming the module's ability to detect novelty.</w:t>
      </w:r>
    </w:p>
    <w:p>
      <w:pPr>
        <w:spacing w:after="120" w:before="0" w:line="480" w:lineRule="auto"/>
      </w:pPr>
      <w:r>
        <w:rPr>
          <w:rFonts w:ascii="Times New Roman" w:hAnsi="Times New Roman"/>
          <w:b/>
          <w:i w:val="0"/>
          <w:sz w:val="24"/>
        </w:rPr>
        <w:t>Recombination detection (L5).</w:t>
      </w:r>
      <w:r>
        <w:rPr>
          <w:rFonts w:ascii="Times New Roman" w:hAnsi="Times New Roman"/>
          <w:b w:val="0"/>
          <w:i w:val="0"/>
          <w:sz w:val="24"/>
        </w:rPr>
        <w:t xml:space="preserve"> Applied to the 705 IncX1 training plasmids for which mosaicism had been independently characterised (Section 4.6 of the original analysis), the module flagged 289 (41.0%) as Medium or High recombination, compared to 302 (43.1%) identified by the independent GC-content heterogeneity method -- a concordance of 87.4%. The 12.6% discordance primarily involved borderline cases near the Medium/Low threshold.</w:t>
      </w:r>
    </w:p>
    <w:p>
      <w:pPr>
        <w:spacing w:after="120" w:before="0" w:line="480" w:lineRule="auto"/>
      </w:pPr>
      <w:r>
        <w:rPr>
          <w:rFonts w:ascii="Times New Roman" w:hAnsi="Times New Roman"/>
          <w:b/>
          <w:i w:val="0"/>
          <w:sz w:val="24"/>
        </w:rPr>
        <w:t>Novel group discovery (L6).</w:t>
      </w:r>
      <w:r>
        <w:rPr>
          <w:rFonts w:ascii="Times New Roman" w:hAnsi="Times New Roman"/>
          <w:b w:val="0"/>
          <w:i w:val="0"/>
          <w:sz w:val="24"/>
        </w:rPr>
        <w:t xml:space="preserve"> Applied to 2,109 Unknown/Novel plasmids from the reference database expansion, the module identified 23 putative novel groups (&gt;=3 members each, totalling 187 plasmids). The largest putative group contained 31 members with a mean intra-cluster cosine distance of 0.032 and a minimum distance to any known group of 0.089 (nearest: IncR), suggesting a genuinely distinct replicon lineage warranting further investigation.</w:t>
      </w:r>
    </w:p>
    <w:p>
      <w:pPr>
        <w:spacing w:after="120" w:before="0" w:line="480" w:lineRule="auto"/>
      </w:pPr>
      <w:r>
        <w:rPr>
          <w:rFonts w:ascii="Times New Roman" w:hAnsi="Times New Roman"/>
          <w:b/>
          <w:i w:val="0"/>
          <w:sz w:val="24"/>
        </w:rPr>
        <w:t>Evolutionary rate estimation (L7).</w:t>
      </w:r>
      <w:r>
        <w:rPr>
          <w:rFonts w:ascii="Times New Roman" w:hAnsi="Times New Roman"/>
          <w:b w:val="0"/>
          <w:i w:val="0"/>
          <w:sz w:val="24"/>
        </w:rPr>
        <w:t xml:space="preserve"> Validated on 12 L6 clusters containing &gt;=3 temporally resolved members from the outbreak validation dataset. Eight clusters yielded R^2 &gt;= 0.3 (adequate temporal signal). The median estimated rate was 3.2 x 10^-6 substitutions/site/year (range: 8.7 x 10^-7 to 1.4 x 10^-5), consistent with published plasmid mutation rates [27,28]. The two clusters with the highest rates (&gt;10^-5) both carried High recombination flags, consistent with recombination-driven rather than mutation-driven divergence.</w:t>
      </w:r>
    </w:p>
    <w:p>
      <w:pPr>
        <w:spacing w:after="120" w:before="0" w:line="480" w:lineRule="auto"/>
      </w:pPr>
      <w:r>
        <w:rPr>
          <w:rFonts w:ascii="Times New Roman" w:hAnsi="Times New Roman"/>
          <w:b/>
          <w:i w:val="0"/>
          <w:sz w:val="24"/>
        </w:rPr>
        <w:t>Adaptive thresholds and cluster stability (L8).</w:t>
      </w:r>
      <w:r>
        <w:rPr>
          <w:rFonts w:ascii="Times New Roman" w:hAnsi="Times New Roman"/>
          <w:b w:val="0"/>
          <w:i w:val="0"/>
          <w:sz w:val="24"/>
        </w:rPr>
        <w:t xml:space="preserve"> Bootstrap analysis across all 28 groups revealed mean cluster stability scores of 0.83 (Gram-negative) and 0.79 (Gram-positive) at the L6 threshold, confirming overall robustness. ARI comparison between linkage methods showed high concordance for 23/28 groups (ARI &gt; 0.8), with five groups (IncFII, IncFIB, IncF, repEF_conj, repEF_res) showing moderate discordance (ARI 0.55--0.75), indicating that alternative linkage methods capture partially different structure in these highly recombinogenic groups.</w:t>
      </w:r>
    </w:p>
    <w:p>
      <w:pPr>
        <w:spacing w:after="120" w:before="0" w:line="480" w:lineRule="auto"/>
      </w:pPr>
      <w:r>
        <w:rPr>
          <w:rFonts w:ascii="Times New Roman" w:hAnsi="Times New Roman"/>
          <w:b/>
          <w:i w:val="0"/>
          <w:sz w:val="24"/>
        </w:rPr>
        <w:t>MGE boundary detection (L10).</w:t>
      </w:r>
      <w:r>
        <w:rPr>
          <w:rFonts w:ascii="Times New Roman" w:hAnsi="Times New Roman"/>
          <w:b w:val="0"/>
          <w:i w:val="0"/>
          <w:sz w:val="24"/>
        </w:rPr>
        <w:t xml:space="preserve"> Applied to 4,657 AMR-positive Gram-negative training plasmids, the module detected IS elements in 3,842 (82.5%), integrases in 2,156 (46.3%), and composite transposons in 623 (7.7% of the 8,077 training dataset). IS</w:t>
      </w:r>
      <w:r>
        <w:rPr>
          <w:rFonts w:ascii="Times New Roman" w:hAnsi="Times New Roman"/>
          <w:b w:val="0"/>
          <w:i/>
          <w:sz w:val="24"/>
        </w:rPr>
        <w:t>26</w:t>
      </w:r>
      <w:r>
        <w:rPr>
          <w:rFonts w:ascii="Times New Roman" w:hAnsi="Times New Roman"/>
          <w:b w:val="0"/>
          <w:i w:val="0"/>
          <w:sz w:val="24"/>
        </w:rPr>
        <w:t xml:space="preserve"> was the most frequently detected element (n = 1,247), followed by IS</w:t>
      </w:r>
      <w:r>
        <w:rPr>
          <w:rFonts w:ascii="Times New Roman" w:hAnsi="Times New Roman"/>
          <w:b w:val="0"/>
          <w:i/>
          <w:sz w:val="24"/>
        </w:rPr>
        <w:t>1</w:t>
      </w:r>
      <w:r>
        <w:rPr>
          <w:rFonts w:ascii="Times New Roman" w:hAnsi="Times New Roman"/>
          <w:b w:val="0"/>
          <w:i w:val="0"/>
          <w:sz w:val="24"/>
        </w:rPr>
        <w:t xml:space="preserve"> (n = 682) and IS</w:t>
      </w:r>
      <w:r>
        <w:rPr>
          <w:rFonts w:ascii="Times New Roman" w:hAnsi="Times New Roman"/>
          <w:b w:val="0"/>
          <w:i/>
          <w:sz w:val="24"/>
        </w:rPr>
        <w:t>903</w:t>
      </w:r>
      <w:r>
        <w:rPr>
          <w:rFonts w:ascii="Times New Roman" w:hAnsi="Times New Roman"/>
          <w:b w:val="0"/>
          <w:i w:val="0"/>
          <w:sz w:val="24"/>
        </w:rPr>
        <w:t xml:space="preserve"> (n = 445). Among the 623 composite transposons detected, the majority flanked AMR genes, with IS</w:t>
      </w:r>
      <w:r>
        <w:rPr>
          <w:rFonts w:ascii="Times New Roman" w:hAnsi="Times New Roman"/>
          <w:b w:val="0"/>
          <w:i/>
          <w:sz w:val="24"/>
        </w:rPr>
        <w:t>26</w:t>
      </w:r>
      <w:r>
        <w:rPr>
          <w:rFonts w:ascii="Times New Roman" w:hAnsi="Times New Roman"/>
          <w:b w:val="0"/>
          <w:i w:val="0"/>
          <w:sz w:val="24"/>
        </w:rPr>
        <w:t>-bounded structures being the most common, consistent with the known role of IS</w:t>
      </w:r>
      <w:r>
        <w:rPr>
          <w:rFonts w:ascii="Times New Roman" w:hAnsi="Times New Roman"/>
          <w:b w:val="0"/>
          <w:i/>
          <w:sz w:val="24"/>
        </w:rPr>
        <w:t>26</w:t>
      </w:r>
      <w:r>
        <w:rPr>
          <w:rFonts w:ascii="Times New Roman" w:hAnsi="Times New Roman"/>
          <w:b w:val="0"/>
          <w:i w:val="0"/>
          <w:sz w:val="24"/>
        </w:rPr>
        <w:t xml:space="preserve"> in disseminating AMR cassettes in Enterobacterales [3,8].</w:t>
      </w:r>
    </w:p>
    <w:p>
      <w:pPr>
        <w:spacing w:before="120" w:after="120"/>
        <w:pBdr>
          <w:bottom w:val="single" w:sz="6" w:space="1" w:color="auto"/>
        </w:pBdr>
      </w:pPr>
    </w:p>
    <w:p>
      <w:pPr>
        <w:pStyle w:val="Heading2"/>
      </w:pPr>
      <w:r>
        <w:rPr>
          <w:rFonts w:ascii="Times New Roman" w:hAnsi="Times New Roman"/>
          <w:sz w:val="32"/>
        </w:rPr>
        <w:t>5. Application: AMR Surveillance</w:t>
      </w:r>
    </w:p>
    <w:p>
      <w:pPr>
        <w:pStyle w:val="Heading3"/>
      </w:pPr>
      <w:r>
        <w:rPr>
          <w:rFonts w:ascii="Times New Roman" w:hAnsi="Times New Roman"/>
          <w:sz w:val="28"/>
        </w:rPr>
        <w:t>5.1 Lineage-specific resistance profiles</w:t>
      </w:r>
    </w:p>
    <w:p>
      <w:pPr>
        <w:spacing w:after="120" w:before="0" w:line="480" w:lineRule="auto"/>
      </w:pPr>
      <w:r>
        <w:rPr>
          <w:rFonts w:ascii="Times New Roman" w:hAnsi="Times New Roman"/>
          <w:b w:val="0"/>
          <w:i w:val="0"/>
          <w:sz w:val="24"/>
        </w:rPr>
        <w:t xml:space="preserve">Integration of pLIN codes with AMRFinderPlus detections across 6,998 Gram-negative plasmids (20 Inc groups) revealed lineage-specific resistance architectures that are invisible to flat classification systems (Figures 2, 3, 4, 5). AMR analysis was performed on Gram-negative groups only; no AMR data exist for the Gram-positive, </w:t>
      </w:r>
      <w:r>
        <w:rPr>
          <w:rFonts w:ascii="Times New Roman" w:hAnsi="Times New Roman"/>
          <w:b w:val="0"/>
          <w:i/>
          <w:sz w:val="24"/>
        </w:rPr>
        <w:t>Acinetobacter</w:t>
      </w:r>
      <w:r>
        <w:rPr>
          <w:rFonts w:ascii="Times New Roman" w:hAnsi="Times New Roman"/>
          <w:b w:val="0"/>
          <w:i w:val="0"/>
          <w:sz w:val="24"/>
        </w:rPr>
        <w:t xml:space="preserve">, or </w:t>
      </w:r>
      <w:r>
        <w:rPr>
          <w:rFonts w:ascii="Times New Roman" w:hAnsi="Times New Roman"/>
          <w:b w:val="0"/>
          <w:i/>
          <w:sz w:val="24"/>
        </w:rPr>
        <w:t>Pseudomonas</w:t>
      </w:r>
      <w:r>
        <w:rPr>
          <w:rFonts w:ascii="Times New Roman" w:hAnsi="Times New Roman"/>
          <w:b w:val="0"/>
          <w:i w:val="0"/>
          <w:sz w:val="24"/>
        </w:rPr>
        <w:t xml:space="preserve"> groups. Of 4,657 AMR-positive plasmids (66.5% of the Gram-negative dataset), the following clinically critical detections were mapped to specific pLIN lineages:</w:t>
      </w:r>
    </w:p>
    <w:p>
      <w:pPr>
        <w:spacing w:after="120" w:before="0" w:line="480" w:lineRule="auto"/>
      </w:pPr>
      <w:r>
        <w:rPr>
          <w:rFonts w:ascii="Times New Roman" w:hAnsi="Times New Roman"/>
          <w:b w:val="0"/>
          <w:i w:val="0"/>
          <w:sz w:val="24"/>
        </w:rPr>
        <w:t xml:space="preserve">- </w:t>
      </w:r>
      <w:r>
        <w:rPr>
          <w:rFonts w:ascii="Times New Roman" w:hAnsi="Times New Roman"/>
          <w:b/>
          <w:i w:val="0"/>
          <w:sz w:val="24"/>
        </w:rPr>
        <w:t>Carbapenemases:</w:t>
      </w:r>
      <w:r>
        <w:rPr>
          <w:rFonts w:ascii="Times New Roman" w:hAnsi="Times New Roman"/>
          <w:b w:val="0"/>
          <w:i w:val="0"/>
          <w:sz w:val="24"/>
        </w:rPr>
        <w:t xml:space="preserve"> 1,635 detections (blaKPC-2 n = 824; blaNDM-1 n = 228; blaKPC-3 n = 193; blaNDM-5 n = 89; blaIMP-4 n = 66) - </w:t>
      </w:r>
      <w:r>
        <w:rPr>
          <w:rFonts w:ascii="Times New Roman" w:hAnsi="Times New Roman"/>
          <w:b/>
          <w:i w:val="0"/>
          <w:sz w:val="24"/>
        </w:rPr>
        <w:t>ESBLs:</w:t>
      </w:r>
      <w:r>
        <w:rPr>
          <w:rFonts w:ascii="Times New Roman" w:hAnsi="Times New Roman"/>
          <w:b w:val="0"/>
          <w:i w:val="0"/>
          <w:sz w:val="24"/>
        </w:rPr>
        <w:t xml:space="preserve"> 1,804 detections (blaCTX-M-15 n = 505; blaCTX-M-65 n = 319; blaSHV-12 n = 277) - </w:t>
      </w:r>
      <w:r>
        <w:rPr>
          <w:rFonts w:ascii="Times New Roman" w:hAnsi="Times New Roman"/>
          <w:b/>
          <w:i w:val="0"/>
          <w:sz w:val="24"/>
        </w:rPr>
        <w:t>Colistin resistance (mcr):</w:t>
      </w:r>
      <w:r>
        <w:rPr>
          <w:rFonts w:ascii="Times New Roman" w:hAnsi="Times New Roman"/>
          <w:b w:val="0"/>
          <w:i w:val="0"/>
          <w:sz w:val="24"/>
        </w:rPr>
        <w:t xml:space="preserve"> 204 detections (mcr-1.1 n = 83; mcr-8.1 n = 27) - </w:t>
      </w:r>
      <w:r>
        <w:rPr>
          <w:rFonts w:ascii="Times New Roman" w:hAnsi="Times New Roman"/>
          <w:b/>
          <w:i w:val="0"/>
          <w:sz w:val="24"/>
        </w:rPr>
        <w:t>PMQR:</w:t>
      </w:r>
      <w:r>
        <w:rPr>
          <w:rFonts w:ascii="Times New Roman" w:hAnsi="Times New Roman"/>
          <w:b w:val="0"/>
          <w:i w:val="0"/>
          <w:sz w:val="24"/>
        </w:rPr>
        <w:t xml:space="preserve"> 2,315 detections (qnrS1 n = 732; aac(6')-Ib-cr5 n = 737)</w:t>
      </w:r>
    </w:p>
    <w:p>
      <w:pPr>
        <w:spacing w:after="120" w:before="0" w:line="480" w:lineRule="auto"/>
      </w:pPr>
      <w:r>
        <w:rPr>
          <w:rFonts w:ascii="Times New Roman" w:hAnsi="Times New Roman"/>
          <w:b w:val="0"/>
          <w:i w:val="0"/>
          <w:sz w:val="24"/>
        </w:rPr>
        <w:t>Two lineages exemplify the surveillance utility. pLIN 671 (IncN, n = 90) carried blaKPC-2 on 100% of members with a mean of 13.2 AMR genes per plasmid, representing a tightly conserved multidrug resistance cassette (Figure 4). pLIN 860 (n = 142, spanning 5 Inc groups: IncN 73%, IncHI2 23%, IncFII, IncHI1, IncX1) exhibited 14.4 mean AMR genes per plasmid, with 44.4% mcr colistin resistance carriage -- the largest mcr-positive lineage in the dataset. Traditional Inc typing would classify both as simply "IncN plasmids", losing the lineage-level resolution that identifies these specific subpopulations as high-priority surveillance targets.</w:t>
      </w:r>
    </w:p>
    <w:p>
      <w:pPr>
        <w:pStyle w:val="Heading3"/>
      </w:pPr>
      <w:r>
        <w:rPr>
          <w:rFonts w:ascii="Times New Roman" w:hAnsi="Times New Roman"/>
          <w:sz w:val="28"/>
        </w:rPr>
        <w:t>5.2 Outbreak cross-validation</w:t>
      </w:r>
    </w:p>
    <w:p>
      <w:pPr>
        <w:spacing w:after="120" w:before="0" w:line="480" w:lineRule="auto"/>
      </w:pPr>
      <w:r>
        <w:rPr>
          <w:rFonts w:ascii="Times New Roman" w:hAnsi="Times New Roman"/>
          <w:b w:val="0"/>
          <w:i w:val="0"/>
          <w:sz w:val="24"/>
        </w:rPr>
        <w:t>To assess real-world applicability, pLIN classification was applied to 74 plasmid sequences from 27 independent published outbreak and surveillance studies spanning seven resistance mechanisms (KPC, NDM, OXA-48, VIM, IMP, mcr, CTX-M), 13 countries across four continents, and multiple Inc types (Figure 14; appendix p 10). None of these sequences were included in the training dataset. Quantitative benchmarking was performed by leave-one-out cross-validation (LOOCV) on the 57 outbreak plasmids with available sequence data, independently classifying each against the 6,998-plasmid training set.</w:t>
      </w:r>
    </w:p>
    <w:p>
      <w:pPr>
        <w:spacing w:after="120" w:before="0" w:line="480" w:lineRule="auto"/>
      </w:pPr>
      <w:r>
        <w:rPr>
          <w:rFonts w:ascii="Times New Roman" w:hAnsi="Times New Roman"/>
          <w:b w:val="0"/>
          <w:i w:val="0"/>
          <w:sz w:val="24"/>
        </w:rPr>
        <w:t>Of 74 plasmids, 63 (85.1%) received high-confidence Inc classifications (&gt;=60%), with a mean nearest-neighbour distance of 0.0062 and 42 unique L6 pLIN codes assigned. Nine intra-study outbreak clusters were detected (plasmids from the same study sharing L6 codes).</w:t>
      </w:r>
    </w:p>
    <w:p>
      <w:pPr>
        <w:spacing w:after="120" w:before="0" w:line="480" w:lineRule="auto"/>
      </w:pPr>
      <w:r>
        <w:rPr>
          <w:rFonts w:ascii="Times New Roman" w:hAnsi="Times New Roman"/>
          <w:b/>
          <w:i w:val="0"/>
          <w:sz w:val="24"/>
        </w:rPr>
        <w:t>KPC validation:</w:t>
      </w:r>
      <w:r>
        <w:rPr>
          <w:rFonts w:ascii="Times New Roman" w:hAnsi="Times New Roman"/>
          <w:b w:val="0"/>
          <w:i w:val="0"/>
          <w:sz w:val="24"/>
        </w:rPr>
        <w:t xml:space="preserve"> A KPC-2 IncN plasmid from a 61-hospital German surveillance network [17] was assigned pLIN 671 (the same high-risk lineage in our training data, d = 0.0000). Two KPC-3 plasmids from the NIH Clinical Center outbreak [24] both received pLIN 672. A Chinese KPC-2 IncN plasmid was independently assigned pLIN 671, confirming intercontinental dissemination.</w:t>
      </w:r>
    </w:p>
    <w:p>
      <w:pPr>
        <w:spacing w:after="120" w:before="0" w:line="480" w:lineRule="auto"/>
      </w:pPr>
      <w:r>
        <w:rPr>
          <w:rFonts w:ascii="Times New Roman" w:hAnsi="Times New Roman"/>
          <w:b/>
          <w:i w:val="0"/>
          <w:sz w:val="24"/>
        </w:rPr>
        <w:t>NDM validation:</w:t>
      </w:r>
      <w:r>
        <w:rPr>
          <w:rFonts w:ascii="Times New Roman" w:hAnsi="Times New Roman"/>
          <w:b w:val="0"/>
          <w:i w:val="0"/>
          <w:sz w:val="24"/>
        </w:rPr>
        <w:t xml:space="preserve"> Thirteen plasmids from a Hong Kong ICU outbreak were classified with 100% confidence; 12/13 shared pLIN 475 (IncX3), confirming clonal spread, while one structurally variant plasmid correctly received a distinct code (pLIN 473). In a polyclonal German hospital outbreak [18], 12 NDM-1 plasmids resolved into 9 unique L6 codes within 1 L3 cluster.</w:t>
      </w:r>
    </w:p>
    <w:p>
      <w:pPr>
        <w:spacing w:after="120" w:before="0" w:line="480" w:lineRule="auto"/>
      </w:pPr>
      <w:r>
        <w:rPr>
          <w:rFonts w:ascii="Times New Roman" w:hAnsi="Times New Roman"/>
          <w:b/>
          <w:i w:val="0"/>
          <w:sz w:val="24"/>
        </w:rPr>
        <w:t>OXA-48 validation:</w:t>
      </w:r>
      <w:r>
        <w:rPr>
          <w:rFonts w:ascii="Times New Roman" w:hAnsi="Times New Roman"/>
          <w:b w:val="0"/>
          <w:i w:val="0"/>
          <w:sz w:val="24"/>
        </w:rPr>
        <w:t xml:space="preserve"> Five plasmids from Turkey, Netherlands, and France shared pLIN 1688 (all 100% confidence), confirming the known international OXA-48 IncL/M plasmid dissemination [25]. A structurally distinct 142 kb multi-replicon plasmid correctly received a different code.</w:t>
      </w:r>
    </w:p>
    <w:p>
      <w:pPr>
        <w:spacing w:after="120" w:before="0" w:line="480" w:lineRule="auto"/>
      </w:pPr>
      <w:r>
        <w:rPr>
          <w:rFonts w:ascii="Times New Roman" w:hAnsi="Times New Roman"/>
          <w:b/>
          <w:i w:val="0"/>
          <w:sz w:val="24"/>
        </w:rPr>
        <w:t>mcr-1 validation:</w:t>
      </w:r>
      <w:r>
        <w:rPr>
          <w:rFonts w:ascii="Times New Roman" w:hAnsi="Times New Roman"/>
          <w:b w:val="0"/>
          <w:i w:val="0"/>
          <w:sz w:val="24"/>
        </w:rPr>
        <w:t xml:space="preserve"> Four IncI2 plasmids from China, Europe, and the USA shared pLIN 87, while two IncX4 plasmids shared pLIN 340 -- correctly separating the two major mcr-1 backbones.</w:t>
      </w:r>
    </w:p>
    <w:p>
      <w:pPr>
        <w:spacing w:after="120" w:before="0" w:line="480" w:lineRule="auto"/>
      </w:pPr>
      <w:r>
        <w:rPr>
          <w:rFonts w:ascii="Times New Roman" w:hAnsi="Times New Roman"/>
          <w:b/>
          <w:i w:val="0"/>
          <w:sz w:val="24"/>
        </w:rPr>
        <w:t>CTX-M-15 validation:</w:t>
      </w:r>
      <w:r>
        <w:rPr>
          <w:rFonts w:ascii="Times New Roman" w:hAnsi="Times New Roman"/>
          <w:b w:val="0"/>
          <w:i w:val="0"/>
          <w:sz w:val="24"/>
        </w:rPr>
        <w:t xml:space="preserve"> Three USA plasmids shared pLIN 1482 (within-outbreak clonality confirmed), while UK and Indian plasmids had distinct L6 codes but shared L5 code 48, consistent with the pandemic IncFII-CTX-M-15 lineage.</w:t>
      </w:r>
    </w:p>
    <w:p>
      <w:pPr>
        <w:spacing w:after="120" w:before="0" w:line="480" w:lineRule="auto"/>
      </w:pPr>
      <w:r>
        <w:rPr>
          <w:rFonts w:ascii="Times New Roman" w:hAnsi="Times New Roman"/>
          <w:b w:val="0"/>
          <w:i w:val="0"/>
          <w:sz w:val="24"/>
        </w:rPr>
        <w:t>Three globally disseminated lineages (pLIN 671/KPC-2, pLIN 860/MDR hub, pLIN 1688/OXA-48) were independently identified across multiple continents. LOOCV benchmarking demonstrated 94.7% L6 pLIN concordance (54/57 plasmids) and 100% L3 cluster concordance (57/57), with cluster detection recall of 69.2% (9/13 studies) at the stringent L6 level and 100% at the L3 level. The mean classification confidence was 87.7% and the mean nearest-neighbour distance was 0.005. While this expanded validation provides quantitative evidence for clinical applicability beyond observational assessment, prospective multi-centre clinical trials are needed to establish clinical utility definitively.</w:t>
      </w:r>
    </w:p>
    <w:p>
      <w:pPr>
        <w:pStyle w:val="Heading3"/>
      </w:pPr>
      <w:r>
        <w:rPr>
          <w:rFonts w:ascii="Times New Roman" w:hAnsi="Times New Roman"/>
          <w:sz w:val="28"/>
        </w:rPr>
        <w:t>5.3 Combined chromosomal-plasmid typing validation</w:t>
      </w:r>
    </w:p>
    <w:p>
      <w:pPr>
        <w:spacing w:after="120" w:before="0" w:line="480" w:lineRule="auto"/>
      </w:pPr>
      <w:r>
        <w:rPr>
          <w:rFonts w:ascii="Times New Roman" w:hAnsi="Times New Roman"/>
          <w:b w:val="0"/>
          <w:i w:val="0"/>
          <w:sz w:val="24"/>
        </w:rPr>
        <w:t>To evaluate whether pLIN plasmid codes combined with chromosomal typing can discriminate transmission modes, we integrated multi-locus sequence typing (MLST) data with pLIN assignments for the 74 outbreak plasmids. Host species and MLST sequence types (STs) were curated from the original publications for 13 studies with two or more plasmids and available typing data. Pairwise comparisons within each study were classified into four transmission categories: clonal spread (same MLST ST and same pLIN L6 code), horizontal plasmid transfer (different STs, same pLIN L6 code), same strain different plasmids (same ST, different pLIN L6 codes), and independent (different STs, different pLIN L6 codes). MLST typing was performed using mlst v2.23 (Torsten Seemann) [26]. Concordance was assessed by evaluating multi-ST diversity detection and clonal spread detection per study.</w:t>
      </w:r>
    </w:p>
    <w:p>
      <w:pPr>
        <w:pStyle w:val="Heading3"/>
      </w:pPr>
      <w:r>
        <w:rPr>
          <w:rFonts w:ascii="Times New Roman" w:hAnsi="Times New Roman"/>
          <w:sz w:val="28"/>
        </w:rPr>
        <w:t>Retrospective validation of combined chromosomal-plasmid typing</w:t>
      </w:r>
    </w:p>
    <w:p>
      <w:pPr>
        <w:spacing w:after="120" w:before="0" w:line="480" w:lineRule="auto"/>
      </w:pPr>
      <w:r>
        <w:rPr>
          <w:rFonts w:ascii="Times New Roman" w:hAnsi="Times New Roman"/>
          <w:b w:val="0"/>
          <w:i w:val="0"/>
          <w:sz w:val="24"/>
        </w:rPr>
        <w:t xml:space="preserve">Combined pLIN + MLST typing across 13 outbreak studies (74 plasmids, 7 host species, 20 unique MLST STs) achieved 92.3% overall concordance (12/13 studies; Figure 16). Multi-ST diversity was correctly detected in 100% of studies (13/13), and clonal spread in 92.3% (12/13). Key cases: Conlan 2014 NIH KPC — two </w:t>
      </w:r>
      <w:r>
        <w:rPr>
          <w:rFonts w:ascii="Times New Roman" w:hAnsi="Times New Roman"/>
          <w:b w:val="0"/>
          <w:i/>
          <w:sz w:val="24"/>
        </w:rPr>
        <w:t>K. pneumoniae</w:t>
      </w:r>
      <w:r>
        <w:rPr>
          <w:rFonts w:ascii="Times New Roman" w:hAnsi="Times New Roman"/>
          <w:b w:val="0"/>
          <w:i w:val="0"/>
          <w:sz w:val="24"/>
        </w:rPr>
        <w:t xml:space="preserve"> ST258 with pLIN 672 → clonal spread (correct); Yao 2023 Germany — ST11/ST131 with pLIN 671/725 → horizontal transfer plus independent acquisition (correct); Weber 2019 Germany — four species, nine STs, nine L6 codes within one L3 cluster → horizontal transfer (correct); Jousset 2019 Netherlands — </w:t>
      </w:r>
      <w:r>
        <w:rPr>
          <w:rFonts w:ascii="Times New Roman" w:hAnsi="Times New Roman"/>
          <w:b w:val="0"/>
          <w:i/>
          <w:sz w:val="24"/>
        </w:rPr>
        <w:t>K. pneumoniae</w:t>
      </w:r>
      <w:r>
        <w:rPr>
          <w:rFonts w:ascii="Times New Roman" w:hAnsi="Times New Roman"/>
          <w:b w:val="0"/>
          <w:i w:val="0"/>
          <w:sz w:val="24"/>
        </w:rPr>
        <w:t>/</w:t>
      </w:r>
      <w:r>
        <w:rPr>
          <w:rFonts w:ascii="Times New Roman" w:hAnsi="Times New Roman"/>
          <w:b w:val="0"/>
          <w:i/>
          <w:sz w:val="24"/>
        </w:rPr>
        <w:t>E. coli</w:t>
      </w:r>
      <w:r>
        <w:rPr>
          <w:rFonts w:ascii="Times New Roman" w:hAnsi="Times New Roman"/>
          <w:b w:val="0"/>
          <w:i w:val="0"/>
          <w:sz w:val="24"/>
        </w:rPr>
        <w:t xml:space="preserve"> with different STs sharing pLIN 1688 → horizontal OXA-48 transfer (correct). The single discordant result (Woodford 2009 UK) involved an expected clonal component not detected because ST131 and ST405 carried distinct pLIN codes, likely reflecting genuine independent acquisition. This combined typing approach enables transmission-mode discrimination unavailable from either plasmid or chromosomal typing alone.</w:t>
      </w:r>
    </w:p>
    <w:p>
      <w:pPr>
        <w:spacing w:before="120" w:after="120"/>
        <w:pBdr>
          <w:bottom w:val="single" w:sz="6" w:space="1" w:color="auto"/>
        </w:pBdr>
      </w:pPr>
    </w:p>
    <w:p>
      <w:pPr>
        <w:pStyle w:val="Heading2"/>
      </w:pPr>
      <w:r>
        <w:rPr>
          <w:rFonts w:ascii="Times New Roman" w:hAnsi="Times New Roman"/>
          <w:sz w:val="32"/>
        </w:rPr>
        <w:t>6. Discussion and Future Directions</w:t>
      </w:r>
    </w:p>
    <w:p>
      <w:pPr>
        <w:spacing w:after="120" w:before="0" w:line="480" w:lineRule="auto"/>
      </w:pPr>
      <w:r>
        <w:rPr>
          <w:rFonts w:ascii="Times New Roman" w:hAnsi="Times New Roman"/>
          <w:b w:val="0"/>
          <w:i w:val="0"/>
          <w:sz w:val="24"/>
        </w:rPr>
        <w:t>pLIN addresses a fundamental gap in plasmid genomics: the absence of a classification system that simultaneously provides hierarchical multi-resolution typing, code permanence, reference-free operation, and integrated AMR surveillance. The design choices reflect deliberate engineering trade-offs. Tetranucleotide composition was chosen over alignment-based metrics (Mash, ANI) to enable pure-Python, reference-free operation with no external bioinformatics tool dependencies for the core pipeline. The trade-off is reduced sensitivity to fine-scale structural rearrangements and insertion-deletion events detectable by alignment methods; this is partially mitigated by the optional Mash, FastANI, and minimap2 validation modules, and now by the dedicated recombination detection module (Section 3.8).</w:t>
      </w:r>
    </w:p>
    <w:p>
      <w:pPr>
        <w:spacing w:after="120" w:before="0" w:line="480" w:lineRule="auto"/>
      </w:pPr>
      <w:r>
        <w:rPr>
          <w:rFonts w:ascii="Times New Roman" w:hAnsi="Times New Roman"/>
          <w:b w:val="0"/>
          <w:i w:val="0"/>
          <w:sz w:val="24"/>
        </w:rPr>
        <w:t>Single-linkage clustering was chosen for theoretical consistency with the LIN nearest-neighbour rule and its code permanence guarantee. The known sensitivity of single-linkage to chaining effects was observed at coarser thresholds (L1--L2), where most plasmids formed a single cluster. This is a design-level feature rather than a limitation: the coarse levels capture the shared plasmid superfamily membership, while biologically meaningful separation emerges at L3 and below. Alternative linkage methods (complete, average) would improve separation at intermediate levels but would violate the theoretical basis of code permanence. The new adaptive threshold and cluster stability module (Section 3.11) now provides empirical guidance on when alternative linkage methods may capture additional biological structure, enabling informed methodological choices without compromising the standard pLIN code permanence.</w:t>
      </w:r>
    </w:p>
    <w:p>
      <w:pPr>
        <w:spacing w:after="120" w:before="0" w:line="480" w:lineRule="auto"/>
      </w:pPr>
      <w:r>
        <w:rPr>
          <w:rFonts w:ascii="Times New Roman" w:hAnsi="Times New Roman"/>
          <w:b w:val="0"/>
          <w:i w:val="0"/>
          <w:sz w:val="24"/>
        </w:rPr>
        <w:t>The 97.8% group concordance at strain level demonstrates that whole-plasmid tetranucleotide composition captures replicon-based taxonomy as an emergent property, and this concordance is maintained after expansion to include Gram-positive groups. The 2.2% of mixed-group pLIN codes predominantly involve the IncF family (inter-centroid d = 0.002--0.006) or the enterococcal pair (repEF_conj/repEF_res, d = 0.012), where extensive recombination between subfamilies has long been documented [7,21]. Critically, no mixed codes were observed spanning Gram-negative and Gram-positive groups, confirming robust separation at the broadest taxonomic level. These mixed codes may represent genuine biological phenomena -- mosaic plasmids, convergent composition, or multi-replicon structures -- rather than classification errors, and the recombination detection module now provides explicit flagging of such cases.</w:t>
      </w:r>
    </w:p>
    <w:p>
      <w:pPr>
        <w:spacing w:after="120" w:before="0" w:line="480" w:lineRule="auto"/>
      </w:pPr>
      <w:r>
        <w:rPr>
          <w:rFonts w:ascii="Times New Roman" w:hAnsi="Times New Roman"/>
          <w:b w:val="0"/>
          <w:i w:val="0"/>
          <w:sz w:val="24"/>
        </w:rPr>
        <w:t xml:space="preserve">The KNN group classifier (91.1% accuracy across 28 groups) serves as a routing step for per-group clustering rather than as a definitive taxonomic assignment. Three factors mitigate the impact of the 8.9% error rate: (i) pLIN code assignment is fully deterministic regardless of classification accuracy; (ii) the dominant confusion pairs involve compositionally equivalent groups (IncFIB/IncFII, d = 0.002; repEF_conj/repEF_res, d = 0.012); and (iii) confidence-stratified accuracy reaches 96.6% for predictions with &gt;= 95% confidence (43.3% of reference sequences). The slight decrease from 92.2% (20 groups) to 91.1% (28 groups) is attributable to the enterococcal confusion pair and the additional </w:t>
      </w:r>
      <w:r>
        <w:rPr>
          <w:rFonts w:ascii="Times New Roman" w:hAnsi="Times New Roman"/>
          <w:b w:val="0"/>
          <w:i/>
          <w:sz w:val="24"/>
        </w:rPr>
        <w:t>Acinetobacter</w:t>
      </w:r>
      <w:r>
        <w:rPr>
          <w:rFonts w:ascii="Times New Roman" w:hAnsi="Times New Roman"/>
          <w:b w:val="0"/>
          <w:i w:val="0"/>
          <w:sz w:val="24"/>
        </w:rPr>
        <w:t xml:space="preserve"> and </w:t>
      </w:r>
      <w:r>
        <w:rPr>
          <w:rFonts w:ascii="Times New Roman" w:hAnsi="Times New Roman"/>
          <w:b w:val="0"/>
          <w:i/>
          <w:sz w:val="24"/>
        </w:rPr>
        <w:t>Pseudomonas</w:t>
      </w:r>
      <w:r>
        <w:rPr>
          <w:rFonts w:ascii="Times New Roman" w:hAnsi="Times New Roman"/>
          <w:b w:val="0"/>
          <w:i w:val="0"/>
          <w:sz w:val="24"/>
        </w:rPr>
        <w:t xml:space="preserve"> groups, and is outweighed by the substantial gain in taxonomic scope.</w:t>
      </w:r>
    </w:p>
    <w:p>
      <w:pPr>
        <w:spacing w:after="120" w:before="0" w:line="480" w:lineRule="auto"/>
      </w:pPr>
      <w:r>
        <w:rPr>
          <w:rFonts w:ascii="Times New Roman" w:hAnsi="Times New Roman"/>
          <w:b w:val="0"/>
          <w:i w:val="0"/>
          <w:sz w:val="24"/>
        </w:rPr>
        <w:t>The mosaicism analysis of IncX1 plasmids (43.1% candidate chimeras based on GC-content heterogeneity; 25 conserved backbone ORFs spanning 60% of the genome) illustrates how composition-based methods can detect horizontal acquisition events that single-gene approaches miss. The backbone/accessory partition (60%/40%) is consistent with published estimates for Inc-type plasmid architecture [22] (Figure 13). The new MGE boundary detection module (Section 3.12) extends this capability by identifying the specific IS elements and composite transposons responsible for accessory gene mobilisation.</w:t>
      </w:r>
    </w:p>
    <w:p>
      <w:pPr>
        <w:pStyle w:val="Heading3"/>
      </w:pPr>
      <w:r>
        <w:rPr>
          <w:rFonts w:ascii="Times New Roman" w:hAnsi="Times New Roman"/>
          <w:sz w:val="28"/>
        </w:rPr>
        <w:t>Gram-positive and non-fermentative expansion</w:t>
      </w:r>
    </w:p>
    <w:p>
      <w:pPr>
        <w:spacing w:after="120" w:before="0" w:line="480" w:lineRule="auto"/>
      </w:pPr>
      <w:r>
        <w:rPr>
          <w:rFonts w:ascii="Times New Roman" w:hAnsi="Times New Roman"/>
          <w:b w:val="0"/>
          <w:i w:val="0"/>
          <w:sz w:val="24"/>
        </w:rPr>
        <w:t xml:space="preserve">The inclusion of four Gram-positive rep type groups (repSA_large, repSA_small, repEF_conj, repEF_res) and four non-fermentative Gram-negative rep type groups (repAci1, repAci_large, repPae_large, repPae_small) represents a significant broadening of pLIN's taxonomic scope from exclusively Gram-negative Enterobacterales to encompass two of the most clinically important Gram-positive genera and two WHO critical priority pathogens. </w:t>
      </w:r>
      <w:r>
        <w:rPr>
          <w:rFonts w:ascii="Times New Roman" w:hAnsi="Times New Roman"/>
          <w:b w:val="0"/>
          <w:i/>
          <w:sz w:val="24"/>
        </w:rPr>
        <w:t>Staphylococcus aureus</w:t>
      </w:r>
      <w:r>
        <w:rPr>
          <w:rFonts w:ascii="Times New Roman" w:hAnsi="Times New Roman"/>
          <w:b w:val="0"/>
          <w:i w:val="0"/>
          <w:sz w:val="24"/>
        </w:rPr>
        <w:t xml:space="preserve"> plasmids are critical vectors for methicillin resistance (mecA), mupirocin resistance (mupA), and heavy metal tolerance in healthcare settings [29], while </w:t>
      </w:r>
      <w:r>
        <w:rPr>
          <w:rFonts w:ascii="Times New Roman" w:hAnsi="Times New Roman"/>
          <w:b w:val="0"/>
          <w:i/>
          <w:sz w:val="24"/>
        </w:rPr>
        <w:t>Enterococcus</w:t>
      </w:r>
      <w:r>
        <w:rPr>
          <w:rFonts w:ascii="Times New Roman" w:hAnsi="Times New Roman"/>
          <w:b w:val="0"/>
          <w:i w:val="0"/>
          <w:sz w:val="24"/>
        </w:rPr>
        <w:t xml:space="preserve"> conjugative and resistance plasmids disseminate vancomycin resistance (vanA/B), gentamicin resistance (aac(6')-Ie-aph(2'')-Ia), and linezolid resistance (optrA, cfr) [30]. </w:t>
      </w:r>
      <w:r>
        <w:rPr>
          <w:rFonts w:ascii="Times New Roman" w:hAnsi="Times New Roman"/>
          <w:b w:val="0"/>
          <w:i/>
          <w:sz w:val="24"/>
        </w:rPr>
        <w:t>Acinetobacter baumannii</w:t>
      </w:r>
      <w:r>
        <w:rPr>
          <w:rFonts w:ascii="Times New Roman" w:hAnsi="Times New Roman"/>
          <w:b w:val="0"/>
          <w:i w:val="0"/>
          <w:sz w:val="24"/>
        </w:rPr>
        <w:t xml:space="preserve"> plasmids carry carbapenem resistance determinants (blaOXA-23, blaOXA-24/40, blaNDM) critical to pan-drug resistance in ICU settings, while </w:t>
      </w:r>
      <w:r>
        <w:rPr>
          <w:rFonts w:ascii="Times New Roman" w:hAnsi="Times New Roman"/>
          <w:b w:val="0"/>
          <w:i/>
          <w:sz w:val="24"/>
        </w:rPr>
        <w:t>Pseudomonas aeruginosa</w:t>
      </w:r>
      <w:r>
        <w:rPr>
          <w:rFonts w:ascii="Times New Roman" w:hAnsi="Times New Roman"/>
          <w:b w:val="0"/>
          <w:i w:val="0"/>
          <w:sz w:val="24"/>
        </w:rPr>
        <w:t xml:space="preserve"> plasmids disseminate metallo-beta-lactamases (blaVIM, blaIMP, blaNDM) and aminoglycoside resistance enzymes across healthcare environments. Both species are designated WHO critical priority pathogens, making plasmid-level surveillance in these organisms particularly urgent. The successful integration of these groups -- with robust compositional separation and comparable within-group classification accuracy -- confirms the taxonomic generality of the tetranucleotide composition approach. The widened GC-content validation window (25--70%) accommodates the lower GC content typical of Firmicutes and the wide GC range of </w:t>
      </w:r>
      <w:r>
        <w:rPr>
          <w:rFonts w:ascii="Times New Roman" w:hAnsi="Times New Roman"/>
          <w:b w:val="0"/>
          <w:i/>
          <w:sz w:val="24"/>
        </w:rPr>
        <w:t>Acinetobacter</w:t>
      </w:r>
      <w:r>
        <w:rPr>
          <w:rFonts w:ascii="Times New Roman" w:hAnsi="Times New Roman"/>
          <w:b w:val="0"/>
          <w:i w:val="0"/>
          <w:sz w:val="24"/>
        </w:rPr>
        <w:t xml:space="preserve"> and </w:t>
      </w:r>
      <w:r>
        <w:rPr>
          <w:rFonts w:ascii="Times New Roman" w:hAnsi="Times New Roman"/>
          <w:b w:val="0"/>
          <w:i/>
          <w:sz w:val="24"/>
        </w:rPr>
        <w:t>Pseudomonas</w:t>
      </w:r>
      <w:r>
        <w:rPr>
          <w:rFonts w:ascii="Times New Roman" w:hAnsi="Times New Roman"/>
          <w:b w:val="0"/>
          <w:i w:val="0"/>
          <w:sz w:val="24"/>
        </w:rPr>
        <w:t xml:space="preserve"> plasmids without affecting Gram-negative Enterobacterales classification performance.</w:t>
      </w:r>
    </w:p>
    <w:p>
      <w:pPr>
        <w:pStyle w:val="Heading3"/>
      </w:pPr>
      <w:r>
        <w:rPr>
          <w:rFonts w:ascii="Times New Roman" w:hAnsi="Times New Roman"/>
          <w:sz w:val="28"/>
        </w:rPr>
        <w:t>Plasmid contig identification</w:t>
      </w:r>
    </w:p>
    <w:p>
      <w:pPr>
        <w:spacing w:after="120" w:before="0" w:line="480" w:lineRule="auto"/>
      </w:pPr>
      <w:r>
        <w:rPr>
          <w:rFonts w:ascii="Times New Roman" w:hAnsi="Times New Roman"/>
          <w:b w:val="0"/>
          <w:i w:val="0"/>
          <w:sz w:val="24"/>
        </w:rPr>
        <w:t>A practical barrier to plasmid classification in routine genomic surveillance is that user-submitted assemblies frequently contain both plasmid and chromosomal contigs, requiring manual curation or reliance on external plasmid prediction tools (e.g., PlasClass, Platon) before pLIN analysis. The integrated multi-signal scoring system (Section 3.2) eliminates this preprocessing step by automatically classifying contigs as plasmid or chromosomal using four complementary signals: sequence length, cosine distance to the nearest plasmid training vector, FASTA header keywords, and Inc group classifier confidence. The combined model achieved 97.8% accuracy on a synthetic benchmark (98.6% sensitivity, 97.0% specificity) and 96.5% concordance with submitter annotations on 200 real whole-genome assemblies (Figure 24). The conservative borderline-to-plasmid default ensures that genuine plasmids are rarely missed at the expense of occasional chromosomal false positives, which are subsequently flagged by the low-confidence (&lt;40%) KNN classifier filter. This design choice reflects the surveillance use case, where missing a clinically relevant plasmid carries greater cost than including a readily identifiable chromosomal fragment. The multi-signal approach substantially outperforms any individual signal (combined AUC = 0.99 vs. best single signal AUC = 0.94), confirming that sequence length, compositional similarity, annotation metadata, and classifier confidence provide non-redundant discriminatory information. This module enables direct analysis from whole-genome assemblies without prior plasmid extraction, addressing a key usability limitation identified in earlier versions and eliminating the dependency on external plasmid prediction tools.</w:t>
      </w:r>
    </w:p>
    <w:p>
      <w:pPr>
        <w:pStyle w:val="Heading3"/>
      </w:pPr>
      <w:r>
        <w:rPr>
          <w:rFonts w:ascii="Times New Roman" w:hAnsi="Times New Roman"/>
          <w:sz w:val="28"/>
        </w:rPr>
        <w:t>Addressed limitations</w:t>
      </w:r>
    </w:p>
    <w:p>
      <w:pPr>
        <w:spacing w:after="120" w:before="0" w:line="480" w:lineRule="auto"/>
      </w:pPr>
      <w:r>
        <w:rPr>
          <w:rFonts w:ascii="Times New Roman" w:hAnsi="Times New Roman"/>
          <w:b w:val="0"/>
          <w:i w:val="0"/>
          <w:sz w:val="24"/>
        </w:rPr>
        <w:t>The original pLIN framework identified 10 methodological limitations. Three were addressed by the integration of MLST-based chromosomal typing (Section 5.3). The current release addresses eight additional limitations through dedicated analytical modules:</w:t>
      </w:r>
    </w:p>
    <w:p>
      <w:pPr>
        <w:spacing w:after="120" w:before="0" w:line="480" w:lineRule="auto"/>
      </w:pPr>
      <w:r>
        <w:rPr>
          <w:rFonts w:ascii="Times New Roman" w:hAnsi="Times New Roman"/>
          <w:b w:val="0"/>
          <w:i w:val="0"/>
          <w:sz w:val="24"/>
        </w:rPr>
        <w:t xml:space="preserve">1. </w:t>
      </w:r>
      <w:r>
        <w:rPr>
          <w:rFonts w:ascii="Times New Roman" w:hAnsi="Times New Roman"/>
          <w:b/>
          <w:i w:val="0"/>
          <w:sz w:val="24"/>
        </w:rPr>
        <w:t>Plasmid contig identification</w:t>
      </w:r>
      <w:r>
        <w:rPr>
          <w:rFonts w:ascii="Times New Roman" w:hAnsi="Times New Roman"/>
          <w:b w:val="0"/>
          <w:i w:val="0"/>
          <w:sz w:val="24"/>
        </w:rPr>
        <w:t xml:space="preserve"> (L2): Multi-signal scoring automatically separates plasmid from chromosomal contigs, enabling direct analysis from whole-genome assemblies without external plasmid prediction tools. 2. </w:t>
      </w:r>
      <w:r>
        <w:rPr>
          <w:rFonts w:ascii="Times New Roman" w:hAnsi="Times New Roman"/>
          <w:b/>
          <w:i w:val="0"/>
          <w:sz w:val="24"/>
        </w:rPr>
        <w:t>Assembly completeness</w:t>
      </w:r>
      <w:r>
        <w:rPr>
          <w:rFonts w:ascii="Times New Roman" w:hAnsi="Times New Roman"/>
          <w:b w:val="0"/>
          <w:i w:val="0"/>
          <w:sz w:val="24"/>
        </w:rPr>
        <w:t xml:space="preserve"> (L3): Composite scoring prevents unreliable classification of fragmented assemblies, a critical quality control step absent from all competing tools. 3. </w:t>
      </w:r>
      <w:r>
        <w:rPr>
          <w:rFonts w:ascii="Times New Roman" w:hAnsi="Times New Roman"/>
          <w:b/>
          <w:i w:val="0"/>
          <w:sz w:val="24"/>
        </w:rPr>
        <w:t>Database coverage and novelty detection</w:t>
      </w:r>
      <w:r>
        <w:rPr>
          <w:rFonts w:ascii="Times New Roman" w:hAnsi="Times New Roman"/>
          <w:b w:val="0"/>
          <w:i w:val="0"/>
          <w:sz w:val="24"/>
        </w:rPr>
        <w:t xml:space="preserve"> (L4): Traffic-light flagging identifies plasmids that fall outside the training distribution, preventing silent misclassification of genuinely novel lineages. 4. </w:t>
      </w:r>
      <w:r>
        <w:rPr>
          <w:rFonts w:ascii="Times New Roman" w:hAnsi="Times New Roman"/>
          <w:b/>
          <w:i w:val="0"/>
          <w:sz w:val="24"/>
        </w:rPr>
        <w:t>Recombination detection</w:t>
      </w:r>
      <w:r>
        <w:rPr>
          <w:rFonts w:ascii="Times New Roman" w:hAnsi="Times New Roman"/>
          <w:b w:val="0"/>
          <w:i w:val="0"/>
          <w:sz w:val="24"/>
        </w:rPr>
        <w:t xml:space="preserve"> (L5): Minimap2-based mosaic analysis explicitly flags chimeric plasmids whose classification may be confounded by modular exchange. 5. </w:t>
      </w:r>
      <w:r>
        <w:rPr>
          <w:rFonts w:ascii="Times New Roman" w:hAnsi="Times New Roman"/>
          <w:b/>
          <w:i w:val="0"/>
          <w:sz w:val="24"/>
        </w:rPr>
        <w:t>Novel group discovery</w:t>
      </w:r>
      <w:r>
        <w:rPr>
          <w:rFonts w:ascii="Times New Roman" w:hAnsi="Times New Roman"/>
          <w:b w:val="0"/>
          <w:i w:val="0"/>
          <w:sz w:val="24"/>
        </w:rPr>
        <w:t xml:space="preserve"> (L6): Hierarchical clustering of low-confidence plasmids transforms the "Unknown/Novel" classification from a dead end into an active discovery pipeline. 6. </w:t>
      </w:r>
      <w:r>
        <w:rPr>
          <w:rFonts w:ascii="Times New Roman" w:hAnsi="Times New Roman"/>
          <w:b/>
          <w:i w:val="0"/>
          <w:sz w:val="24"/>
        </w:rPr>
        <w:t>Evolutionary rate estimation</w:t>
      </w:r>
      <w:r>
        <w:rPr>
          <w:rFonts w:ascii="Times New Roman" w:hAnsi="Times New Roman"/>
          <w:b w:val="0"/>
          <w:i w:val="0"/>
          <w:sz w:val="24"/>
        </w:rPr>
        <w:t xml:space="preserve"> (L7): SNP regression provides temporal context for outbreak investigations, enabling tMRCA estimation for plasmid lineages. 7. </w:t>
      </w:r>
      <w:r>
        <w:rPr>
          <w:rFonts w:ascii="Times New Roman" w:hAnsi="Times New Roman"/>
          <w:b/>
          <w:i w:val="0"/>
          <w:sz w:val="24"/>
        </w:rPr>
        <w:t>Adaptive thresholds and cluster stability</w:t>
      </w:r>
      <w:r>
        <w:rPr>
          <w:rFonts w:ascii="Times New Roman" w:hAnsi="Times New Roman"/>
          <w:b w:val="0"/>
          <w:i w:val="0"/>
          <w:sz w:val="24"/>
        </w:rPr>
        <w:t xml:space="preserve"> (L8): Bootstrap resampling and ARI comparison provide empirical guidance on threshold optimality and cluster robustness for each group. 8. </w:t>
      </w:r>
      <w:r>
        <w:rPr>
          <w:rFonts w:ascii="Times New Roman" w:hAnsi="Times New Roman"/>
          <w:b/>
          <w:i w:val="0"/>
          <w:sz w:val="24"/>
        </w:rPr>
        <w:t>MGE boundary detection</w:t>
      </w:r>
      <w:r>
        <w:rPr>
          <w:rFonts w:ascii="Times New Roman" w:hAnsi="Times New Roman"/>
          <w:b w:val="0"/>
          <w:i w:val="0"/>
          <w:sz w:val="24"/>
        </w:rPr>
        <w:t xml:space="preserve"> (L10): IS element, integrase, and composite transposon identification provides genetic context for AMR genes, enabling assessment of mobilisation potential.</w:t>
      </w:r>
    </w:p>
    <w:p>
      <w:pPr>
        <w:spacing w:after="120" w:before="0" w:line="480" w:lineRule="auto"/>
      </w:pPr>
      <w:r>
        <w:rPr>
          <w:rFonts w:ascii="Times New Roman" w:hAnsi="Times New Roman"/>
          <w:b w:val="0"/>
          <w:i w:val="0"/>
          <w:sz w:val="24"/>
        </w:rPr>
        <w:t>All 10 original limitations are now addressed (3 by MLST integration, 8 by the new modules described herein, with some limitations addressed by multiple modules).</w:t>
      </w:r>
    </w:p>
    <w:p>
      <w:pPr>
        <w:pStyle w:val="Heading3"/>
      </w:pPr>
      <w:r>
        <w:rPr>
          <w:rFonts w:ascii="Times New Roman" w:hAnsi="Times New Roman"/>
          <w:sz w:val="28"/>
        </w:rPr>
        <w:t>Chromosomal-plasmid typing integration</w:t>
      </w:r>
    </w:p>
    <w:p>
      <w:pPr>
        <w:spacing w:after="120" w:before="0" w:line="480" w:lineRule="auto"/>
      </w:pPr>
      <w:r>
        <w:rPr>
          <w:rFonts w:ascii="Times New Roman" w:hAnsi="Times New Roman"/>
          <w:b w:val="0"/>
          <w:i w:val="0"/>
          <w:sz w:val="24"/>
        </w:rPr>
        <w:t>The integration of pLIN with MLST addresses a key limitation of plasmid-only surveillance: the inability to distinguish clonal bacterial spread from horizontal plasmid transfer. This distinction has direct infection control implications -- clonal spread requires patient isolation and contact tracing, whereas horizontal transfer may indicate selective pressure driving independent plasmid acquisition. The retrospective validation (92.3% concordance, 7 species, 20 STs) demonstrates that combined typing provides transmission-mode resolution unavailable from either method alone. However, paired chromosomal assemblies are required, which may not be available in all settings.</w:t>
      </w:r>
    </w:p>
    <w:p>
      <w:pPr>
        <w:pStyle w:val="Heading3"/>
      </w:pPr>
      <w:r>
        <w:rPr>
          <w:rFonts w:ascii="Times New Roman" w:hAnsi="Times New Roman"/>
          <w:sz w:val="28"/>
        </w:rPr>
        <w:t>Stability and universality of the pLIN method</w:t>
      </w:r>
    </w:p>
    <w:p>
      <w:pPr>
        <w:spacing w:after="120" w:before="0" w:line="480" w:lineRule="auto"/>
      </w:pPr>
      <w:r>
        <w:rPr>
          <w:rFonts w:ascii="Times New Roman" w:hAnsi="Times New Roman"/>
          <w:b w:val="0"/>
          <w:i w:val="0"/>
          <w:sz w:val="24"/>
        </w:rPr>
        <w:t xml:space="preserve">The mathematical foundations of pLIN confer three properties supporting long-term universality. First, code permanence: because assignment depends solely on the nearest-neighbour distance rather than global database structure, existing codes cannot be altered by database expansion. Second, metric universality: tetranucleotide frequency is an intrinsic sequence property independent of annotation databases or gene prediction algorithms, making the method robust to bioinformatics infrastructure changes. Third, taxonomic generality: now validated across Gram-negative (20 Inc groups, Enterobacterales), Gram-positive (4 rep type groups, </w:t>
      </w:r>
      <w:r>
        <w:rPr>
          <w:rFonts w:ascii="Times New Roman" w:hAnsi="Times New Roman"/>
          <w:b w:val="0"/>
          <w:i/>
          <w:sz w:val="24"/>
        </w:rPr>
        <w:t>Staphylococcus</w:t>
      </w:r>
      <w:r>
        <w:rPr>
          <w:rFonts w:ascii="Times New Roman" w:hAnsi="Times New Roman"/>
          <w:b w:val="0"/>
          <w:i w:val="0"/>
          <w:sz w:val="24"/>
        </w:rPr>
        <w:t xml:space="preserve"> and </w:t>
      </w:r>
      <w:r>
        <w:rPr>
          <w:rFonts w:ascii="Times New Roman" w:hAnsi="Times New Roman"/>
          <w:b w:val="0"/>
          <w:i/>
          <w:sz w:val="24"/>
        </w:rPr>
        <w:t>Enterococcus</w:t>
      </w:r>
      <w:r>
        <w:rPr>
          <w:rFonts w:ascii="Times New Roman" w:hAnsi="Times New Roman"/>
          <w:b w:val="0"/>
          <w:i w:val="0"/>
          <w:sz w:val="24"/>
        </w:rPr>
        <w:t xml:space="preserve">), and non-fermentative Gram-negative (2 </w:t>
      </w:r>
      <w:r>
        <w:rPr>
          <w:rFonts w:ascii="Times New Roman" w:hAnsi="Times New Roman"/>
          <w:b w:val="0"/>
          <w:i/>
          <w:sz w:val="24"/>
        </w:rPr>
        <w:t>Acinetobacter baumannii</w:t>
      </w:r>
      <w:r>
        <w:rPr>
          <w:rFonts w:ascii="Times New Roman" w:hAnsi="Times New Roman"/>
          <w:b w:val="0"/>
          <w:i w:val="0"/>
          <w:sz w:val="24"/>
        </w:rPr>
        <w:t xml:space="preserve"> and 2 </w:t>
      </w:r>
      <w:r>
        <w:rPr>
          <w:rFonts w:ascii="Times New Roman" w:hAnsi="Times New Roman"/>
          <w:b w:val="0"/>
          <w:i/>
          <w:sz w:val="24"/>
        </w:rPr>
        <w:t>Pseudomonas aeruginosa</w:t>
      </w:r>
      <w:r>
        <w:rPr>
          <w:rFonts w:ascii="Times New Roman" w:hAnsi="Times New Roman"/>
          <w:b w:val="0"/>
          <w:i w:val="0"/>
          <w:sz w:val="24"/>
        </w:rPr>
        <w:t xml:space="preserve"> rep type groups) plasmids, the cosine distance approach has been demonstrated to be applicable across the bacterial phylogenetic spectrum. The adaptive threshold calibration module ensures that group-specific optimisation is possible without disrupting existing codes.</w:t>
      </w:r>
    </w:p>
    <w:p>
      <w:pPr>
        <w:pStyle w:val="Heading3"/>
      </w:pPr>
      <w:r>
        <w:rPr>
          <w:rFonts w:ascii="Times New Roman" w:hAnsi="Times New Roman"/>
          <w:sz w:val="28"/>
        </w:rPr>
        <w:t>Remaining limitations</w:t>
      </w:r>
    </w:p>
    <w:p>
      <w:pPr>
        <w:spacing w:after="120" w:before="0" w:line="480" w:lineRule="auto"/>
      </w:pPr>
      <w:r>
        <w:rPr>
          <w:rFonts w:ascii="Times New Roman" w:hAnsi="Times New Roman"/>
          <w:b w:val="0"/>
          <w:i w:val="0"/>
          <w:sz w:val="24"/>
        </w:rPr>
        <w:t>Despite the comprehensive analytical framework described above, three limitations remain:</w:t>
      </w:r>
    </w:p>
    <w:p>
      <w:pPr>
        <w:spacing w:after="120" w:before="0" w:line="480" w:lineRule="auto"/>
      </w:pPr>
      <w:r>
        <w:rPr>
          <w:rFonts w:ascii="Times New Roman" w:hAnsi="Times New Roman"/>
          <w:b w:val="0"/>
          <w:i w:val="0"/>
          <w:sz w:val="24"/>
        </w:rPr>
        <w:t xml:space="preserve">1. </w:t>
      </w:r>
      <w:r>
        <w:rPr>
          <w:rFonts w:ascii="Times New Roman" w:hAnsi="Times New Roman"/>
          <w:b/>
          <w:i w:val="0"/>
          <w:sz w:val="24"/>
        </w:rPr>
        <w:t>Reference database coverage.</w:t>
      </w:r>
      <w:r>
        <w:rPr>
          <w:rFonts w:ascii="Times New Roman" w:hAnsi="Times New Roman"/>
          <w:b w:val="0"/>
          <w:i w:val="0"/>
          <w:sz w:val="24"/>
        </w:rPr>
        <w:t xml:space="preserve"> The training database of 8,056 unique sequences across 28 groups, while substantially expanded, does not yet cover all known plasmid replicon types. Notably absent are IncP-1, IncW, IncL/M (Gram-negative), and plasmids from </w:t>
      </w:r>
      <w:r>
        <w:rPr>
          <w:rFonts w:ascii="Times New Roman" w:hAnsi="Times New Roman"/>
          <w:b w:val="0"/>
          <w:i/>
          <w:sz w:val="24"/>
        </w:rPr>
        <w:t>Clostridioides</w:t>
      </w:r>
      <w:r>
        <w:rPr>
          <w:rFonts w:ascii="Times New Roman" w:hAnsi="Times New Roman"/>
          <w:b w:val="0"/>
          <w:i w:val="0"/>
          <w:sz w:val="24"/>
        </w:rPr>
        <w:t xml:space="preserve"> and other clinically important genera. The modular architecture enables incremental expansion without disrupting existing codes, but users should be aware that plasmids from under-represented taxa may receive lower-confidence assignments.</w:t>
      </w:r>
    </w:p>
    <w:p>
      <w:pPr>
        <w:spacing w:after="120" w:before="0" w:line="480" w:lineRule="auto"/>
      </w:pPr>
      <w:r>
        <w:rPr>
          <w:rFonts w:ascii="Times New Roman" w:hAnsi="Times New Roman"/>
          <w:b w:val="0"/>
          <w:i w:val="0"/>
          <w:sz w:val="24"/>
        </w:rPr>
        <w:t xml:space="preserve">2. </w:t>
      </w:r>
      <w:r>
        <w:rPr>
          <w:rFonts w:ascii="Times New Roman" w:hAnsi="Times New Roman"/>
          <w:b/>
          <w:i w:val="0"/>
          <w:sz w:val="24"/>
        </w:rPr>
        <w:t>Threshold calibration scope.</w:t>
      </w:r>
      <w:r>
        <w:rPr>
          <w:rFonts w:ascii="Times New Roman" w:hAnsi="Times New Roman"/>
          <w:b w:val="0"/>
          <w:i w:val="0"/>
          <w:sz w:val="24"/>
        </w:rPr>
        <w:t xml:space="preserve"> The six distance thresholds were calibrated on Enterobacterales plasmids and validated on </w:t>
      </w:r>
      <w:r>
        <w:rPr>
          <w:rFonts w:ascii="Times New Roman" w:hAnsi="Times New Roman"/>
          <w:b w:val="0"/>
          <w:i/>
          <w:sz w:val="24"/>
        </w:rPr>
        <w:t>Staphylococcus</w:t>
      </w:r>
      <w:r>
        <w:rPr>
          <w:rFonts w:ascii="Times New Roman" w:hAnsi="Times New Roman"/>
          <w:b w:val="0"/>
          <w:i w:val="0"/>
          <w:sz w:val="24"/>
        </w:rPr>
        <w:t xml:space="preserve"> and </w:t>
      </w:r>
      <w:r>
        <w:rPr>
          <w:rFonts w:ascii="Times New Roman" w:hAnsi="Times New Roman"/>
          <w:b w:val="0"/>
          <w:i/>
          <w:sz w:val="24"/>
        </w:rPr>
        <w:t>Enterococcus</w:t>
      </w:r>
      <w:r>
        <w:rPr>
          <w:rFonts w:ascii="Times New Roman" w:hAnsi="Times New Roman"/>
          <w:b w:val="0"/>
          <w:i w:val="0"/>
          <w:sz w:val="24"/>
        </w:rPr>
        <w:t xml:space="preserve">, but may require recalibration for plasmids from more phylogenetically distant bacteria (e.g., </w:t>
      </w:r>
      <w:r>
        <w:rPr>
          <w:rFonts w:ascii="Times New Roman" w:hAnsi="Times New Roman"/>
          <w:b w:val="0"/>
          <w:i/>
          <w:sz w:val="24"/>
        </w:rPr>
        <w:t>Mycobacterium</w:t>
      </w:r>
      <w:r>
        <w:rPr>
          <w:rFonts w:ascii="Times New Roman" w:hAnsi="Times New Roman"/>
          <w:b w:val="0"/>
          <w:i w:val="0"/>
          <w:sz w:val="24"/>
        </w:rPr>
        <w:t xml:space="preserve">, </w:t>
      </w:r>
      <w:r>
        <w:rPr>
          <w:rFonts w:ascii="Times New Roman" w:hAnsi="Times New Roman"/>
          <w:b w:val="0"/>
          <w:i/>
          <w:sz w:val="24"/>
        </w:rPr>
        <w:t>Campylobacter</w:t>
      </w:r>
      <w:r>
        <w:rPr>
          <w:rFonts w:ascii="Times New Roman" w:hAnsi="Times New Roman"/>
          <w:b w:val="0"/>
          <w:i w:val="0"/>
          <w:sz w:val="24"/>
        </w:rPr>
        <w:t>, environmental isolates). The adaptive threshold module (Section 3.11) mitigates this by providing group-specific calibration, but the standard thresholds should be interpreted with caution when applied to novel bacterial phyla beyond Enterobacterales, Staphylococcus, Enterococcus, Acinetobacter, and Pseudomonas.</w:t>
      </w:r>
    </w:p>
    <w:p>
      <w:pPr>
        <w:spacing w:after="120" w:before="0" w:line="480" w:lineRule="auto"/>
      </w:pPr>
      <w:r>
        <w:rPr>
          <w:rFonts w:ascii="Times New Roman" w:hAnsi="Times New Roman"/>
          <w:b w:val="0"/>
          <w:i w:val="0"/>
          <w:sz w:val="24"/>
        </w:rPr>
        <w:t xml:space="preserve">3. </w:t>
      </w:r>
      <w:r>
        <w:rPr>
          <w:rFonts w:ascii="Times New Roman" w:hAnsi="Times New Roman"/>
          <w:b/>
          <w:i w:val="0"/>
          <w:sz w:val="24"/>
        </w:rPr>
        <w:t>No real-time epidemiological integration.</w:t>
      </w:r>
      <w:r>
        <w:rPr>
          <w:rFonts w:ascii="Times New Roman" w:hAnsi="Times New Roman"/>
          <w:b w:val="0"/>
          <w:i w:val="0"/>
          <w:sz w:val="24"/>
        </w:rPr>
        <w:t xml:space="preserve"> pLIN operates as a local analysis tool without connection to real-time surveillance databases. While the outbreak detection modules identify clusters within user-uploaded datasets, they do not query external databases for contemporaneous detections in other institutions or regions. Integration with platforms such as PathogenWatch, Microreact, or national surveillance systems would enable true real-time epidemiological monitoring but requires infrastructure beyond the scope of a standalone bioinformatics tool.</w:t>
      </w:r>
    </w:p>
    <w:p>
      <w:pPr>
        <w:pStyle w:val="Heading3"/>
      </w:pPr>
      <w:r>
        <w:rPr>
          <w:rFonts w:ascii="Times New Roman" w:hAnsi="Times New Roman"/>
          <w:sz w:val="28"/>
        </w:rPr>
        <w:t>Future directions</w:t>
      </w:r>
    </w:p>
    <w:p>
      <w:pPr>
        <w:spacing w:after="120" w:before="0" w:line="480" w:lineRule="auto"/>
      </w:pPr>
      <w:r>
        <w:rPr>
          <w:rFonts w:ascii="Times New Roman" w:hAnsi="Times New Roman"/>
          <w:b w:val="0"/>
          <w:i w:val="0"/>
          <w:sz w:val="24"/>
        </w:rPr>
        <w:t xml:space="preserve">Several extensions are planned. First, continued taxonomic expansion to IncP-1, IncW, IncL/M, and plasmids from </w:t>
      </w:r>
      <w:r>
        <w:rPr>
          <w:rFonts w:ascii="Times New Roman" w:hAnsi="Times New Roman"/>
          <w:b w:val="0"/>
          <w:i/>
          <w:sz w:val="24"/>
        </w:rPr>
        <w:t>Clostridioides difficile</w:t>
      </w:r>
      <w:r>
        <w:rPr>
          <w:rFonts w:ascii="Times New Roman" w:hAnsi="Times New Roman"/>
          <w:b w:val="0"/>
          <w:i w:val="0"/>
          <w:sz w:val="24"/>
        </w:rPr>
        <w:t xml:space="preserve"> and other clinically important genera is underway, targeting coverage of the 35 most clinically important plasmid groups. Second, hybrid approaches combining pLIN composition-based codes with core-gene phylogenetics could provide both the stability of pLIN and the evolutionary resolution of alignment methods. Third, application to metagenomic plasmid assemblies from long-read sequencing would enable culture-independent plasmid surveillance -- facilitated by the new contig identification module (Section 3.2), which can distinguish plasmid-origin contigs from chromosomal fragments in mixed assemblies. Fourth, a public web server for real-time pLIN assignment with connection to an international surveillance database is under development. Fifth, machine learning approaches for automated threshold optimisation using the cluster stability metrics could replace manual calibration for new taxonomic groups. Sixth, refinement of the plasmid contig identification module with deep learning-based sequence classifiers could further improve discrimination of borderline cases such as megaplasmids and chromids.</w:t>
      </w:r>
    </w:p>
    <w:p>
      <w:pPr>
        <w:spacing w:before="120" w:after="120"/>
        <w:pBdr>
          <w:bottom w:val="single" w:sz="6" w:space="1" w:color="auto"/>
        </w:pBdr>
      </w:pPr>
    </w:p>
    <w:p>
      <w:pPr>
        <w:pStyle w:val="Heading2"/>
      </w:pPr>
      <w:r>
        <w:rPr>
          <w:rFonts w:ascii="Times New Roman" w:hAnsi="Times New Roman"/>
          <w:sz w:val="32"/>
        </w:rPr>
        <w:t>7. Data Availability</w:t>
      </w:r>
    </w:p>
    <w:p>
      <w:pPr>
        <w:spacing w:after="120" w:before="0" w:line="480" w:lineRule="auto"/>
      </w:pPr>
      <w:r>
        <w:rPr>
          <w:rFonts w:ascii="Times New Roman" w:hAnsi="Times New Roman"/>
          <w:b w:val="0"/>
          <w:i w:val="0"/>
          <w:sz w:val="24"/>
        </w:rPr>
        <w:t xml:space="preserve">Source code, reference database, and documentation are available at https://github.com/xavierbasilbritto-hub/pLIN-plasmid-classification under GPL-3.0 licence. The Streamlit application can be launched with `streamlit run plin_app.py`. Pre-computed classifier data (inc_classifier.npz: 28 groups [20 Gram-negative Inc + 4 Gram-positive rep + 2 </w:t>
      </w:r>
      <w:r>
        <w:rPr>
          <w:rFonts w:ascii="Times New Roman" w:hAnsi="Times New Roman"/>
          <w:b w:val="0"/>
          <w:i/>
          <w:sz w:val="24"/>
        </w:rPr>
        <w:t>A. baumannii</w:t>
      </w:r>
      <w:r>
        <w:rPr>
          <w:rFonts w:ascii="Times New Roman" w:hAnsi="Times New Roman"/>
          <w:b w:val="0"/>
          <w:i w:val="0"/>
          <w:sz w:val="24"/>
        </w:rPr>
        <w:t xml:space="preserve"> rep + 2 </w:t>
      </w:r>
      <w:r>
        <w:rPr>
          <w:rFonts w:ascii="Times New Roman" w:hAnsi="Times New Roman"/>
          <w:b w:val="0"/>
          <w:i/>
          <w:sz w:val="24"/>
        </w:rPr>
        <w:t>P. aeruginosa</w:t>
      </w:r>
      <w:r>
        <w:rPr>
          <w:rFonts w:ascii="Times New Roman" w:hAnsi="Times New Roman"/>
          <w:b w:val="0"/>
          <w:i w:val="0"/>
          <w:sz w:val="24"/>
        </w:rPr>
        <w:t xml:space="preserve"> rep], 8,077 training samples [8,056 unique], 256 features) and pLIN assignments for all 79,305 reference plasmids are included in the repository.</w:t>
      </w:r>
    </w:p>
    <w:p>
      <w:pPr>
        <w:spacing w:before="120" w:after="120"/>
        <w:pBdr>
          <w:bottom w:val="single" w:sz="6" w:space="1" w:color="auto"/>
        </w:pBdr>
      </w:pPr>
    </w:p>
    <w:p>
      <w:pPr>
        <w:pStyle w:val="Heading2"/>
      </w:pPr>
      <w:r>
        <w:rPr>
          <w:rFonts w:ascii="Times New Roman" w:hAnsi="Times New Roman"/>
          <w:sz w:val="32"/>
        </w:rPr>
        <w:t>8. Author Contributions</w:t>
      </w:r>
    </w:p>
    <w:p>
      <w:pPr>
        <w:spacing w:after="120" w:before="0" w:line="480" w:lineRule="auto"/>
      </w:pPr>
      <w:r>
        <w:rPr>
          <w:rFonts w:ascii="Times New Roman" w:hAnsi="Times New Roman"/>
          <w:b/>
          <w:i w:val="0"/>
          <w:sz w:val="24"/>
        </w:rPr>
        <w:t>BBX:</w:t>
      </w:r>
      <w:r>
        <w:rPr>
          <w:rFonts w:ascii="Times New Roman" w:hAnsi="Times New Roman"/>
          <w:b w:val="0"/>
          <w:i w:val="0"/>
          <w:sz w:val="24"/>
        </w:rPr>
        <w:t xml:space="preserve"> Conceptualisation, Methodology, Software, Validation, Formal Analysis, Writing -- Original Draft, Visualization. </w:t>
      </w:r>
      <w:r>
        <w:rPr>
          <w:rFonts w:ascii="Times New Roman" w:hAnsi="Times New Roman"/>
          <w:b/>
          <w:i w:val="0"/>
          <w:sz w:val="24"/>
        </w:rPr>
        <w:t>AKB:</w:t>
      </w:r>
      <w:r>
        <w:rPr>
          <w:rFonts w:ascii="Times New Roman" w:hAnsi="Times New Roman"/>
          <w:b w:val="0"/>
          <w:i w:val="0"/>
          <w:sz w:val="24"/>
        </w:rPr>
        <w:t xml:space="preserve"> Data Curation. </w:t>
      </w:r>
      <w:r>
        <w:rPr>
          <w:rFonts w:ascii="Times New Roman" w:hAnsi="Times New Roman"/>
          <w:b/>
          <w:i w:val="0"/>
          <w:sz w:val="24"/>
        </w:rPr>
        <w:t>BS:</w:t>
      </w:r>
      <w:r>
        <w:rPr>
          <w:rFonts w:ascii="Times New Roman" w:hAnsi="Times New Roman"/>
          <w:b w:val="0"/>
          <w:i w:val="0"/>
          <w:sz w:val="24"/>
        </w:rPr>
        <w:t xml:space="preserve"> Writing -- Review &amp; Editing. </w:t>
      </w:r>
      <w:r>
        <w:rPr>
          <w:rFonts w:ascii="Times New Roman" w:hAnsi="Times New Roman"/>
          <w:b/>
          <w:i w:val="0"/>
          <w:sz w:val="24"/>
        </w:rPr>
        <w:t>JWAR:</w:t>
      </w:r>
      <w:r>
        <w:rPr>
          <w:rFonts w:ascii="Times New Roman" w:hAnsi="Times New Roman"/>
          <w:b w:val="0"/>
          <w:i w:val="0"/>
          <w:sz w:val="24"/>
        </w:rPr>
        <w:t xml:space="preserve"> Supervision, Writing -- Review &amp; Editing.</w:t>
      </w:r>
    </w:p>
    <w:p>
      <w:pPr>
        <w:spacing w:before="120" w:after="120"/>
        <w:pBdr>
          <w:bottom w:val="single" w:sz="6" w:space="1" w:color="auto"/>
        </w:pBdr>
      </w:pPr>
    </w:p>
    <w:p>
      <w:pPr>
        <w:pStyle w:val="Heading2"/>
      </w:pPr>
      <w:r>
        <w:rPr>
          <w:rFonts w:ascii="Times New Roman" w:hAnsi="Times New Roman"/>
          <w:sz w:val="32"/>
        </w:rPr>
        <w:t>9. Funding</w:t>
      </w:r>
    </w:p>
    <w:p>
      <w:pPr>
        <w:spacing w:after="120" w:before="0" w:line="480" w:lineRule="auto"/>
      </w:pPr>
      <w:r>
        <w:rPr>
          <w:rFonts w:ascii="Times New Roman" w:hAnsi="Times New Roman"/>
          <w:b w:val="0"/>
          <w:i w:val="0"/>
          <w:sz w:val="24"/>
        </w:rPr>
        <w:t>[To be added]</w:t>
      </w:r>
    </w:p>
    <w:p>
      <w:pPr>
        <w:spacing w:before="120" w:after="120"/>
        <w:pBdr>
          <w:bottom w:val="single" w:sz="6" w:space="1" w:color="auto"/>
        </w:pBdr>
      </w:pPr>
    </w:p>
    <w:p>
      <w:pPr>
        <w:pStyle w:val="Heading2"/>
      </w:pPr>
      <w:r>
        <w:rPr>
          <w:rFonts w:ascii="Times New Roman" w:hAnsi="Times New Roman"/>
          <w:sz w:val="32"/>
        </w:rPr>
        <w:t>10. Conflict of Interest</w:t>
      </w:r>
    </w:p>
    <w:p>
      <w:pPr>
        <w:spacing w:after="120" w:before="0" w:line="480" w:lineRule="auto"/>
      </w:pPr>
      <w:r>
        <w:rPr>
          <w:rFonts w:ascii="Times New Roman" w:hAnsi="Times New Roman"/>
          <w:b w:val="0"/>
          <w:i w:val="0"/>
          <w:sz w:val="24"/>
        </w:rPr>
        <w:t>The authors declare no competing interests.</w:t>
      </w:r>
    </w:p>
    <w:p>
      <w:pPr>
        <w:spacing w:before="120" w:after="120"/>
        <w:pBdr>
          <w:bottom w:val="single" w:sz="6" w:space="1" w:color="auto"/>
        </w:pBdr>
      </w:pPr>
    </w:p>
    <w:p>
      <w:pPr>
        <w:pStyle w:val="Heading2"/>
      </w:pPr>
      <w:r>
        <w:rPr>
          <w:rFonts w:ascii="Times New Roman" w:hAnsi="Times New Roman"/>
          <w:sz w:val="32"/>
        </w:rPr>
        <w:t>References</w:t>
      </w:r>
    </w:p>
    <w:p>
      <w:pPr>
        <w:spacing w:after="120" w:before="0" w:line="480" w:lineRule="auto"/>
      </w:pPr>
      <w:r>
        <w:rPr>
          <w:rFonts w:ascii="Times New Roman" w:hAnsi="Times New Roman"/>
          <w:b w:val="0"/>
          <w:i w:val="0"/>
          <w:sz w:val="24"/>
        </w:rPr>
        <w:t xml:space="preserve">[1] Carattoli A. Plasmids and the spread of resistance. </w:t>
      </w:r>
      <w:r>
        <w:rPr>
          <w:rFonts w:ascii="Times New Roman" w:hAnsi="Times New Roman"/>
          <w:b w:val="0"/>
          <w:i/>
          <w:sz w:val="24"/>
        </w:rPr>
        <w:t>Int J Med Microbiol</w:t>
      </w:r>
      <w:r>
        <w:rPr>
          <w:rFonts w:ascii="Times New Roman" w:hAnsi="Times New Roman"/>
          <w:b w:val="0"/>
          <w:i w:val="0"/>
          <w:sz w:val="24"/>
        </w:rPr>
        <w:t xml:space="preserve"> 2013; </w:t>
      </w:r>
      <w:r>
        <w:rPr>
          <w:rFonts w:ascii="Times New Roman" w:hAnsi="Times New Roman"/>
          <w:b/>
          <w:i w:val="0"/>
          <w:sz w:val="24"/>
        </w:rPr>
        <w:t>303</w:t>
      </w:r>
      <w:r>
        <w:rPr>
          <w:rFonts w:ascii="Times New Roman" w:hAnsi="Times New Roman"/>
          <w:b w:val="0"/>
          <w:i w:val="0"/>
          <w:sz w:val="24"/>
        </w:rPr>
        <w:t>(6-7): 298--304.</w:t>
      </w:r>
    </w:p>
    <w:p>
      <w:pPr>
        <w:spacing w:after="120" w:before="0" w:line="480" w:lineRule="auto"/>
      </w:pPr>
      <w:r>
        <w:rPr>
          <w:rFonts w:ascii="Times New Roman" w:hAnsi="Times New Roman"/>
          <w:b w:val="0"/>
          <w:i w:val="0"/>
          <w:sz w:val="24"/>
        </w:rPr>
        <w:t xml:space="preserve">[2] San Millan A. Evolution of plasmid-mediated antibiotic resistance in the clinical context. </w:t>
      </w:r>
      <w:r>
        <w:rPr>
          <w:rFonts w:ascii="Times New Roman" w:hAnsi="Times New Roman"/>
          <w:b w:val="0"/>
          <w:i/>
          <w:sz w:val="24"/>
        </w:rPr>
        <w:t>Trends Microbiol</w:t>
      </w:r>
      <w:r>
        <w:rPr>
          <w:rFonts w:ascii="Times New Roman" w:hAnsi="Times New Roman"/>
          <w:b w:val="0"/>
          <w:i w:val="0"/>
          <w:sz w:val="24"/>
        </w:rPr>
        <w:t xml:space="preserve"> 2018; </w:t>
      </w:r>
      <w:r>
        <w:rPr>
          <w:rFonts w:ascii="Times New Roman" w:hAnsi="Times New Roman"/>
          <w:b/>
          <w:i w:val="0"/>
          <w:sz w:val="24"/>
        </w:rPr>
        <w:t>26</w:t>
      </w:r>
      <w:r>
        <w:rPr>
          <w:rFonts w:ascii="Times New Roman" w:hAnsi="Times New Roman"/>
          <w:b w:val="0"/>
          <w:i w:val="0"/>
          <w:sz w:val="24"/>
        </w:rPr>
        <w:t>(12): 978--985.</w:t>
      </w:r>
    </w:p>
    <w:p>
      <w:pPr>
        <w:spacing w:after="120" w:before="0" w:line="480" w:lineRule="auto"/>
      </w:pPr>
      <w:r>
        <w:rPr>
          <w:rFonts w:ascii="Times New Roman" w:hAnsi="Times New Roman"/>
          <w:b w:val="0"/>
          <w:i w:val="0"/>
          <w:sz w:val="24"/>
        </w:rPr>
        <w:t xml:space="preserve">[3] Partridge SR, Kwong SM, Firth N, Jensen SO. Mobile genetic elements associated with antimicrobial resistance. </w:t>
      </w:r>
      <w:r>
        <w:rPr>
          <w:rFonts w:ascii="Times New Roman" w:hAnsi="Times New Roman"/>
          <w:b w:val="0"/>
          <w:i/>
          <w:sz w:val="24"/>
        </w:rPr>
        <w:t>Clin Microbiol Rev</w:t>
      </w:r>
      <w:r>
        <w:rPr>
          <w:rFonts w:ascii="Times New Roman" w:hAnsi="Times New Roman"/>
          <w:b w:val="0"/>
          <w:i w:val="0"/>
          <w:sz w:val="24"/>
        </w:rPr>
        <w:t xml:space="preserve"> 2018; </w:t>
      </w:r>
      <w:r>
        <w:rPr>
          <w:rFonts w:ascii="Times New Roman" w:hAnsi="Times New Roman"/>
          <w:b/>
          <w:i w:val="0"/>
          <w:sz w:val="24"/>
        </w:rPr>
        <w:t>31</w:t>
      </w:r>
      <w:r>
        <w:rPr>
          <w:rFonts w:ascii="Times New Roman" w:hAnsi="Times New Roman"/>
          <w:b w:val="0"/>
          <w:i w:val="0"/>
          <w:sz w:val="24"/>
        </w:rPr>
        <w:t>(4): e00088-17.</w:t>
      </w:r>
    </w:p>
    <w:p>
      <w:pPr>
        <w:spacing w:after="120" w:before="0" w:line="480" w:lineRule="auto"/>
      </w:pPr>
      <w:r>
        <w:rPr>
          <w:rFonts w:ascii="Times New Roman" w:hAnsi="Times New Roman"/>
          <w:b w:val="0"/>
          <w:i w:val="0"/>
          <w:sz w:val="24"/>
        </w:rPr>
        <w:t xml:space="preserve">[4] Murray CJL, Ikuta KS, Sharara F et al. Global burden of bacterial antimicrobial resistance in 2019: a systematic analysis. </w:t>
      </w:r>
      <w:r>
        <w:rPr>
          <w:rFonts w:ascii="Times New Roman" w:hAnsi="Times New Roman"/>
          <w:b w:val="0"/>
          <w:i/>
          <w:sz w:val="24"/>
        </w:rPr>
        <w:t>Lancet</w:t>
      </w:r>
      <w:r>
        <w:rPr>
          <w:rFonts w:ascii="Times New Roman" w:hAnsi="Times New Roman"/>
          <w:b w:val="0"/>
          <w:i w:val="0"/>
          <w:sz w:val="24"/>
        </w:rPr>
        <w:t xml:space="preserve"> 2022; </w:t>
      </w:r>
      <w:r>
        <w:rPr>
          <w:rFonts w:ascii="Times New Roman" w:hAnsi="Times New Roman"/>
          <w:b/>
          <w:i w:val="0"/>
          <w:sz w:val="24"/>
        </w:rPr>
        <w:t>399</w:t>
      </w:r>
      <w:r>
        <w:rPr>
          <w:rFonts w:ascii="Times New Roman" w:hAnsi="Times New Roman"/>
          <w:b w:val="0"/>
          <w:i w:val="0"/>
          <w:sz w:val="24"/>
        </w:rPr>
        <w:t>(10325): 629--655.</w:t>
      </w:r>
    </w:p>
    <w:p>
      <w:pPr>
        <w:spacing w:after="120" w:before="0" w:line="480" w:lineRule="auto"/>
      </w:pPr>
      <w:r>
        <w:rPr>
          <w:rFonts w:ascii="Times New Roman" w:hAnsi="Times New Roman"/>
          <w:b w:val="0"/>
          <w:i w:val="0"/>
          <w:sz w:val="24"/>
        </w:rPr>
        <w:t xml:space="preserve">[5] Liu YY, Wang Y, Walsh TR et al. Emergence of plasmid-mediated colistin resistance mechanism MCR-1 in animals and human beings in China: a microbiological and molecular biological study. </w:t>
      </w:r>
      <w:r>
        <w:rPr>
          <w:rFonts w:ascii="Times New Roman" w:hAnsi="Times New Roman"/>
          <w:b w:val="0"/>
          <w:i/>
          <w:sz w:val="24"/>
        </w:rPr>
        <w:t>Lancet Infect Dis</w:t>
      </w:r>
      <w:r>
        <w:rPr>
          <w:rFonts w:ascii="Times New Roman" w:hAnsi="Times New Roman"/>
          <w:b w:val="0"/>
          <w:i w:val="0"/>
          <w:sz w:val="24"/>
        </w:rPr>
        <w:t xml:space="preserve"> 2016; </w:t>
      </w:r>
      <w:r>
        <w:rPr>
          <w:rFonts w:ascii="Times New Roman" w:hAnsi="Times New Roman"/>
          <w:b/>
          <w:i w:val="0"/>
          <w:sz w:val="24"/>
        </w:rPr>
        <w:t>16</w:t>
      </w:r>
      <w:r>
        <w:rPr>
          <w:rFonts w:ascii="Times New Roman" w:hAnsi="Times New Roman"/>
          <w:b w:val="0"/>
          <w:i w:val="0"/>
          <w:sz w:val="24"/>
        </w:rPr>
        <w:t>(2): 161--168.</w:t>
      </w:r>
    </w:p>
    <w:p>
      <w:pPr>
        <w:spacing w:after="120" w:before="0" w:line="480" w:lineRule="auto"/>
      </w:pPr>
      <w:r>
        <w:rPr>
          <w:rFonts w:ascii="Times New Roman" w:hAnsi="Times New Roman"/>
          <w:b w:val="0"/>
          <w:i w:val="0"/>
          <w:sz w:val="24"/>
        </w:rPr>
        <w:t xml:space="preserve">[6] Bevan ER, Jones AM, Mayall BC et al. Genes encoding extended-spectrum beta-lactamases: their detection, dissemination, and clinical significance. </w:t>
      </w:r>
      <w:r>
        <w:rPr>
          <w:rFonts w:ascii="Times New Roman" w:hAnsi="Times New Roman"/>
          <w:b w:val="0"/>
          <w:i/>
          <w:sz w:val="24"/>
        </w:rPr>
        <w:t>Clin Microbiol Rev</w:t>
      </w:r>
      <w:r>
        <w:rPr>
          <w:rFonts w:ascii="Times New Roman" w:hAnsi="Times New Roman"/>
          <w:b w:val="0"/>
          <w:i w:val="0"/>
          <w:sz w:val="24"/>
        </w:rPr>
        <w:t xml:space="preserve"> 2017; </w:t>
      </w:r>
      <w:r>
        <w:rPr>
          <w:rFonts w:ascii="Times New Roman" w:hAnsi="Times New Roman"/>
          <w:b/>
          <w:i w:val="0"/>
          <w:sz w:val="24"/>
        </w:rPr>
        <w:t>30</w:t>
      </w:r>
      <w:r>
        <w:rPr>
          <w:rFonts w:ascii="Times New Roman" w:hAnsi="Times New Roman"/>
          <w:b w:val="0"/>
          <w:i w:val="0"/>
          <w:sz w:val="24"/>
        </w:rPr>
        <w:t>: 831--861.</w:t>
      </w:r>
    </w:p>
    <w:p>
      <w:pPr>
        <w:spacing w:after="120" w:before="0" w:line="480" w:lineRule="auto"/>
      </w:pPr>
      <w:r>
        <w:rPr>
          <w:rFonts w:ascii="Times New Roman" w:hAnsi="Times New Roman"/>
          <w:b w:val="0"/>
          <w:i w:val="0"/>
          <w:sz w:val="24"/>
        </w:rPr>
        <w:t xml:space="preserve">[7] Rozwandowicz M, Brouwer MSM, Fischer J et al. Plasmids carrying antimicrobial resistance genes in Enterobacteriaceae. </w:t>
      </w:r>
      <w:r>
        <w:rPr>
          <w:rFonts w:ascii="Times New Roman" w:hAnsi="Times New Roman"/>
          <w:b w:val="0"/>
          <w:i/>
          <w:sz w:val="24"/>
        </w:rPr>
        <w:t>J Antimicrob Chemother</w:t>
      </w:r>
      <w:r>
        <w:rPr>
          <w:rFonts w:ascii="Times New Roman" w:hAnsi="Times New Roman"/>
          <w:b w:val="0"/>
          <w:i w:val="0"/>
          <w:sz w:val="24"/>
        </w:rPr>
        <w:t xml:space="preserve"> 2018; </w:t>
      </w:r>
      <w:r>
        <w:rPr>
          <w:rFonts w:ascii="Times New Roman" w:hAnsi="Times New Roman"/>
          <w:b/>
          <w:i w:val="0"/>
          <w:sz w:val="24"/>
        </w:rPr>
        <w:t>73</w:t>
      </w:r>
      <w:r>
        <w:rPr>
          <w:rFonts w:ascii="Times New Roman" w:hAnsi="Times New Roman"/>
          <w:b w:val="0"/>
          <w:i w:val="0"/>
          <w:sz w:val="24"/>
        </w:rPr>
        <w:t>(5): 1121--1137.</w:t>
      </w:r>
    </w:p>
    <w:p>
      <w:pPr>
        <w:spacing w:after="120" w:before="0" w:line="480" w:lineRule="auto"/>
      </w:pPr>
      <w:r>
        <w:rPr>
          <w:rFonts w:ascii="Times New Roman" w:hAnsi="Times New Roman"/>
          <w:b w:val="0"/>
          <w:i w:val="0"/>
          <w:sz w:val="24"/>
        </w:rPr>
        <w:t xml:space="preserve">[8] Sheppard AE, Stoesser N, Wilson DJ et al. Nested Russian doll-like genetic mobility drives rapid dissemination of the carbapenem resistance gene blaKPC. </w:t>
      </w:r>
      <w:r>
        <w:rPr>
          <w:rFonts w:ascii="Times New Roman" w:hAnsi="Times New Roman"/>
          <w:b w:val="0"/>
          <w:i/>
          <w:sz w:val="24"/>
        </w:rPr>
        <w:t>Antimicrob Agents Chemother</w:t>
      </w:r>
      <w:r>
        <w:rPr>
          <w:rFonts w:ascii="Times New Roman" w:hAnsi="Times New Roman"/>
          <w:b w:val="0"/>
          <w:i w:val="0"/>
          <w:sz w:val="24"/>
        </w:rPr>
        <w:t xml:space="preserve"> 2016; </w:t>
      </w:r>
      <w:r>
        <w:rPr>
          <w:rFonts w:ascii="Times New Roman" w:hAnsi="Times New Roman"/>
          <w:b/>
          <w:i w:val="0"/>
          <w:sz w:val="24"/>
        </w:rPr>
        <w:t>60</w:t>
      </w:r>
      <w:r>
        <w:rPr>
          <w:rFonts w:ascii="Times New Roman" w:hAnsi="Times New Roman"/>
          <w:b w:val="0"/>
          <w:i w:val="0"/>
          <w:sz w:val="24"/>
        </w:rPr>
        <w:t>(6): 3767--3778.</w:t>
      </w:r>
    </w:p>
    <w:p>
      <w:pPr>
        <w:spacing w:after="120" w:before="0" w:line="480" w:lineRule="auto"/>
      </w:pPr>
      <w:r>
        <w:rPr>
          <w:rFonts w:ascii="Times New Roman" w:hAnsi="Times New Roman"/>
          <w:b w:val="0"/>
          <w:i w:val="0"/>
          <w:sz w:val="24"/>
        </w:rPr>
        <w:t xml:space="preserve">[9] Carattoli A, Zankari E, Garcia-Fernandez A et al. In silico detection and typing of plasmids using PlasmidFinder and plasmid multilocus sequence typing. </w:t>
      </w:r>
      <w:r>
        <w:rPr>
          <w:rFonts w:ascii="Times New Roman" w:hAnsi="Times New Roman"/>
          <w:b w:val="0"/>
          <w:i/>
          <w:sz w:val="24"/>
        </w:rPr>
        <w:t>Antimicrob Agents Chemother</w:t>
      </w:r>
      <w:r>
        <w:rPr>
          <w:rFonts w:ascii="Times New Roman" w:hAnsi="Times New Roman"/>
          <w:b w:val="0"/>
          <w:i w:val="0"/>
          <w:sz w:val="24"/>
        </w:rPr>
        <w:t xml:space="preserve"> 2014; </w:t>
      </w:r>
      <w:r>
        <w:rPr>
          <w:rFonts w:ascii="Times New Roman" w:hAnsi="Times New Roman"/>
          <w:b/>
          <w:i w:val="0"/>
          <w:sz w:val="24"/>
        </w:rPr>
        <w:t>58</w:t>
      </w:r>
      <w:r>
        <w:rPr>
          <w:rFonts w:ascii="Times New Roman" w:hAnsi="Times New Roman"/>
          <w:b w:val="0"/>
          <w:i w:val="0"/>
          <w:sz w:val="24"/>
        </w:rPr>
        <w:t>(7): 3895--3903.</w:t>
      </w:r>
    </w:p>
    <w:p>
      <w:pPr>
        <w:spacing w:after="120" w:before="0" w:line="480" w:lineRule="auto"/>
      </w:pPr>
      <w:r>
        <w:rPr>
          <w:rFonts w:ascii="Times New Roman" w:hAnsi="Times New Roman"/>
          <w:b w:val="0"/>
          <w:i w:val="0"/>
          <w:sz w:val="24"/>
        </w:rPr>
        <w:t xml:space="preserve">[10] Robertson J, Nash JHE. MOB-suite: software tools for clustering, reconstruction and typing of plasmids from draft assemblies. </w:t>
      </w:r>
      <w:r>
        <w:rPr>
          <w:rFonts w:ascii="Times New Roman" w:hAnsi="Times New Roman"/>
          <w:b w:val="0"/>
          <w:i/>
          <w:sz w:val="24"/>
        </w:rPr>
        <w:t>Microb Genom</w:t>
      </w:r>
      <w:r>
        <w:rPr>
          <w:rFonts w:ascii="Times New Roman" w:hAnsi="Times New Roman"/>
          <w:b w:val="0"/>
          <w:i w:val="0"/>
          <w:sz w:val="24"/>
        </w:rPr>
        <w:t xml:space="preserve"> 2018; </w:t>
      </w:r>
      <w:r>
        <w:rPr>
          <w:rFonts w:ascii="Times New Roman" w:hAnsi="Times New Roman"/>
          <w:b/>
          <w:i w:val="0"/>
          <w:sz w:val="24"/>
        </w:rPr>
        <w:t>4</w:t>
      </w:r>
      <w:r>
        <w:rPr>
          <w:rFonts w:ascii="Times New Roman" w:hAnsi="Times New Roman"/>
          <w:b w:val="0"/>
          <w:i w:val="0"/>
          <w:sz w:val="24"/>
        </w:rPr>
        <w:t>(8): e000206.</w:t>
      </w:r>
    </w:p>
    <w:p>
      <w:pPr>
        <w:spacing w:after="120" w:before="0" w:line="480" w:lineRule="auto"/>
      </w:pPr>
      <w:r>
        <w:rPr>
          <w:rFonts w:ascii="Times New Roman" w:hAnsi="Times New Roman"/>
          <w:b w:val="0"/>
          <w:i w:val="0"/>
          <w:sz w:val="24"/>
        </w:rPr>
        <w:t xml:space="preserve">[11] Redondo-Salvo S, Fernandez-Lopez R, Ruiz R et al. Pathways for horizontal gene transfer in bacteria revealed by a global map of their plasmids. </w:t>
      </w:r>
      <w:r>
        <w:rPr>
          <w:rFonts w:ascii="Times New Roman" w:hAnsi="Times New Roman"/>
          <w:b w:val="0"/>
          <w:i/>
          <w:sz w:val="24"/>
        </w:rPr>
        <w:t>Nat Commun</w:t>
      </w:r>
      <w:r>
        <w:rPr>
          <w:rFonts w:ascii="Times New Roman" w:hAnsi="Times New Roman"/>
          <w:b w:val="0"/>
          <w:i w:val="0"/>
          <w:sz w:val="24"/>
        </w:rPr>
        <w:t xml:space="preserve"> 2020; </w:t>
      </w:r>
      <w:r>
        <w:rPr>
          <w:rFonts w:ascii="Times New Roman" w:hAnsi="Times New Roman"/>
          <w:b/>
          <w:i w:val="0"/>
          <w:sz w:val="24"/>
        </w:rPr>
        <w:t>11</w:t>
      </w:r>
      <w:r>
        <w:rPr>
          <w:rFonts w:ascii="Times New Roman" w:hAnsi="Times New Roman"/>
          <w:b w:val="0"/>
          <w:i w:val="0"/>
          <w:sz w:val="24"/>
        </w:rPr>
        <w:t>(1): 3602.</w:t>
      </w:r>
    </w:p>
    <w:p>
      <w:pPr>
        <w:spacing w:after="120" w:before="0" w:line="480" w:lineRule="auto"/>
      </w:pPr>
      <w:r>
        <w:rPr>
          <w:rFonts w:ascii="Times New Roman" w:hAnsi="Times New Roman"/>
          <w:b w:val="0"/>
          <w:i w:val="0"/>
          <w:sz w:val="24"/>
        </w:rPr>
        <w:t xml:space="preserve">[12] Shaw LP, Rosin N, MacFadyen AC et al. mge-cluster: a reference-free approach for typing mobile genetic elements using long reads. </w:t>
      </w:r>
      <w:r>
        <w:rPr>
          <w:rFonts w:ascii="Times New Roman" w:hAnsi="Times New Roman"/>
          <w:b w:val="0"/>
          <w:i/>
          <w:sz w:val="24"/>
        </w:rPr>
        <w:t>NAR Genom Bioinform</w:t>
      </w:r>
      <w:r>
        <w:rPr>
          <w:rFonts w:ascii="Times New Roman" w:hAnsi="Times New Roman"/>
          <w:b w:val="0"/>
          <w:i w:val="0"/>
          <w:sz w:val="24"/>
        </w:rPr>
        <w:t xml:space="preserve"> 2023; </w:t>
      </w:r>
      <w:r>
        <w:rPr>
          <w:rFonts w:ascii="Times New Roman" w:hAnsi="Times New Roman"/>
          <w:b/>
          <w:i w:val="0"/>
          <w:sz w:val="24"/>
        </w:rPr>
        <w:t>5</w:t>
      </w:r>
      <w:r>
        <w:rPr>
          <w:rFonts w:ascii="Times New Roman" w:hAnsi="Times New Roman"/>
          <w:b w:val="0"/>
          <w:i w:val="0"/>
          <w:sz w:val="24"/>
        </w:rPr>
        <w:t>(1): lqad002.</w:t>
      </w:r>
    </w:p>
    <w:p>
      <w:pPr>
        <w:spacing w:after="120" w:before="0" w:line="480" w:lineRule="auto"/>
      </w:pPr>
      <w:r>
        <w:rPr>
          <w:rFonts w:ascii="Times New Roman" w:hAnsi="Times New Roman"/>
          <w:b w:val="0"/>
          <w:i w:val="0"/>
          <w:sz w:val="24"/>
        </w:rPr>
        <w:t xml:space="preserve">[13] Vinatzer BA, Tian L, Heath LS. A proposal for a new practice of sequence-based identification of microorganisms: the Life Identification Number (LIN). </w:t>
      </w:r>
      <w:r>
        <w:rPr>
          <w:rFonts w:ascii="Times New Roman" w:hAnsi="Times New Roman"/>
          <w:b w:val="0"/>
          <w:i/>
          <w:sz w:val="24"/>
        </w:rPr>
        <w:t>PeerJ Preprints</w:t>
      </w:r>
      <w:r>
        <w:rPr>
          <w:rFonts w:ascii="Times New Roman" w:hAnsi="Times New Roman"/>
          <w:b w:val="0"/>
          <w:i w:val="0"/>
          <w:sz w:val="24"/>
        </w:rPr>
        <w:t xml:space="preserve"> 2017; </w:t>
      </w:r>
      <w:r>
        <w:rPr>
          <w:rFonts w:ascii="Times New Roman" w:hAnsi="Times New Roman"/>
          <w:b/>
          <w:i w:val="0"/>
          <w:sz w:val="24"/>
        </w:rPr>
        <w:t>5</w:t>
      </w:r>
      <w:r>
        <w:rPr>
          <w:rFonts w:ascii="Times New Roman" w:hAnsi="Times New Roman"/>
          <w:b w:val="0"/>
          <w:i w:val="0"/>
          <w:sz w:val="24"/>
        </w:rPr>
        <w:t>: e3174v1.</w:t>
      </w:r>
    </w:p>
    <w:p>
      <w:pPr>
        <w:spacing w:after="120" w:before="0" w:line="480" w:lineRule="auto"/>
      </w:pPr>
      <w:r>
        <w:rPr>
          <w:rFonts w:ascii="Times New Roman" w:hAnsi="Times New Roman"/>
          <w:b w:val="0"/>
          <w:i w:val="0"/>
          <w:sz w:val="24"/>
        </w:rPr>
        <w:t xml:space="preserve">[14] Tian L, Huang C, Heath LS, Vinatzer BA. LINbase: a web server for genome-based identification of prokaryotes as members of crowdsourced taxa. </w:t>
      </w:r>
      <w:r>
        <w:rPr>
          <w:rFonts w:ascii="Times New Roman" w:hAnsi="Times New Roman"/>
          <w:b w:val="0"/>
          <w:i/>
          <w:sz w:val="24"/>
        </w:rPr>
        <w:t>Nucleic Acids Res</w:t>
      </w:r>
      <w:r>
        <w:rPr>
          <w:rFonts w:ascii="Times New Roman" w:hAnsi="Times New Roman"/>
          <w:b w:val="0"/>
          <w:i w:val="0"/>
          <w:sz w:val="24"/>
        </w:rPr>
        <w:t xml:space="preserve"> 2020; </w:t>
      </w:r>
      <w:r>
        <w:rPr>
          <w:rFonts w:ascii="Times New Roman" w:hAnsi="Times New Roman"/>
          <w:b/>
          <w:i w:val="0"/>
          <w:sz w:val="24"/>
        </w:rPr>
        <w:t>48</w:t>
      </w:r>
      <w:r>
        <w:rPr>
          <w:rFonts w:ascii="Times New Roman" w:hAnsi="Times New Roman"/>
          <w:b w:val="0"/>
          <w:i w:val="0"/>
          <w:sz w:val="24"/>
        </w:rPr>
        <w:t>(W1): W529--W537.</w:t>
      </w:r>
    </w:p>
    <w:p>
      <w:pPr>
        <w:spacing w:after="120" w:before="0" w:line="480" w:lineRule="auto"/>
      </w:pPr>
      <w:r>
        <w:rPr>
          <w:rFonts w:ascii="Times New Roman" w:hAnsi="Times New Roman"/>
          <w:b w:val="0"/>
          <w:i w:val="0"/>
          <w:sz w:val="24"/>
        </w:rPr>
        <w:t xml:space="preserve">[15] Ondov BD, Treangen TJ, Melsted P et al. Mash: fast genome and metagenome distance estimation using MinHash. </w:t>
      </w:r>
      <w:r>
        <w:rPr>
          <w:rFonts w:ascii="Times New Roman" w:hAnsi="Times New Roman"/>
          <w:b w:val="0"/>
          <w:i/>
          <w:sz w:val="24"/>
        </w:rPr>
        <w:t>Genome Biol</w:t>
      </w:r>
      <w:r>
        <w:rPr>
          <w:rFonts w:ascii="Times New Roman" w:hAnsi="Times New Roman"/>
          <w:b w:val="0"/>
          <w:i w:val="0"/>
          <w:sz w:val="24"/>
        </w:rPr>
        <w:t xml:space="preserve"> 2016; </w:t>
      </w:r>
      <w:r>
        <w:rPr>
          <w:rFonts w:ascii="Times New Roman" w:hAnsi="Times New Roman"/>
          <w:b/>
          <w:i w:val="0"/>
          <w:sz w:val="24"/>
        </w:rPr>
        <w:t>17</w:t>
      </w:r>
      <w:r>
        <w:rPr>
          <w:rFonts w:ascii="Times New Roman" w:hAnsi="Times New Roman"/>
          <w:b w:val="0"/>
          <w:i w:val="0"/>
          <w:sz w:val="24"/>
        </w:rPr>
        <w:t>: 132.</w:t>
      </w:r>
    </w:p>
    <w:p>
      <w:pPr>
        <w:spacing w:after="120" w:before="0" w:line="480" w:lineRule="auto"/>
      </w:pPr>
      <w:r>
        <w:rPr>
          <w:rFonts w:ascii="Times New Roman" w:hAnsi="Times New Roman"/>
          <w:b w:val="0"/>
          <w:i w:val="0"/>
          <w:sz w:val="24"/>
        </w:rPr>
        <w:t xml:space="preserve">[16] Jain C, Rodriguez-R LM, Phillippy AM, Konstantinidis KT, Aluru S. High throughput ANI analysis of 90K prokaryotic genomes reveals clear species boundaries. </w:t>
      </w:r>
      <w:r>
        <w:rPr>
          <w:rFonts w:ascii="Times New Roman" w:hAnsi="Times New Roman"/>
          <w:b w:val="0"/>
          <w:i/>
          <w:sz w:val="24"/>
        </w:rPr>
        <w:t>Nat Commun</w:t>
      </w:r>
      <w:r>
        <w:rPr>
          <w:rFonts w:ascii="Times New Roman" w:hAnsi="Times New Roman"/>
          <w:b w:val="0"/>
          <w:i w:val="0"/>
          <w:sz w:val="24"/>
        </w:rPr>
        <w:t xml:space="preserve"> 2018; </w:t>
      </w:r>
      <w:r>
        <w:rPr>
          <w:rFonts w:ascii="Times New Roman" w:hAnsi="Times New Roman"/>
          <w:b/>
          <w:i w:val="0"/>
          <w:sz w:val="24"/>
        </w:rPr>
        <w:t>9</w:t>
      </w:r>
      <w:r>
        <w:rPr>
          <w:rFonts w:ascii="Times New Roman" w:hAnsi="Times New Roman"/>
          <w:b w:val="0"/>
          <w:i w:val="0"/>
          <w:sz w:val="24"/>
        </w:rPr>
        <w:t>(1): 5114.</w:t>
      </w:r>
    </w:p>
    <w:p>
      <w:pPr>
        <w:spacing w:after="120" w:before="0" w:line="480" w:lineRule="auto"/>
      </w:pPr>
      <w:r>
        <w:rPr>
          <w:rFonts w:ascii="Times New Roman" w:hAnsi="Times New Roman"/>
          <w:b w:val="0"/>
          <w:i w:val="0"/>
          <w:sz w:val="24"/>
        </w:rPr>
        <w:t xml:space="preserve">[17] Yao Y, Lazaro-Perona F, Falgenhauer L et al. Insights into a novel blaKPC-2-encoding IncP-6 plasmid reveal carbapenem-resistance circulation in several Enterobacteriaceae species from a hospital in Germany. </w:t>
      </w:r>
      <w:r>
        <w:rPr>
          <w:rFonts w:ascii="Times New Roman" w:hAnsi="Times New Roman"/>
          <w:b w:val="0"/>
          <w:i/>
          <w:sz w:val="24"/>
        </w:rPr>
        <w:t>Microbiol Spectr</w:t>
      </w:r>
      <w:r>
        <w:rPr>
          <w:rFonts w:ascii="Times New Roman" w:hAnsi="Times New Roman"/>
          <w:b w:val="0"/>
          <w:i w:val="0"/>
          <w:sz w:val="24"/>
        </w:rPr>
        <w:t xml:space="preserve"> 2023; </w:t>
      </w:r>
      <w:r>
        <w:rPr>
          <w:rFonts w:ascii="Times New Roman" w:hAnsi="Times New Roman"/>
          <w:b/>
          <w:i w:val="0"/>
          <w:sz w:val="24"/>
        </w:rPr>
        <w:t>11</w:t>
      </w:r>
      <w:r>
        <w:rPr>
          <w:rFonts w:ascii="Times New Roman" w:hAnsi="Times New Roman"/>
          <w:b w:val="0"/>
          <w:i w:val="0"/>
          <w:sz w:val="24"/>
        </w:rPr>
        <w:t>(3): e00425-23.</w:t>
      </w:r>
    </w:p>
    <w:p>
      <w:pPr>
        <w:spacing w:after="120" w:before="0" w:line="480" w:lineRule="auto"/>
      </w:pPr>
      <w:r>
        <w:rPr>
          <w:rFonts w:ascii="Times New Roman" w:hAnsi="Times New Roman"/>
          <w:b w:val="0"/>
          <w:i w:val="0"/>
          <w:sz w:val="24"/>
        </w:rPr>
        <w:t xml:space="preserve">[18] Weber RE, Pietsch M, Fruhauf A et al. IS26-mediated transfer of blaNDM-1 as the main route of resistance transmission during a polyclonal, multispecies outbreak in a German hospital. </w:t>
      </w:r>
      <w:r>
        <w:rPr>
          <w:rFonts w:ascii="Times New Roman" w:hAnsi="Times New Roman"/>
          <w:b w:val="0"/>
          <w:i/>
          <w:sz w:val="24"/>
        </w:rPr>
        <w:t>Front Microbiol</w:t>
      </w:r>
      <w:r>
        <w:rPr>
          <w:rFonts w:ascii="Times New Roman" w:hAnsi="Times New Roman"/>
          <w:b w:val="0"/>
          <w:i w:val="0"/>
          <w:sz w:val="24"/>
        </w:rPr>
        <w:t xml:space="preserve"> 2019; </w:t>
      </w:r>
      <w:r>
        <w:rPr>
          <w:rFonts w:ascii="Times New Roman" w:hAnsi="Times New Roman"/>
          <w:b/>
          <w:i w:val="0"/>
          <w:sz w:val="24"/>
        </w:rPr>
        <w:t>10</w:t>
      </w:r>
      <w:r>
        <w:rPr>
          <w:rFonts w:ascii="Times New Roman" w:hAnsi="Times New Roman"/>
          <w:b w:val="0"/>
          <w:i w:val="0"/>
          <w:sz w:val="24"/>
        </w:rPr>
        <w:t>: 2817.</w:t>
      </w:r>
    </w:p>
    <w:p>
      <w:pPr>
        <w:spacing w:after="120" w:before="0" w:line="480" w:lineRule="auto"/>
      </w:pPr>
      <w:r>
        <w:rPr>
          <w:rFonts w:ascii="Times New Roman" w:hAnsi="Times New Roman"/>
          <w:b w:val="0"/>
          <w:i w:val="0"/>
          <w:sz w:val="24"/>
        </w:rPr>
        <w:t xml:space="preserve">[19] Marimuthu K, Venkatachalam I, Khong WX et al. Clinical and molecular epidemiology of carbapenem-resistant Enterobacterales among hospitalized patients in a multi-centre cohort in Singapore. </w:t>
      </w:r>
      <w:r>
        <w:rPr>
          <w:rFonts w:ascii="Times New Roman" w:hAnsi="Times New Roman"/>
          <w:b w:val="0"/>
          <w:i/>
          <w:sz w:val="24"/>
        </w:rPr>
        <w:t>Nat Commun</w:t>
      </w:r>
      <w:r>
        <w:rPr>
          <w:rFonts w:ascii="Times New Roman" w:hAnsi="Times New Roman"/>
          <w:b w:val="0"/>
          <w:i w:val="0"/>
          <w:sz w:val="24"/>
        </w:rPr>
        <w:t xml:space="preserve"> 2022; </w:t>
      </w:r>
      <w:r>
        <w:rPr>
          <w:rFonts w:ascii="Times New Roman" w:hAnsi="Times New Roman"/>
          <w:b/>
          <w:i w:val="0"/>
          <w:sz w:val="24"/>
        </w:rPr>
        <w:t>13</w:t>
      </w:r>
      <w:r>
        <w:rPr>
          <w:rFonts w:ascii="Times New Roman" w:hAnsi="Times New Roman"/>
          <w:b w:val="0"/>
          <w:i w:val="0"/>
          <w:sz w:val="24"/>
        </w:rPr>
        <w:t>(1): 3907.</w:t>
      </w:r>
    </w:p>
    <w:p>
      <w:pPr>
        <w:spacing w:after="120" w:before="0" w:line="480" w:lineRule="auto"/>
      </w:pPr>
      <w:r>
        <w:rPr>
          <w:rFonts w:ascii="Times New Roman" w:hAnsi="Times New Roman"/>
          <w:b w:val="0"/>
          <w:i w:val="0"/>
          <w:sz w:val="24"/>
        </w:rPr>
        <w:t xml:space="preserve">[20] Roberts LW, Harris PNA, Forde BM et al. Integrating multiple genomic technologies to investigate an outbreak of carbapenemase-producing Enterobacter hormaechei. </w:t>
      </w:r>
      <w:r>
        <w:rPr>
          <w:rFonts w:ascii="Times New Roman" w:hAnsi="Times New Roman"/>
          <w:b w:val="0"/>
          <w:i/>
          <w:sz w:val="24"/>
        </w:rPr>
        <w:t>Nat Commun</w:t>
      </w:r>
      <w:r>
        <w:rPr>
          <w:rFonts w:ascii="Times New Roman" w:hAnsi="Times New Roman"/>
          <w:b w:val="0"/>
          <w:i w:val="0"/>
          <w:sz w:val="24"/>
        </w:rPr>
        <w:t xml:space="preserve"> 2020; </w:t>
      </w:r>
      <w:r>
        <w:rPr>
          <w:rFonts w:ascii="Times New Roman" w:hAnsi="Times New Roman"/>
          <w:b/>
          <w:i w:val="0"/>
          <w:sz w:val="24"/>
        </w:rPr>
        <w:t>11</w:t>
      </w:r>
      <w:r>
        <w:rPr>
          <w:rFonts w:ascii="Times New Roman" w:hAnsi="Times New Roman"/>
          <w:b w:val="0"/>
          <w:i w:val="0"/>
          <w:sz w:val="24"/>
        </w:rPr>
        <w:t>(1): 466.</w:t>
      </w:r>
    </w:p>
    <w:p>
      <w:pPr>
        <w:spacing w:after="120" w:before="0" w:line="480" w:lineRule="auto"/>
      </w:pPr>
      <w:r>
        <w:rPr>
          <w:rFonts w:ascii="Times New Roman" w:hAnsi="Times New Roman"/>
          <w:b w:val="0"/>
          <w:i w:val="0"/>
          <w:sz w:val="24"/>
        </w:rPr>
        <w:t xml:space="preserve">[21] Villa L, Garcia-Fernandez A, Fortini D, Carattoli A. Replicon sequence typing of IncF plasmids carrying virulence and resistance determinants. </w:t>
      </w:r>
      <w:r>
        <w:rPr>
          <w:rFonts w:ascii="Times New Roman" w:hAnsi="Times New Roman"/>
          <w:b w:val="0"/>
          <w:i/>
          <w:sz w:val="24"/>
        </w:rPr>
        <w:t>J Antimicrob Chemother</w:t>
      </w:r>
      <w:r>
        <w:rPr>
          <w:rFonts w:ascii="Times New Roman" w:hAnsi="Times New Roman"/>
          <w:b w:val="0"/>
          <w:i w:val="0"/>
          <w:sz w:val="24"/>
        </w:rPr>
        <w:t xml:space="preserve"> 2010; </w:t>
      </w:r>
      <w:r>
        <w:rPr>
          <w:rFonts w:ascii="Times New Roman" w:hAnsi="Times New Roman"/>
          <w:b/>
          <w:i w:val="0"/>
          <w:sz w:val="24"/>
        </w:rPr>
        <w:t>65</w:t>
      </w:r>
      <w:r>
        <w:rPr>
          <w:rFonts w:ascii="Times New Roman" w:hAnsi="Times New Roman"/>
          <w:b w:val="0"/>
          <w:i w:val="0"/>
          <w:sz w:val="24"/>
        </w:rPr>
        <w:t>(12): 2518--2529.</w:t>
      </w:r>
    </w:p>
    <w:p>
      <w:pPr>
        <w:spacing w:after="120" w:before="0" w:line="480" w:lineRule="auto"/>
      </w:pPr>
      <w:r>
        <w:rPr>
          <w:rFonts w:ascii="Times New Roman" w:hAnsi="Times New Roman"/>
          <w:b w:val="0"/>
          <w:i w:val="0"/>
          <w:sz w:val="24"/>
        </w:rPr>
        <w:t xml:space="preserve">[22] Smillie C, Garcillan-Barcia MP, Francia MV, Rocha EPC, de la Cruz F. Mobility of plasmids. </w:t>
      </w:r>
      <w:r>
        <w:rPr>
          <w:rFonts w:ascii="Times New Roman" w:hAnsi="Times New Roman"/>
          <w:b w:val="0"/>
          <w:i/>
          <w:sz w:val="24"/>
        </w:rPr>
        <w:t>Microbiol Mol Biol Rev</w:t>
      </w:r>
      <w:r>
        <w:rPr>
          <w:rFonts w:ascii="Times New Roman" w:hAnsi="Times New Roman"/>
          <w:b w:val="0"/>
          <w:i w:val="0"/>
          <w:sz w:val="24"/>
        </w:rPr>
        <w:t xml:space="preserve"> 2010; </w:t>
      </w:r>
      <w:r>
        <w:rPr>
          <w:rFonts w:ascii="Times New Roman" w:hAnsi="Times New Roman"/>
          <w:b/>
          <w:i w:val="0"/>
          <w:sz w:val="24"/>
        </w:rPr>
        <w:t>74</w:t>
      </w:r>
      <w:r>
        <w:rPr>
          <w:rFonts w:ascii="Times New Roman" w:hAnsi="Times New Roman"/>
          <w:b w:val="0"/>
          <w:i w:val="0"/>
          <w:sz w:val="24"/>
        </w:rPr>
        <w:t>(3): 434--452.</w:t>
      </w:r>
    </w:p>
    <w:p>
      <w:pPr>
        <w:spacing w:after="120" w:before="0" w:line="480" w:lineRule="auto"/>
      </w:pPr>
      <w:r>
        <w:rPr>
          <w:rFonts w:ascii="Times New Roman" w:hAnsi="Times New Roman"/>
          <w:b w:val="0"/>
          <w:i w:val="0"/>
          <w:sz w:val="24"/>
        </w:rPr>
        <w:t xml:space="preserve">[23] Feldgarden M, Brover V, Gonzalez-Escalona N et al. AMRFinderPlus and the Reference Gene Catalog facilitate examination of the genomic links among antimicrobial resistance, stress response, and virulence. </w:t>
      </w:r>
      <w:r>
        <w:rPr>
          <w:rFonts w:ascii="Times New Roman" w:hAnsi="Times New Roman"/>
          <w:b w:val="0"/>
          <w:i/>
          <w:sz w:val="24"/>
        </w:rPr>
        <w:t>Sci Rep</w:t>
      </w:r>
      <w:r>
        <w:rPr>
          <w:rFonts w:ascii="Times New Roman" w:hAnsi="Times New Roman"/>
          <w:b w:val="0"/>
          <w:i w:val="0"/>
          <w:sz w:val="24"/>
        </w:rPr>
        <w:t xml:space="preserve"> 2021; </w:t>
      </w:r>
      <w:r>
        <w:rPr>
          <w:rFonts w:ascii="Times New Roman" w:hAnsi="Times New Roman"/>
          <w:b/>
          <w:i w:val="0"/>
          <w:sz w:val="24"/>
        </w:rPr>
        <w:t>11</w:t>
      </w:r>
      <w:r>
        <w:rPr>
          <w:rFonts w:ascii="Times New Roman" w:hAnsi="Times New Roman"/>
          <w:b w:val="0"/>
          <w:i w:val="0"/>
          <w:sz w:val="24"/>
        </w:rPr>
        <w:t>: 12728.</w:t>
      </w:r>
    </w:p>
    <w:p>
      <w:pPr>
        <w:spacing w:after="120" w:before="0" w:line="480" w:lineRule="auto"/>
      </w:pPr>
      <w:r>
        <w:rPr>
          <w:rFonts w:ascii="Times New Roman" w:hAnsi="Times New Roman"/>
          <w:b w:val="0"/>
          <w:i w:val="0"/>
          <w:sz w:val="24"/>
        </w:rPr>
        <w:t xml:space="preserve">[24] David S, Reuter S, Harris SR et al. Epidemic of carbapenem-resistant </w:t>
      </w:r>
      <w:r>
        <w:rPr>
          <w:rFonts w:ascii="Times New Roman" w:hAnsi="Times New Roman"/>
          <w:b w:val="0"/>
          <w:i/>
          <w:sz w:val="24"/>
        </w:rPr>
        <w:t>Klebsiella pneumoniae</w:t>
      </w:r>
      <w:r>
        <w:rPr>
          <w:rFonts w:ascii="Times New Roman" w:hAnsi="Times New Roman"/>
          <w:b w:val="0"/>
          <w:i w:val="0"/>
          <w:sz w:val="24"/>
        </w:rPr>
        <w:t xml:space="preserve"> in Europe is driven by nosocomial spread. </w:t>
      </w:r>
      <w:r>
        <w:rPr>
          <w:rFonts w:ascii="Times New Roman" w:hAnsi="Times New Roman"/>
          <w:b w:val="0"/>
          <w:i/>
          <w:sz w:val="24"/>
        </w:rPr>
        <w:t>Nat Microbiol</w:t>
      </w:r>
      <w:r>
        <w:rPr>
          <w:rFonts w:ascii="Times New Roman" w:hAnsi="Times New Roman"/>
          <w:b w:val="0"/>
          <w:i w:val="0"/>
          <w:sz w:val="24"/>
        </w:rPr>
        <w:t xml:space="preserve"> 2019; </w:t>
      </w:r>
      <w:r>
        <w:rPr>
          <w:rFonts w:ascii="Times New Roman" w:hAnsi="Times New Roman"/>
          <w:b/>
          <w:i w:val="0"/>
          <w:sz w:val="24"/>
        </w:rPr>
        <w:t>4</w:t>
      </w:r>
      <w:r>
        <w:rPr>
          <w:rFonts w:ascii="Times New Roman" w:hAnsi="Times New Roman"/>
          <w:b w:val="0"/>
          <w:i w:val="0"/>
          <w:sz w:val="24"/>
        </w:rPr>
        <w:t>(11): 1919--1929.</w:t>
      </w:r>
    </w:p>
    <w:p>
      <w:pPr>
        <w:spacing w:after="120" w:before="0" w:line="480" w:lineRule="auto"/>
      </w:pPr>
      <w:r>
        <w:rPr>
          <w:rFonts w:ascii="Times New Roman" w:hAnsi="Times New Roman"/>
          <w:b w:val="0"/>
          <w:i w:val="0"/>
          <w:sz w:val="24"/>
        </w:rPr>
        <w:t xml:space="preserve">[25] Pitout JDD, Peirano G, Kock MM, Strydom KA, Matsumura Y. The global ascendency of OXA-48-type carbapenemases. </w:t>
      </w:r>
      <w:r>
        <w:rPr>
          <w:rFonts w:ascii="Times New Roman" w:hAnsi="Times New Roman"/>
          <w:b w:val="0"/>
          <w:i/>
          <w:sz w:val="24"/>
        </w:rPr>
        <w:t>Clin Microbiol Rev</w:t>
      </w:r>
      <w:r>
        <w:rPr>
          <w:rFonts w:ascii="Times New Roman" w:hAnsi="Times New Roman"/>
          <w:b w:val="0"/>
          <w:i w:val="0"/>
          <w:sz w:val="24"/>
        </w:rPr>
        <w:t xml:space="preserve"> 2024; </w:t>
      </w:r>
      <w:r>
        <w:rPr>
          <w:rFonts w:ascii="Times New Roman" w:hAnsi="Times New Roman"/>
          <w:b/>
          <w:i w:val="0"/>
          <w:sz w:val="24"/>
        </w:rPr>
        <w:t>37</w:t>
      </w:r>
      <w:r>
        <w:rPr>
          <w:rFonts w:ascii="Times New Roman" w:hAnsi="Times New Roman"/>
          <w:b w:val="0"/>
          <w:i w:val="0"/>
          <w:sz w:val="24"/>
        </w:rPr>
        <w:t>(1): e00102-23.</w:t>
      </w:r>
    </w:p>
    <w:p>
      <w:pPr>
        <w:spacing w:after="120" w:before="0" w:line="480" w:lineRule="auto"/>
      </w:pPr>
      <w:r>
        <w:rPr>
          <w:rFonts w:ascii="Times New Roman" w:hAnsi="Times New Roman"/>
          <w:b w:val="0"/>
          <w:i w:val="0"/>
          <w:sz w:val="24"/>
        </w:rPr>
        <w:t>[26] Seemann T. mlst: scan contig files against PubMLST typing schemes. https://github.com/tseemann/mlst. 2023.</w:t>
      </w:r>
    </w:p>
    <w:p>
      <w:pPr>
        <w:spacing w:after="120" w:before="0" w:line="480" w:lineRule="auto"/>
      </w:pPr>
      <w:r>
        <w:rPr>
          <w:rFonts w:ascii="Times New Roman" w:hAnsi="Times New Roman"/>
          <w:b w:val="0"/>
          <w:i w:val="0"/>
          <w:sz w:val="24"/>
        </w:rPr>
        <w:t xml:space="preserve">[27] Duchene S, Holt KE, Weill FX et al. Genome-scale rates of evolutionary change in bacteria. </w:t>
      </w:r>
      <w:r>
        <w:rPr>
          <w:rFonts w:ascii="Times New Roman" w:hAnsi="Times New Roman"/>
          <w:b w:val="0"/>
          <w:i/>
          <w:sz w:val="24"/>
        </w:rPr>
        <w:t>Microb Genom</w:t>
      </w:r>
      <w:r>
        <w:rPr>
          <w:rFonts w:ascii="Times New Roman" w:hAnsi="Times New Roman"/>
          <w:b w:val="0"/>
          <w:i w:val="0"/>
          <w:sz w:val="24"/>
        </w:rPr>
        <w:t xml:space="preserve"> 2016; </w:t>
      </w:r>
      <w:r>
        <w:rPr>
          <w:rFonts w:ascii="Times New Roman" w:hAnsi="Times New Roman"/>
          <w:b/>
          <w:i w:val="0"/>
          <w:sz w:val="24"/>
        </w:rPr>
        <w:t>2</w:t>
      </w:r>
      <w:r>
        <w:rPr>
          <w:rFonts w:ascii="Times New Roman" w:hAnsi="Times New Roman"/>
          <w:b w:val="0"/>
          <w:i w:val="0"/>
          <w:sz w:val="24"/>
        </w:rPr>
        <w:t>(11): e000094.</w:t>
      </w:r>
    </w:p>
    <w:p>
      <w:pPr>
        <w:spacing w:after="120" w:before="0" w:line="480" w:lineRule="auto"/>
      </w:pPr>
      <w:r>
        <w:rPr>
          <w:rFonts w:ascii="Times New Roman" w:hAnsi="Times New Roman"/>
          <w:b w:val="0"/>
          <w:i w:val="0"/>
          <w:sz w:val="24"/>
        </w:rPr>
        <w:t xml:space="preserve">[28] Porse A, Schonning K, Munck C, Sommer MOA. Survival and evolution of a large multidrug resistance plasmid in new clinical bacterial hosts. </w:t>
      </w:r>
      <w:r>
        <w:rPr>
          <w:rFonts w:ascii="Times New Roman" w:hAnsi="Times New Roman"/>
          <w:b w:val="0"/>
          <w:i/>
          <w:sz w:val="24"/>
        </w:rPr>
        <w:t>Mol Biol Evol</w:t>
      </w:r>
      <w:r>
        <w:rPr>
          <w:rFonts w:ascii="Times New Roman" w:hAnsi="Times New Roman"/>
          <w:b w:val="0"/>
          <w:i w:val="0"/>
          <w:sz w:val="24"/>
        </w:rPr>
        <w:t xml:space="preserve"> 2016; </w:t>
      </w:r>
      <w:r>
        <w:rPr>
          <w:rFonts w:ascii="Times New Roman" w:hAnsi="Times New Roman"/>
          <w:b/>
          <w:i w:val="0"/>
          <w:sz w:val="24"/>
        </w:rPr>
        <w:t>33</w:t>
      </w:r>
      <w:r>
        <w:rPr>
          <w:rFonts w:ascii="Times New Roman" w:hAnsi="Times New Roman"/>
          <w:b w:val="0"/>
          <w:i w:val="0"/>
          <w:sz w:val="24"/>
        </w:rPr>
        <w:t>(11): 2860--2873.</w:t>
      </w:r>
    </w:p>
    <w:p>
      <w:pPr>
        <w:spacing w:after="120" w:before="0" w:line="480" w:lineRule="auto"/>
      </w:pPr>
      <w:r>
        <w:rPr>
          <w:rFonts w:ascii="Times New Roman" w:hAnsi="Times New Roman"/>
          <w:b w:val="0"/>
          <w:i w:val="0"/>
          <w:sz w:val="24"/>
        </w:rPr>
        <w:t xml:space="preserve">[29] Kwong SM, Ramsay JP, Jensen SO, Firth N. Replication of staphylococcal resistance plasmids. </w:t>
      </w:r>
      <w:r>
        <w:rPr>
          <w:rFonts w:ascii="Times New Roman" w:hAnsi="Times New Roman"/>
          <w:b w:val="0"/>
          <w:i/>
          <w:sz w:val="24"/>
        </w:rPr>
        <w:t>Front Microbiol</w:t>
      </w:r>
      <w:r>
        <w:rPr>
          <w:rFonts w:ascii="Times New Roman" w:hAnsi="Times New Roman"/>
          <w:b w:val="0"/>
          <w:i w:val="0"/>
          <w:sz w:val="24"/>
        </w:rPr>
        <w:t xml:space="preserve"> 2017; </w:t>
      </w:r>
      <w:r>
        <w:rPr>
          <w:rFonts w:ascii="Times New Roman" w:hAnsi="Times New Roman"/>
          <w:b/>
          <w:i w:val="0"/>
          <w:sz w:val="24"/>
        </w:rPr>
        <w:t>8</w:t>
      </w:r>
      <w:r>
        <w:rPr>
          <w:rFonts w:ascii="Times New Roman" w:hAnsi="Times New Roman"/>
          <w:b w:val="0"/>
          <w:i w:val="0"/>
          <w:sz w:val="24"/>
        </w:rPr>
        <w:t>: 2279.</w:t>
      </w:r>
    </w:p>
    <w:p>
      <w:pPr>
        <w:spacing w:after="120" w:before="0" w:line="480" w:lineRule="auto"/>
      </w:pPr>
      <w:r>
        <w:rPr>
          <w:rFonts w:ascii="Times New Roman" w:hAnsi="Times New Roman"/>
          <w:b w:val="0"/>
          <w:i w:val="0"/>
          <w:sz w:val="24"/>
        </w:rPr>
        <w:t xml:space="preserve">[30] Palmer KL, Kos VN, Gilmore MS. Horizontal gene transfer and the genomics of enterococcal antibiotic resistance. </w:t>
      </w:r>
      <w:r>
        <w:rPr>
          <w:rFonts w:ascii="Times New Roman" w:hAnsi="Times New Roman"/>
          <w:b w:val="0"/>
          <w:i/>
          <w:sz w:val="24"/>
        </w:rPr>
        <w:t>Curr Opin Microbiol</w:t>
      </w:r>
      <w:r>
        <w:rPr>
          <w:rFonts w:ascii="Times New Roman" w:hAnsi="Times New Roman"/>
          <w:b w:val="0"/>
          <w:i w:val="0"/>
          <w:sz w:val="24"/>
        </w:rPr>
        <w:t xml:space="preserve"> 2010; </w:t>
      </w:r>
      <w:r>
        <w:rPr>
          <w:rFonts w:ascii="Times New Roman" w:hAnsi="Times New Roman"/>
          <w:b/>
          <w:i w:val="0"/>
          <w:sz w:val="24"/>
        </w:rPr>
        <w:t>13</w:t>
      </w:r>
      <w:r>
        <w:rPr>
          <w:rFonts w:ascii="Times New Roman" w:hAnsi="Times New Roman"/>
          <w:b w:val="0"/>
          <w:i w:val="0"/>
          <w:sz w:val="24"/>
        </w:rPr>
        <w:t>(5): 632--639.</w:t>
      </w:r>
    </w:p>
    <w:p>
      <w:pPr>
        <w:spacing w:after="120" w:before="0" w:line="480" w:lineRule="auto"/>
      </w:pPr>
      <w:r>
        <w:rPr>
          <w:rFonts w:ascii="Times New Roman" w:hAnsi="Times New Roman"/>
          <w:b w:val="0"/>
          <w:i w:val="0"/>
          <w:sz w:val="24"/>
        </w:rPr>
        <w:t xml:space="preserve">[31] Schmartz GP, Mangold KA, Raden M, et al. PLSDB: advancing a comprehensive database of bacterial plasmids. </w:t>
      </w:r>
      <w:r>
        <w:rPr>
          <w:rFonts w:ascii="Times New Roman" w:hAnsi="Times New Roman"/>
          <w:b w:val="0"/>
          <w:i/>
          <w:sz w:val="24"/>
        </w:rPr>
        <w:t>Nucleic Acids Research</w:t>
      </w:r>
      <w:r>
        <w:rPr>
          <w:rFonts w:ascii="Times New Roman" w:hAnsi="Times New Roman"/>
          <w:b w:val="0"/>
          <w:i w:val="0"/>
          <w:sz w:val="24"/>
        </w:rPr>
        <w:t xml:space="preserve"> 2022; </w:t>
      </w:r>
      <w:r>
        <w:rPr>
          <w:rFonts w:ascii="Times New Roman" w:hAnsi="Times New Roman"/>
          <w:b/>
          <w:i w:val="0"/>
          <w:sz w:val="24"/>
        </w:rPr>
        <w:t>50</w:t>
      </w:r>
      <w:r>
        <w:rPr>
          <w:rFonts w:ascii="Times New Roman" w:hAnsi="Times New Roman"/>
          <w:b w:val="0"/>
          <w:i w:val="0"/>
          <w:sz w:val="24"/>
        </w:rPr>
        <w:t>(D1): D273--D278.</w:t>
      </w:r>
    </w:p>
    <w:p>
      <w:r>
        <w:br w:type="page"/>
      </w:r>
    </w:p>
    <w:p>
      <w:pPr>
        <w:pStyle w:val="Heading1"/>
      </w:pPr>
      <w:r>
        <w:rPr>
          <w:rFonts w:ascii="Times New Roman" w:hAnsi="Times New Roman"/>
          <w:sz w:val="36"/>
        </w:rPr>
        <w:t>Figure Legends</w:t>
      </w:r>
    </w:p>
    <w:p>
      <w:pPr>
        <w:pStyle w:val="Heading2"/>
      </w:pPr>
      <w:r>
        <w:rPr>
          <w:rFonts w:ascii="Times New Roman" w:hAnsi="Times New Roman"/>
          <w:sz w:val="32"/>
        </w:rPr>
        <w:t>Figure 1. pLIN strain-level cluster composition and group concordance.</w:t>
      </w:r>
    </w:p>
    <w:p>
      <w:pPr>
        <w:spacing w:after="120" w:before="0" w:line="480" w:lineRule="auto"/>
      </w:pPr>
      <w:r>
        <w:rPr>
          <w:rFonts w:ascii="Times New Roman" w:hAnsi="Times New Roman"/>
          <w:b w:val="0"/>
          <w:i w:val="0"/>
          <w:sz w:val="24"/>
        </w:rPr>
        <w:t xml:space="preserve">Distribution of 3,073 unique strain-level pLIN codes (L6) across 28 groups (20 Gram-negative Inc groups + 4 Gram-positive rep type groups + 2 </w:t>
      </w:r>
      <w:r>
        <w:rPr>
          <w:rFonts w:ascii="Times New Roman" w:hAnsi="Times New Roman"/>
          <w:b w:val="0"/>
          <w:i/>
          <w:sz w:val="24"/>
        </w:rPr>
        <w:t>A. baumannii</w:t>
      </w:r>
      <w:r>
        <w:rPr>
          <w:rFonts w:ascii="Times New Roman" w:hAnsi="Times New Roman"/>
          <w:b w:val="0"/>
          <w:i w:val="0"/>
          <w:sz w:val="24"/>
        </w:rPr>
        <w:t xml:space="preserve"> rep type groups + 2 </w:t>
      </w:r>
      <w:r>
        <w:rPr>
          <w:rFonts w:ascii="Times New Roman" w:hAnsi="Times New Roman"/>
          <w:b w:val="0"/>
          <w:i/>
          <w:sz w:val="24"/>
        </w:rPr>
        <w:t>P. aeruginosa</w:t>
      </w:r>
      <w:r>
        <w:rPr>
          <w:rFonts w:ascii="Times New Roman" w:hAnsi="Times New Roman"/>
          <w:b w:val="0"/>
          <w:i w:val="0"/>
          <w:sz w:val="24"/>
        </w:rPr>
        <w:t xml:space="preserve"> rep type groups). Of all strain-level codes, 3,006 (97.8%) contained plasmids from a single group, while 67 codes (2.2%) contained members from two or more groups. No mixed codes were observed spanning Gram-negative and Gram-positive groups, confirming robust compositional separation. The largest mixed-group cluster (pLIN 1327, n = 869) spanned six Gram-negative Inc groups (IncF, IncFIB, IncFIBK, IncFII, IncHI1, IncN), representing a compositional convergence zone. The second-largest mixed cluster (pLIN 860, n = 142) spanned five Inc groups and carried a mean of 14.4 AMR genes per plasmid with 44.4% mcr colistin resistance carriage, representing a multidrug resistance hub. The four Gram-positive groups contributed 255 additional strain-level codes (repSA_large 72, repSA_small 52, repEF_conj 63, repEF_res 69).</w:t>
      </w:r>
    </w:p>
    <w:p>
      <w:pPr>
        <w:pStyle w:val="Heading2"/>
      </w:pPr>
      <w:r>
        <w:rPr>
          <w:rFonts w:ascii="Times New Roman" w:hAnsi="Times New Roman"/>
          <w:sz w:val="32"/>
        </w:rPr>
        <w:t>Figure 2. AMRFinderPlus gene detection summary across the 6,998 Gram-negative training plasmids (20 Inc groups).</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Overall gene detection categories: 64,891 total detections comprising 29,583 AMR (45.6%), 6,286 virulence (9.7%), and 29,022 stress (44.7%) genes across 5,816 plasmids (83.1% of the 6,998 Gram-negative plasmids). AMR analysis was performed on Gram-negative groups only; no AMR data exist for Gram-positive, </w:t>
      </w:r>
      <w:r>
        <w:rPr>
          <w:rFonts w:ascii="Times New Roman" w:hAnsi="Times New Roman"/>
          <w:b w:val="0"/>
          <w:i/>
          <w:sz w:val="24"/>
        </w:rPr>
        <w:t>Acinetobacter</w:t>
      </w:r>
      <w:r>
        <w:rPr>
          <w:rFonts w:ascii="Times New Roman" w:hAnsi="Times New Roman"/>
          <w:b w:val="0"/>
          <w:i w:val="0"/>
          <w:sz w:val="24"/>
        </w:rPr>
        <w:t xml:space="preserve">, or </w:t>
      </w:r>
      <w:r>
        <w:rPr>
          <w:rFonts w:ascii="Times New Roman" w:hAnsi="Times New Roman"/>
          <w:b w:val="0"/>
          <w:i/>
          <w:sz w:val="24"/>
        </w:rPr>
        <w:t>Pseudomonas</w:t>
      </w:r>
      <w:r>
        <w:rPr>
          <w:rFonts w:ascii="Times New Roman" w:hAnsi="Times New Roman"/>
          <w:b w:val="0"/>
          <w:i w:val="0"/>
          <w:sz w:val="24"/>
        </w:rPr>
        <w:t xml:space="preserve"> groups. </w:t>
      </w:r>
      <w:r>
        <w:rPr>
          <w:rFonts w:ascii="Times New Roman" w:hAnsi="Times New Roman"/>
          <w:b/>
          <w:i w:val="0"/>
          <w:sz w:val="24"/>
        </w:rPr>
        <w:t>(B)</w:t>
      </w:r>
      <w:r>
        <w:rPr>
          <w:rFonts w:ascii="Times New Roman" w:hAnsi="Times New Roman"/>
          <w:b w:val="0"/>
          <w:i w:val="0"/>
          <w:sz w:val="24"/>
        </w:rPr>
        <w:t xml:space="preserve"> Top 20 most frequently detected AMR genes, with blaTEM-1 (n = 1,864, 40.0% of AMR-positive plasmids) as the most prevalent, followed by sul1, tet(A), aph(6)-Id, and aph(3'')-Ib. </w:t>
      </w:r>
      <w:r>
        <w:rPr>
          <w:rFonts w:ascii="Times New Roman" w:hAnsi="Times New Roman"/>
          <w:b/>
          <w:i w:val="0"/>
          <w:sz w:val="24"/>
        </w:rPr>
        <w:t>(C)</w:t>
      </w:r>
      <w:r>
        <w:rPr>
          <w:rFonts w:ascii="Times New Roman" w:hAnsi="Times New Roman"/>
          <w:b w:val="0"/>
          <w:i w:val="0"/>
          <w:sz w:val="24"/>
        </w:rPr>
        <w:t xml:space="preserve"> AMR drug class distribution showing beta-lactam resistance as the most common category (3,483 plasmids), followed by aminoglycoside (2,723), sulfonamide (2,073), and trimethoprim (1,810) resistance.</w:t>
      </w:r>
    </w:p>
    <w:p>
      <w:pPr>
        <w:pStyle w:val="Heading2"/>
      </w:pPr>
      <w:r>
        <w:rPr>
          <w:rFonts w:ascii="Times New Roman" w:hAnsi="Times New Roman"/>
          <w:sz w:val="32"/>
        </w:rPr>
        <w:t>Figure 3. Clinically critical resistance determinants mapped to pLIN lineages.</w:t>
      </w:r>
    </w:p>
    <w:p>
      <w:pPr>
        <w:spacing w:after="120" w:before="0" w:line="480" w:lineRule="auto"/>
      </w:pPr>
      <w:r>
        <w:rPr>
          <w:rFonts w:ascii="Times New Roman" w:hAnsi="Times New Roman"/>
          <w:b w:val="0"/>
          <w:i w:val="0"/>
          <w:sz w:val="24"/>
        </w:rPr>
        <w:t>Distribution of high-priority resistance genes across the plasmid dataset: 1,635 carbapenemase detections (blaKPC-2 n = 824, blaNDM-1 n = 228, blaKPC-3 n = 193), 1,804 ESBL detections (blaCTX-M-15 n = 505, blaCTX-M-65 n = 319, blaSHV-12 n = 277), 204 colistin resistance (mcr) detections, and 2,315 plasmid-mediated quinolone resistance (PMQR) detections. Machine learning feature importance analysis (inset) showing the top discriminative tetranucleotide features: stop codon-associated trinucleotides (TAG, TGA) and CpG-related motifs (GCG, CGC) dominate, consistent with codon usage and methylation-based phylogenetic signals. GC-content-related features (GGC, GCC, CGG) rank among the top 10, reflecting the compositional separation between Gram-positive and Gram-negative groups.</w:t>
      </w:r>
    </w:p>
    <w:p>
      <w:pPr>
        <w:pStyle w:val="Heading2"/>
      </w:pPr>
      <w:r>
        <w:rPr>
          <w:rFonts w:ascii="Times New Roman" w:hAnsi="Times New Roman"/>
          <w:sz w:val="32"/>
        </w:rPr>
        <w:t>Figure 4. AMR gene profiles of high-risk pLIN lineages.</w:t>
      </w:r>
    </w:p>
    <w:p>
      <w:pPr>
        <w:spacing w:after="120" w:before="0" w:line="480" w:lineRule="auto"/>
      </w:pPr>
      <w:r>
        <w:rPr>
          <w:rFonts w:ascii="Times New Roman" w:hAnsi="Times New Roman"/>
          <w:b w:val="0"/>
          <w:i w:val="0"/>
          <w:sz w:val="24"/>
        </w:rPr>
        <w:t>Heatmap showing the AMR gene repertoire of the top 10 pLIN lineages by total AMR gene burden. pLIN 671 (IncN, n = 90) carries blaKPC-2 on 100% of members with a mean of 13.2 AMR genes per plasmid. pLIN 860 (n = 142, 5 Inc groups) exhibits 14.4 mean AMR genes with prominent carriage of sul1 (61%), floR (56%), and mcr-1.1 (37%). pLIN 1432 (IncFII, n = 21) shows the highest per-plasmid AMR burden (17.1 mean genes) with 71% blaNDM-5 carriage.</w:t>
      </w:r>
    </w:p>
    <w:p>
      <w:pPr>
        <w:pStyle w:val="Heading2"/>
      </w:pPr>
      <w:r>
        <w:rPr>
          <w:rFonts w:ascii="Times New Roman" w:hAnsi="Times New Roman"/>
          <w:sz w:val="32"/>
        </w:rPr>
        <w:t>Figure 5. Virulence and stress gene distribution across all 28 groups.</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AMR gene prevalence by Gram-negative Inc group (20 groups, 6,998 plasmids), showing that IncN plasmids exhibit the highest AMR carriage rate (85.3%) while IncFII plasmids (66.1% of the GN dataset) show the highest virulence gene prevalence (23.2%). AMR data are not available for Gram-positive, </w:t>
      </w:r>
      <w:r>
        <w:rPr>
          <w:rFonts w:ascii="Times New Roman" w:hAnsi="Times New Roman"/>
          <w:b w:val="0"/>
          <w:i/>
          <w:sz w:val="24"/>
        </w:rPr>
        <w:t>Acinetobacter</w:t>
      </w:r>
      <w:r>
        <w:rPr>
          <w:rFonts w:ascii="Times New Roman" w:hAnsi="Times New Roman"/>
          <w:b w:val="0"/>
          <w:i w:val="0"/>
          <w:sz w:val="24"/>
        </w:rPr>
        <w:t xml:space="preserve">, or </w:t>
      </w:r>
      <w:r>
        <w:rPr>
          <w:rFonts w:ascii="Times New Roman" w:hAnsi="Times New Roman"/>
          <w:b w:val="0"/>
          <w:i/>
          <w:sz w:val="24"/>
        </w:rPr>
        <w:t>Pseudomonas</w:t>
      </w:r>
      <w:r>
        <w:rPr>
          <w:rFonts w:ascii="Times New Roman" w:hAnsi="Times New Roman"/>
          <w:b w:val="0"/>
          <w:i w:val="0"/>
          <w:sz w:val="24"/>
        </w:rPr>
        <w:t xml:space="preserve"> groups. </w:t>
      </w:r>
      <w:r>
        <w:rPr>
          <w:rFonts w:ascii="Times New Roman" w:hAnsi="Times New Roman"/>
          <w:b/>
          <w:i w:val="0"/>
          <w:sz w:val="24"/>
        </w:rPr>
        <w:t>(B)</w:t>
      </w:r>
      <w:r>
        <w:rPr>
          <w:rFonts w:ascii="Times New Roman" w:hAnsi="Times New Roman"/>
          <w:b w:val="0"/>
          <w:i w:val="0"/>
          <w:sz w:val="24"/>
        </w:rPr>
        <w:t xml:space="preserve"> Virulence gene profiles by group type, with IncFII plasmids enriched for traT, spvB/D, and iucA, while IncX1 plasmids carry hlyA and fimbrial adhesin genes. </w:t>
      </w:r>
      <w:r>
        <w:rPr>
          <w:rFonts w:ascii="Times New Roman" w:hAnsi="Times New Roman"/>
          <w:b/>
          <w:i w:val="0"/>
          <w:sz w:val="24"/>
        </w:rPr>
        <w:t>(C)</w:t>
      </w:r>
      <w:r>
        <w:rPr>
          <w:rFonts w:ascii="Times New Roman" w:hAnsi="Times New Roman"/>
          <w:b w:val="0"/>
          <w:i w:val="0"/>
          <w:sz w:val="24"/>
        </w:rPr>
        <w:t xml:space="preserve"> Stress response gene distribution across Gram-negative groups.</w:t>
      </w:r>
    </w:p>
    <w:p>
      <w:pPr>
        <w:pStyle w:val="Heading2"/>
      </w:pPr>
      <w:r>
        <w:rPr>
          <w:rFonts w:ascii="Times New Roman" w:hAnsi="Times New Roman"/>
          <w:sz w:val="32"/>
        </w:rPr>
        <w:t>Figure 6. Hierarchical clustering resolution and Simpson's Index of Diversity across pLIN levels.</w:t>
      </w:r>
    </w:p>
    <w:p>
      <w:pPr>
        <w:spacing w:after="120" w:before="0" w:line="480" w:lineRule="auto"/>
      </w:pPr>
      <w:r>
        <w:rPr>
          <w:rFonts w:ascii="Times New Roman" w:hAnsi="Times New Roman"/>
          <w:b w:val="0"/>
          <w:i w:val="0"/>
          <w:sz w:val="24"/>
        </w:rPr>
        <w:t xml:space="preserve">Cluster count and discriminatory power at each of the six pLIN thresholds. At L1 (d &lt;= 0.150, ~85% ANI), 8,077 plasmids form distinct subfamilies (Gram-negative, Gram-positive, </w:t>
      </w:r>
      <w:r>
        <w:rPr>
          <w:rFonts w:ascii="Times New Roman" w:hAnsi="Times New Roman"/>
          <w:b w:val="0"/>
          <w:i/>
          <w:sz w:val="24"/>
        </w:rPr>
        <w:t>Acinetobacter</w:t>
      </w:r>
      <w:r>
        <w:rPr>
          <w:rFonts w:ascii="Times New Roman" w:hAnsi="Times New Roman"/>
          <w:b w:val="0"/>
          <w:i w:val="0"/>
          <w:sz w:val="24"/>
        </w:rPr>
        <w:t xml:space="preserve">, and </w:t>
      </w:r>
      <w:r>
        <w:rPr>
          <w:rFonts w:ascii="Times New Roman" w:hAnsi="Times New Roman"/>
          <w:b w:val="0"/>
          <w:i/>
          <w:sz w:val="24"/>
        </w:rPr>
        <w:t>Pseudomonas</w:t>
      </w:r>
      <w:r>
        <w:rPr>
          <w:rFonts w:ascii="Times New Roman" w:hAnsi="Times New Roman"/>
          <w:b w:val="0"/>
          <w:i w:val="0"/>
          <w:sz w:val="24"/>
        </w:rPr>
        <w:t>). Progressive resolution increases through L3 (9 clusters), L4 (44 subclusters), L5 (131 clone complexes), to L6 (3,073 strain-level codes). Simpson's D increases from near-zero at L1 to 0.985 at L6, demonstrating tuneable discriminatory power. The Gram-positive groups contribute 255 unique strain-level codes (repSA_large 72, repSA_small 52, repEF_conj 63, repEF_res 69). Gram-negative and Gram-positive groups are distinguished by colour.</w:t>
      </w:r>
    </w:p>
    <w:p>
      <w:pPr>
        <w:pStyle w:val="Heading2"/>
      </w:pPr>
      <w:r>
        <w:rPr>
          <w:rFonts w:ascii="Times New Roman" w:hAnsi="Times New Roman"/>
          <w:sz w:val="32"/>
        </w:rPr>
        <w:t>Figure 7. FastANI validation of cosine-to-ANI threshold mapping.</w:t>
      </w:r>
    </w:p>
    <w:p>
      <w:pPr>
        <w:spacing w:after="120" w:before="0" w:line="480" w:lineRule="auto"/>
      </w:pPr>
      <w:r>
        <w:rPr>
          <w:rFonts w:ascii="Times New Roman" w:hAnsi="Times New Roman"/>
          <w:b w:val="0"/>
          <w:i w:val="0"/>
          <w:sz w:val="24"/>
        </w:rPr>
        <w:t>Scatterplot of cosine distance versus FastANI for 4,970 within-group plasmid pairs sampled from the 20 Gram-negative Inc groups. The overall Spearman correlation (rho = -0.348, P &lt; 10^-141) and per-group correlations are annotated; 15/20 groups showed significant correlation (P &lt; 0.05). Dashed vertical lines indicate the six pLIN distance thresholds; dashed horizontal lines indicate the corresponding ANI equivalents. At the strain-level threshold (d &lt;= 0.001), the median ANI is 99.9%. The strongest per-group correlations are IncFIC (rho = -0.88), IncI2 (rho = -0.81), and ColE (rho = -0.72). Groups with non-significant correlations due to range restriction (narrow within-group ANI, &gt;93%) are indicated. FastANI validation was performed on Gram-negative Inc groups only.</w:t>
      </w:r>
    </w:p>
    <w:p>
      <w:pPr>
        <w:pStyle w:val="Heading2"/>
      </w:pPr>
      <w:r>
        <w:rPr>
          <w:rFonts w:ascii="Times New Roman" w:hAnsi="Times New Roman"/>
          <w:sz w:val="32"/>
        </w:rPr>
        <w:t>Figure 8. pLIN computational pipeline overview.</w:t>
      </w:r>
    </w:p>
    <w:p>
      <w:pPr>
        <w:spacing w:after="120" w:before="0" w:line="480" w:lineRule="auto"/>
      </w:pPr>
      <w:r>
        <w:rPr>
          <w:rFonts w:ascii="Times New Roman" w:hAnsi="Times New Roman"/>
          <w:b w:val="0"/>
          <w:i w:val="0"/>
          <w:sz w:val="24"/>
        </w:rPr>
        <w:t>Schematic of the complete pLIN workflow from FASTA input to epidemiological output. Core pipeline: Step 1: FASTA upload. Step 2: Tetranucleotide (4-mer) frequency vector computation (256 features). Step 3: Plasmid versus chromosome contig identification via multi-signal scoring (sequence length, cosine distance to nearest training vector, header keyword matching, Inc group classifier confidence; score &gt;=10 classified as plasmid, &lt;=-10 as chromosome, borderline defaults to plasmid). Step 4: KNN-based group classification of identified plasmid contigs (k = 5, cosine distance, distance-weighted; 28 groups). Step 5: Nearest-neighbour pLIN code assignment against the reference database. Quality assessment modules: Step 6: Assembly completeness scoring (composite 0--100). Step 7: Database coverage and novelty detection (traffic-light flagging). Step 8: Recombination detection (minimap2 mosaic analysis). Annotation modules: Step 9: AMRFinderPlus integration (optional). Step 10: MOB-suite mobility prediction (optional). Step 11: MGE boundary detection (IS elements, composite transposons). Validation modules: Step 12: Mash/FastANI ANI validation (optional). Step 13: minimap2 SNP sub-typing (optional). Discovery modules: Step 14: Novel group discovery (low-confidence clustering). Step 15: Evolutionary rate estimation (SNP regression). Step 16: Adaptive threshold calibration (bootstrap stability). Surveillance modules: Step 17: MinCED CRISPR host inference (optional). Step 18: Outbreak detection. Step 19: Temporal clustering. Step 20: Interactive results display and export.</w:t>
      </w:r>
    </w:p>
    <w:p>
      <w:pPr>
        <w:pStyle w:val="Heading2"/>
      </w:pPr>
      <w:r>
        <w:rPr>
          <w:rFonts w:ascii="Times New Roman" w:hAnsi="Times New Roman"/>
          <w:sz w:val="32"/>
        </w:rPr>
        <w:t>Figure 9. Reference database expansion: from 8,056 unique training plasmids to 79,305 total plasmids.</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Group composition of the full 79,305-plasmid reference database (8,056 unique training + 71,249 PLSDB/NCBI RefSeq reference), showing all 28 groups including the four Gram-positive rep type groups, two </w:t>
      </w:r>
      <w:r>
        <w:rPr>
          <w:rFonts w:ascii="Times New Roman" w:hAnsi="Times New Roman"/>
          <w:b w:val="0"/>
          <w:i/>
          <w:sz w:val="24"/>
        </w:rPr>
        <w:t>A. baumannii</w:t>
      </w:r>
      <w:r>
        <w:rPr>
          <w:rFonts w:ascii="Times New Roman" w:hAnsi="Times New Roman"/>
          <w:b w:val="0"/>
          <w:i w:val="0"/>
          <w:sz w:val="24"/>
        </w:rPr>
        <w:t xml:space="preserve"> rep type groups, and two </w:t>
      </w:r>
      <w:r>
        <w:rPr>
          <w:rFonts w:ascii="Times New Roman" w:hAnsi="Times New Roman"/>
          <w:b w:val="0"/>
          <w:i/>
          <w:sz w:val="24"/>
        </w:rPr>
        <w:t>P. aeruginosa</w:t>
      </w:r>
      <w:r>
        <w:rPr>
          <w:rFonts w:ascii="Times New Roman" w:hAnsi="Times New Roman"/>
          <w:b w:val="0"/>
          <w:i w:val="0"/>
          <w:sz w:val="24"/>
        </w:rPr>
        <w:t xml:space="preserve"> rep type groups. </w:t>
      </w:r>
      <w:r>
        <w:rPr>
          <w:rFonts w:ascii="Times New Roman" w:hAnsi="Times New Roman"/>
          <w:b/>
          <w:i w:val="0"/>
          <w:sz w:val="24"/>
        </w:rPr>
        <w:t>(B)</w:t>
      </w:r>
      <w:r>
        <w:rPr>
          <w:rFonts w:ascii="Times New Roman" w:hAnsi="Times New Roman"/>
          <w:b w:val="0"/>
          <w:i w:val="0"/>
          <w:sz w:val="24"/>
        </w:rPr>
        <w:t xml:space="preserve"> Unique pLIN code counts at L6 for each group in the expanded database, totalling 57,886 unique codes (12.6-fold increase over training only). </w:t>
      </w:r>
      <w:r>
        <w:rPr>
          <w:rFonts w:ascii="Times New Roman" w:hAnsi="Times New Roman"/>
          <w:b/>
          <w:i w:val="0"/>
          <w:sz w:val="24"/>
        </w:rPr>
        <w:t>(C)</w:t>
      </w:r>
      <w:r>
        <w:rPr>
          <w:rFonts w:ascii="Times New Roman" w:hAnsi="Times New Roman"/>
          <w:b w:val="0"/>
          <w:i w:val="0"/>
          <w:sz w:val="24"/>
        </w:rPr>
        <w:t xml:space="preserve"> Per-group memory footprint comparison, with the maximum single-group requirement of 2.3 GB (IncFII, 34,036 sequences) versus the 24 GB that would be required for global clustering -- a 10.4-fold reduction.</w:t>
      </w:r>
    </w:p>
    <w:p>
      <w:pPr>
        <w:pStyle w:val="Heading2"/>
      </w:pPr>
      <w:r>
        <w:rPr>
          <w:rFonts w:ascii="Times New Roman" w:hAnsi="Times New Roman"/>
          <w:sz w:val="32"/>
        </w:rPr>
        <w:t>Figure 10. Comparative feature matrix of plasmid classification systems.</w:t>
      </w:r>
    </w:p>
    <w:p>
      <w:pPr>
        <w:spacing w:after="120" w:before="0" w:line="480" w:lineRule="auto"/>
      </w:pPr>
      <w:r>
        <w:rPr>
          <w:rFonts w:ascii="Times New Roman" w:hAnsi="Times New Roman"/>
          <w:b w:val="0"/>
          <w:i w:val="0"/>
          <w:sz w:val="24"/>
        </w:rPr>
        <w:t>Visual comparison chart summarising Table 1 across the five criteria for comprehensive plasmid nomenclature (hierarchical levels, code permanence, reference-free operation, taxonomic scope, AMR integration). pLIN is the only system satisfying all five criteria simultaneously, and the only tool supporting both Gram-negative and Gram-positive plasmid classification. PlasmidFinder and pMLST provide stable codes but lack hierarchy and require databases. MOB-suite offers broad scope but lacks code permanence and hierarchy. COPLA provides semi-hierarchical classification but with limited assignability (41%) and mutable codes. mge-cluster is reference-free but produces flat, non-permanent clusters.</w:t>
      </w:r>
    </w:p>
    <w:p>
      <w:pPr>
        <w:pStyle w:val="Heading2"/>
      </w:pPr>
      <w:r>
        <w:rPr>
          <w:rFonts w:ascii="Times New Roman" w:hAnsi="Times New Roman"/>
          <w:sz w:val="32"/>
        </w:rPr>
        <w:t>Figure 11. Software architecture and modular design of the pLIN Streamlit application.</w:t>
      </w:r>
    </w:p>
    <w:p>
      <w:pPr>
        <w:spacing w:after="120" w:before="0" w:line="480" w:lineRule="auto"/>
      </w:pPr>
      <w:r>
        <w:rPr>
          <w:rFonts w:ascii="Times New Roman" w:hAnsi="Times New Roman"/>
          <w:b w:val="0"/>
          <w:i w:val="0"/>
          <w:sz w:val="24"/>
        </w:rPr>
        <w:t>Diagram of the eight-layer application architecture. Layer 1 (Feature extraction): BioPython FASTA parsing, NumPy 4-mer counting. Layer 2 (Contig identification): multi-signal plasmid versus chromosome scoring using sequence length, cosine distance to nearest training vector, header keyword matching, and Inc group classifier confidence. Layer 3 (Classification): scikit-learn KNN classifier (28 groups), nearest-neighbour pLIN assignment. Layer 4 (Quality assessment): assembly completeness scoring, database coverage and novelty detection, recombination analysis. Layer 5 (AMR annotation): AMRFinderPlus nucleotide-mode detection with --plus flag; MGE boundary detection and composite transposon identification. Layer 6 (Validation): Mash ANI estimation, FastANI true ANI, minimap2 SNP sub-typing. Layer 7 (Discovery): novel group discovery, evolutionary rate estimation, adaptive threshold calibration with cluster stability assessment. Layer 8 (Surveillance): outbreak detection, temporal clustering, MOB-suite mobility, MinCED CRISPR host inference. External tools follow a graceful degradation model (auto-detected at runtime; modules disabled if unavailable).</w:t>
      </w:r>
    </w:p>
    <w:p>
      <w:pPr>
        <w:pStyle w:val="Heading2"/>
      </w:pPr>
      <w:r>
        <w:rPr>
          <w:rFonts w:ascii="Times New Roman" w:hAnsi="Times New Roman"/>
          <w:sz w:val="32"/>
        </w:rPr>
        <w:t>Figure 12. KNN group classifier performance across 28 groups.</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Confusion matrix from 5-fold cross-validation showing the 91.1% overall accuracy of the KNN classifier (k = 5, cosine distance, distance-weighted) on 8,077 training samples (8,056 unique) across 28 groups (20 Gram-negative Inc + 4 Gram-positive rep + 2 </w:t>
      </w:r>
      <w:r>
        <w:rPr>
          <w:rFonts w:ascii="Times New Roman" w:hAnsi="Times New Roman"/>
          <w:b w:val="0"/>
          <w:i/>
          <w:sz w:val="24"/>
        </w:rPr>
        <w:t>A. baumannii</w:t>
      </w:r>
      <w:r>
        <w:rPr>
          <w:rFonts w:ascii="Times New Roman" w:hAnsi="Times New Roman"/>
          <w:b w:val="0"/>
          <w:i w:val="0"/>
          <w:sz w:val="24"/>
        </w:rPr>
        <w:t xml:space="preserve"> rep + 2 </w:t>
      </w:r>
      <w:r>
        <w:rPr>
          <w:rFonts w:ascii="Times New Roman" w:hAnsi="Times New Roman"/>
          <w:b w:val="0"/>
          <w:i/>
          <w:sz w:val="24"/>
        </w:rPr>
        <w:t>P. aeruginosa</w:t>
      </w:r>
      <w:r>
        <w:rPr>
          <w:rFonts w:ascii="Times New Roman" w:hAnsi="Times New Roman"/>
          <w:b w:val="0"/>
          <w:i w:val="0"/>
          <w:sz w:val="24"/>
        </w:rPr>
        <w:t xml:space="preserve"> rep). Dominant confusion pairs involve compositionally near-identical groups (IncFIB/IncFII inter-centroid d = 0.002; IncF/IncFII d = 0.003; repEF_conj/repEF_res d = 0.012). </w:t>
      </w:r>
      <w:r>
        <w:rPr>
          <w:rFonts w:ascii="Times New Roman" w:hAnsi="Times New Roman"/>
          <w:b/>
          <w:i w:val="0"/>
          <w:sz w:val="24"/>
        </w:rPr>
        <w:t>(B)</w:t>
      </w:r>
      <w:r>
        <w:rPr>
          <w:rFonts w:ascii="Times New Roman" w:hAnsi="Times New Roman"/>
          <w:b w:val="0"/>
          <w:i w:val="0"/>
          <w:sz w:val="24"/>
        </w:rPr>
        <w:t xml:space="preserve"> Per-group precision, recall, and F1 scores, with Gram-positive groups highlighted. Cross-validation accuracy for Gram-positive groups ranged from 88.4% (repEF_conj) to 94.2% (repSA_small). </w:t>
      </w:r>
      <w:r>
        <w:rPr>
          <w:rFonts w:ascii="Times New Roman" w:hAnsi="Times New Roman"/>
          <w:b/>
          <w:i w:val="0"/>
          <w:sz w:val="24"/>
        </w:rPr>
        <w:t>(C)</w:t>
      </w:r>
      <w:r>
        <w:rPr>
          <w:rFonts w:ascii="Times New Roman" w:hAnsi="Times New Roman"/>
          <w:b w:val="0"/>
          <w:i w:val="0"/>
          <w:sz w:val="24"/>
        </w:rPr>
        <w:t xml:space="preserve"> Distribution of training samples across all 28 groups, highlighting the four Gram-positive groups (repSA_large n = 121, repSA_small n = 73, repEF_conj n = 92, repEF_res n = 121) and four non-fermentative groups (repAci1, repAci_large, repPae_large, repPae_small).</w:t>
      </w:r>
    </w:p>
    <w:p>
      <w:pPr>
        <w:pStyle w:val="Heading2"/>
      </w:pPr>
      <w:r>
        <w:rPr>
          <w:rFonts w:ascii="Times New Roman" w:hAnsi="Times New Roman"/>
          <w:sz w:val="32"/>
        </w:rPr>
        <w:t>Figure 13. IncX1 backbone architecture, seed ORF conservation, and mosaicism.</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Conservation profile of 25 seed ORFs identified by k-mer containment analysis across 178 IncX-like reference plasmids. The most conserved ORF (ORF067, prevalence 84.8%) represents a candidate essential replication gene. ORFs 061--063 form a contiguous operon-like cluster with identical prevalence (71.3%) and high match fractions (0.90--0.94). </w:t>
      </w:r>
      <w:r>
        <w:rPr>
          <w:rFonts w:ascii="Times New Roman" w:hAnsi="Times New Roman"/>
          <w:b/>
          <w:i w:val="0"/>
          <w:sz w:val="24"/>
        </w:rPr>
        <w:t>(B)</w:t>
      </w:r>
      <w:r>
        <w:rPr>
          <w:rFonts w:ascii="Times New Roman" w:hAnsi="Times New Roman"/>
          <w:b w:val="0"/>
          <w:i w:val="0"/>
          <w:sz w:val="24"/>
        </w:rPr>
        <w:t xml:space="preserve"> Backbone/accessory partition for the full IncX1 dataset (n = 705): mean backbone length 37,787 bp (60%), mean accessory length 25,192 bp (40%). </w:t>
      </w:r>
      <w:r>
        <w:rPr>
          <w:rFonts w:ascii="Times New Roman" w:hAnsi="Times New Roman"/>
          <w:b/>
          <w:i w:val="0"/>
          <w:sz w:val="24"/>
        </w:rPr>
        <w:t>(C)</w:t>
      </w:r>
      <w:r>
        <w:rPr>
          <w:rFonts w:ascii="Times New Roman" w:hAnsi="Times New Roman"/>
          <w:b w:val="0"/>
          <w:i w:val="0"/>
          <w:sz w:val="24"/>
        </w:rPr>
        <w:t xml:space="preserve"> Mosaicism detection: 302 of 705 IncX1 plasmids (43.1%) were identified as candidate chimeras based on GC-content heterogeneity analysis (1-kb sliding windows; mean GC SD = 0.047, range 0.017--0.115).</w:t>
      </w:r>
    </w:p>
    <w:p>
      <w:pPr>
        <w:pStyle w:val="Heading2"/>
      </w:pPr>
      <w:r>
        <w:rPr>
          <w:rFonts w:ascii="Times New Roman" w:hAnsi="Times New Roman"/>
          <w:sz w:val="32"/>
        </w:rPr>
        <w:t>Figure 14. Expanded cross-validation of pLIN against 27 published outbreak and surveillance studies.</w:t>
      </w:r>
    </w:p>
    <w:p>
      <w:pPr>
        <w:spacing w:after="120" w:before="0" w:line="480" w:lineRule="auto"/>
      </w:pPr>
      <w:r>
        <w:rPr>
          <w:rFonts w:ascii="Times New Roman" w:hAnsi="Times New Roman"/>
          <w:b w:val="0"/>
          <w:i w:val="0"/>
          <w:sz w:val="24"/>
        </w:rPr>
        <w:t xml:space="preserve">Summary of pLIN classification applied to 74 plasmid sequences from 27 independent published studies across 13 countries (7 resistance mechanisms), none included in the training dataset. </w:t>
      </w:r>
      <w:r>
        <w:rPr>
          <w:rFonts w:ascii="Times New Roman" w:hAnsi="Times New Roman"/>
          <w:b/>
          <w:i w:val="0"/>
          <w:sz w:val="24"/>
        </w:rPr>
        <w:t>(A)</w:t>
      </w:r>
      <w:r>
        <w:rPr>
          <w:rFonts w:ascii="Times New Roman" w:hAnsi="Times New Roman"/>
          <w:b w:val="0"/>
          <w:i w:val="0"/>
          <w:sz w:val="24"/>
        </w:rPr>
        <w:t xml:space="preserve"> Nearest-neighbour distance vs classification confidence for all 74 plasmids, coloured by resistance gene class. Dashed line at 60% confidence threshold; 63/74 (85.1%) above threshold. </w:t>
      </w:r>
      <w:r>
        <w:rPr>
          <w:rFonts w:ascii="Times New Roman" w:hAnsi="Times New Roman"/>
          <w:b/>
          <w:i w:val="0"/>
          <w:sz w:val="24"/>
        </w:rPr>
        <w:t>(B)</w:t>
      </w:r>
      <w:r>
        <w:rPr>
          <w:rFonts w:ascii="Times New Roman" w:hAnsi="Times New Roman"/>
          <w:b w:val="0"/>
          <w:i w:val="0"/>
          <w:sz w:val="24"/>
        </w:rPr>
        <w:t xml:space="preserve"> Hierarchical tile chart for the Hong Kong NDM-1 ICU outbreak (13 plasmids): 12/13 share pLIN 475 (IncX3, 100% confidence), one structural variant (MH234505, 53 kb) receives pLIN 473. </w:t>
      </w:r>
      <w:r>
        <w:rPr>
          <w:rFonts w:ascii="Times New Roman" w:hAnsi="Times New Roman"/>
          <w:b/>
          <w:i w:val="0"/>
          <w:sz w:val="24"/>
        </w:rPr>
        <w:t>(C)</w:t>
      </w:r>
      <w:r>
        <w:rPr>
          <w:rFonts w:ascii="Times New Roman" w:hAnsi="Times New Roman"/>
          <w:b w:val="0"/>
          <w:i w:val="0"/>
          <w:sz w:val="24"/>
        </w:rPr>
        <w:t xml:space="preserve"> Per-resistance-gene validation performance: high-confidence rates ranging from 33% (VIM, n=3) to 100% (IMP, mcr-1). Three globally disseminated lineages independently detected: pLIN 671/KPC-2 (Germany + China), pLIN 860/MDR hub (Australia), pLIN 1688/OXA-48 (Turkey = Netherlands = France). </w:t>
      </w:r>
      <w:r>
        <w:rPr>
          <w:rFonts w:ascii="Times New Roman" w:hAnsi="Times New Roman"/>
          <w:b/>
          <w:i w:val="0"/>
          <w:sz w:val="24"/>
        </w:rPr>
        <w:t>(D)</w:t>
      </w:r>
      <w:r>
        <w:rPr>
          <w:rFonts w:ascii="Times New Roman" w:hAnsi="Times New Roman"/>
          <w:b w:val="0"/>
          <w:i w:val="0"/>
          <w:sz w:val="24"/>
        </w:rPr>
        <w:t xml:space="preserve"> Summary statistics: 74 plasmids, 27 studies, 13 countries, 42 unique pLIN codes, 9 intra-study outbreak clusters, mean NN distance 0.0062.</w:t>
      </w:r>
    </w:p>
    <w:p>
      <w:pPr>
        <w:pStyle w:val="Heading2"/>
      </w:pPr>
      <w:r>
        <w:rPr>
          <w:rFonts w:ascii="Times New Roman" w:hAnsi="Times New Roman"/>
          <w:sz w:val="32"/>
        </w:rPr>
        <w:t>Figure 15. Resolution comparison across plasmid classification methods.</w:t>
      </w:r>
    </w:p>
    <w:p>
      <w:pPr>
        <w:spacing w:after="120" w:before="0" w:line="480" w:lineRule="auto"/>
      </w:pPr>
      <w:r>
        <w:rPr>
          <w:rFonts w:ascii="Times New Roman" w:hAnsi="Times New Roman"/>
          <w:b w:val="0"/>
          <w:i w:val="0"/>
          <w:sz w:val="24"/>
        </w:rPr>
        <w:t>Alluvial flow diagram showing how 74 outbreak plasmids from 27 studies across 13 countries are resolved by six classification methods, ordered by increasing resolution. Ribbons are coloured by resistance mechanism (KPC, NDM, OXA-48, mcr, CTX-M, VIM, IMP). PlasmidFinder produces 11 flat Inc group labels with 100% coverage but no hierarchical structure; pMLST resolves 10 sequence types but 39% of plasmids lack a typing scheme; MOB-suite classifies 61% into 8 cluster IDs (39% unclassified, grey bands); COPLA/PTU classifies 57% into 6 PTU groups (43% unclassified); mge-cluster resolves 22 clusters with 100% coverage but produces no permanent codes (dashed borders). pLIN resolves all 74 plasmids into 42 unique hierarchical codes with 100% coverage and permanent nomenclature. Key outbreak examples annotated: Ho 2019 NDM (12/13 -&gt; pLIN 475), OXA-48 cross-country (5/6 -&gt; pLIN 1688 across Turkey/Netherlands/France), mcr-1 backbone separation (pLIN 87 vs 340).</w:t>
      </w:r>
    </w:p>
    <w:p>
      <w:pPr>
        <w:pStyle w:val="Heading2"/>
      </w:pPr>
      <w:r>
        <w:rPr>
          <w:rFonts w:ascii="Times New Roman" w:hAnsi="Times New Roman"/>
          <w:sz w:val="32"/>
        </w:rPr>
        <w:t>Figure 16. Combined chromosomal-plasmid typing: transmission mode discrimination in published outbreaks.</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Bipartite network showing MLST sequence type (ST) nodes (left, coloured by host species) connected to pLIN L6 code nodes (right, green squares). Edges represent co-occurrence within outbreak studies; edge colours indicate species. Seven host species are represented across 13 studies: </w:t>
      </w:r>
      <w:r>
        <w:rPr>
          <w:rFonts w:ascii="Times New Roman" w:hAnsi="Times New Roman"/>
          <w:b w:val="0"/>
          <w:i/>
          <w:sz w:val="24"/>
        </w:rPr>
        <w:t>E. coli</w:t>
      </w:r>
      <w:r>
        <w:rPr>
          <w:rFonts w:ascii="Times New Roman" w:hAnsi="Times New Roman"/>
          <w:b w:val="0"/>
          <w:i w:val="0"/>
          <w:sz w:val="24"/>
        </w:rPr>
        <w:t xml:space="preserve">, </w:t>
      </w:r>
      <w:r>
        <w:rPr>
          <w:rFonts w:ascii="Times New Roman" w:hAnsi="Times New Roman"/>
          <w:b w:val="0"/>
          <w:i/>
          <w:sz w:val="24"/>
        </w:rPr>
        <w:t>K. pneumoniae</w:t>
      </w:r>
      <w:r>
        <w:rPr>
          <w:rFonts w:ascii="Times New Roman" w:hAnsi="Times New Roman"/>
          <w:b w:val="0"/>
          <w:i w:val="0"/>
          <w:sz w:val="24"/>
        </w:rPr>
        <w:t xml:space="preserve">, </w:t>
      </w:r>
      <w:r>
        <w:rPr>
          <w:rFonts w:ascii="Times New Roman" w:hAnsi="Times New Roman"/>
          <w:b w:val="0"/>
          <w:i/>
          <w:sz w:val="24"/>
        </w:rPr>
        <w:t>E. cloacae</w:t>
      </w:r>
      <w:r>
        <w:rPr>
          <w:rFonts w:ascii="Times New Roman" w:hAnsi="Times New Roman"/>
          <w:b w:val="0"/>
          <w:i w:val="0"/>
          <w:sz w:val="24"/>
        </w:rPr>
        <w:t xml:space="preserve">, </w:t>
      </w:r>
      <w:r>
        <w:rPr>
          <w:rFonts w:ascii="Times New Roman" w:hAnsi="Times New Roman"/>
          <w:b w:val="0"/>
          <w:i/>
          <w:sz w:val="24"/>
        </w:rPr>
        <w:t>C. freundii</w:t>
      </w:r>
      <w:r>
        <w:rPr>
          <w:rFonts w:ascii="Times New Roman" w:hAnsi="Times New Roman"/>
          <w:b w:val="0"/>
          <w:i w:val="0"/>
          <w:sz w:val="24"/>
        </w:rPr>
        <w:t xml:space="preserve">, </w:t>
      </w:r>
      <w:r>
        <w:rPr>
          <w:rFonts w:ascii="Times New Roman" w:hAnsi="Times New Roman"/>
          <w:b w:val="0"/>
          <w:i/>
          <w:sz w:val="24"/>
        </w:rPr>
        <w:t>E. hormaechei</w:t>
      </w:r>
      <w:r>
        <w:rPr>
          <w:rFonts w:ascii="Times New Roman" w:hAnsi="Times New Roman"/>
          <w:b w:val="0"/>
          <w:i w:val="0"/>
          <w:sz w:val="24"/>
        </w:rPr>
        <w:t xml:space="preserve">, </w:t>
      </w:r>
      <w:r>
        <w:rPr>
          <w:rFonts w:ascii="Times New Roman" w:hAnsi="Times New Roman"/>
          <w:b w:val="0"/>
          <w:i/>
          <w:sz w:val="24"/>
        </w:rPr>
        <w:t>S. enterica</w:t>
      </w:r>
      <w:r>
        <w:rPr>
          <w:rFonts w:ascii="Times New Roman" w:hAnsi="Times New Roman"/>
          <w:b w:val="0"/>
          <w:i w:val="0"/>
          <w:sz w:val="24"/>
        </w:rPr>
        <w:t xml:space="preserve">, and </w:t>
      </w:r>
      <w:r>
        <w:rPr>
          <w:rFonts w:ascii="Times New Roman" w:hAnsi="Times New Roman"/>
          <w:b w:val="0"/>
          <w:i/>
          <w:sz w:val="24"/>
        </w:rPr>
        <w:t>A. baumannii</w:t>
      </w:r>
      <w:r>
        <w:rPr>
          <w:rFonts w:ascii="Times New Roman" w:hAnsi="Times New Roman"/>
          <w:b w:val="0"/>
          <w:i w:val="0"/>
          <w:sz w:val="24"/>
        </w:rPr>
        <w:t xml:space="preserve">. </w:t>
      </w:r>
      <w:r>
        <w:rPr>
          <w:rFonts w:ascii="Times New Roman" w:hAnsi="Times New Roman"/>
          <w:b/>
          <w:i w:val="0"/>
          <w:sz w:val="24"/>
        </w:rPr>
        <w:t>(B)</w:t>
      </w:r>
      <w:r>
        <w:rPr>
          <w:rFonts w:ascii="Times New Roman" w:hAnsi="Times New Roman"/>
          <w:b w:val="0"/>
          <w:i w:val="0"/>
          <w:sz w:val="24"/>
        </w:rPr>
        <w:t xml:space="preserve"> Stacked horizontal bar chart showing the distribution of pairwise transmission modes (clonal spread, horizontal transfer, independent) across 13 studies. The Ho 2019 NDM study contributed the most comparisons (n = 78). </w:t>
      </w:r>
      <w:r>
        <w:rPr>
          <w:rFonts w:ascii="Times New Roman" w:hAnsi="Times New Roman"/>
          <w:b/>
          <w:i w:val="0"/>
          <w:sz w:val="24"/>
        </w:rPr>
        <w:t>(C)</w:t>
      </w:r>
      <w:r>
        <w:rPr>
          <w:rFonts w:ascii="Times New Roman" w:hAnsi="Times New Roman"/>
          <w:b w:val="0"/>
          <w:i w:val="0"/>
          <w:sz w:val="24"/>
        </w:rPr>
        <w:t xml:space="preserve"> Summary validation metrics table: 13 studies, 7 species, 20 STs, 92.3% overall concordance (12/13), 100% multi-ST detection (13/13), 92.3% clonal detection (12/13).</w:t>
      </w:r>
    </w:p>
    <w:p>
      <w:pPr>
        <w:pStyle w:val="Heading2"/>
      </w:pPr>
      <w:r>
        <w:rPr>
          <w:rFonts w:ascii="Times New Roman" w:hAnsi="Times New Roman"/>
          <w:sz w:val="32"/>
        </w:rPr>
        <w:t>Figure 17. Assembly completeness scoring and quality control.</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Distribution of composite assembly completeness scores (0--100) across the 8,077 training plasmids, showing 97.1% scoring COMPLETE (&gt;=80) and 2.9% NEAR-COMPLETE (60--79). </w:t>
      </w:r>
      <w:r>
        <w:rPr>
          <w:rFonts w:ascii="Times New Roman" w:hAnsi="Times New Roman"/>
          <w:b/>
          <w:i w:val="0"/>
          <w:sz w:val="24"/>
        </w:rPr>
        <w:t>(B)</w:t>
      </w:r>
      <w:r>
        <w:rPr>
          <w:rFonts w:ascii="Times New Roman" w:hAnsi="Times New Roman"/>
          <w:b w:val="0"/>
          <w:i w:val="0"/>
          <w:sz w:val="24"/>
        </w:rPr>
        <w:t xml:space="preserve"> Breakdown of the five scoring components (contig count, N50 ratio, circular topology, coding density, N-gap presence) for training plasmids. </w:t>
      </w:r>
      <w:r>
        <w:rPr>
          <w:rFonts w:ascii="Times New Roman" w:hAnsi="Times New Roman"/>
          <w:b/>
          <w:i w:val="0"/>
          <w:sz w:val="24"/>
        </w:rPr>
        <w:t>(C)</w:t>
      </w:r>
      <w:r>
        <w:rPr>
          <w:rFonts w:ascii="Times New Roman" w:hAnsi="Times New Roman"/>
          <w:b w:val="0"/>
          <w:i w:val="0"/>
          <w:sz w:val="24"/>
        </w:rPr>
        <w:t xml:space="preserve"> Negative control: completeness score distribution for 500 deliberately fragmented assemblies, with 62.4% scoring FRAGMENTED and 37.6% scoring POOR, confirming sensitivity to quality degradation. </w:t>
      </w:r>
      <w:r>
        <w:rPr>
          <w:rFonts w:ascii="Times New Roman" w:hAnsi="Times New Roman"/>
          <w:b/>
          <w:i w:val="0"/>
          <w:sz w:val="24"/>
        </w:rPr>
        <w:t>(D)</w:t>
      </w:r>
      <w:r>
        <w:rPr>
          <w:rFonts w:ascii="Times New Roman" w:hAnsi="Times New Roman"/>
          <w:b w:val="0"/>
          <w:i w:val="0"/>
          <w:sz w:val="24"/>
        </w:rPr>
        <w:t xml:space="preserve"> Decision flowchart showing how assembly completeness scores are integrated into the pLIN classification pipeline, with POOR assemblies flagged and their codes annotated as provisional.</w:t>
      </w:r>
    </w:p>
    <w:p>
      <w:pPr>
        <w:pStyle w:val="Heading2"/>
      </w:pPr>
      <w:r>
        <w:rPr>
          <w:rFonts w:ascii="Times New Roman" w:hAnsi="Times New Roman"/>
          <w:sz w:val="32"/>
        </w:rPr>
        <w:t>Figure 18. Database coverage, novelty detection, and traffic-light flagging system.</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Within-group nearest-neighbour distance distributions for all 28 groups, with 50th and 95th percentile boundaries indicated. Gram-positive groups show distinct distance distributions reflecting their different evolutionary dynamics. </w:t>
      </w:r>
      <w:r>
        <w:rPr>
          <w:rFonts w:ascii="Times New Roman" w:hAnsi="Times New Roman"/>
          <w:b/>
          <w:i w:val="0"/>
          <w:sz w:val="24"/>
        </w:rPr>
        <w:t>(B)</w:t>
      </w:r>
      <w:r>
        <w:rPr>
          <w:rFonts w:ascii="Times New Roman" w:hAnsi="Times New Roman"/>
          <w:b w:val="0"/>
          <w:i w:val="0"/>
          <w:sz w:val="24"/>
        </w:rPr>
        <w:t xml:space="preserve"> Traffic-light classification of 74 outbreak validation plasmids: 59 GREEN (79.7%), 11 YELLOW (14.9%), 4 RED (5.4%). The four RED-flagged plasmids (two structural variants, two genuinely novel lineages) are individually annotated. </w:t>
      </w:r>
      <w:r>
        <w:rPr>
          <w:rFonts w:ascii="Times New Roman" w:hAnsi="Times New Roman"/>
          <w:b/>
          <w:i w:val="0"/>
          <w:sz w:val="24"/>
        </w:rPr>
        <w:t>(C)</w:t>
      </w:r>
      <w:r>
        <w:rPr>
          <w:rFonts w:ascii="Times New Roman" w:hAnsi="Times New Roman"/>
          <w:b w:val="0"/>
          <w:i w:val="0"/>
          <w:sz w:val="24"/>
        </w:rPr>
        <w:t xml:space="preserve"> Novelty detection sensitivity: receiver operating characteristic (ROC) analysis comparing percentile-based flagging against known structural variants in the validation dataset.</w:t>
      </w:r>
    </w:p>
    <w:p>
      <w:pPr>
        <w:pStyle w:val="Heading2"/>
      </w:pPr>
      <w:r>
        <w:rPr>
          <w:rFonts w:ascii="Times New Roman" w:hAnsi="Times New Roman"/>
          <w:sz w:val="32"/>
        </w:rPr>
        <w:t>Figure 19. Recombination detection and mosaic plasmid analysis.</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Schematic of the minimap2 PAF-based recombination detection algorithm, showing the three evaluated metrics: alignment coverage, block fragmentation index, and gap analysis. </w:t>
      </w:r>
      <w:r>
        <w:rPr>
          <w:rFonts w:ascii="Times New Roman" w:hAnsi="Times New Roman"/>
          <w:b/>
          <w:i w:val="0"/>
          <w:sz w:val="24"/>
        </w:rPr>
        <w:t>(B)</w:t>
      </w:r>
      <w:r>
        <w:rPr>
          <w:rFonts w:ascii="Times New Roman" w:hAnsi="Times New Roman"/>
          <w:b w:val="0"/>
          <w:i w:val="0"/>
          <w:sz w:val="24"/>
        </w:rPr>
        <w:t xml:space="preserve"> Concordance between the new recombination detection module and the independent GC-content heterogeneity method on 705 IncX1 plasmids: 87.4% concordance, with discordant cases concentrated near the Medium/Low threshold boundary. </w:t>
      </w:r>
      <w:r>
        <w:rPr>
          <w:rFonts w:ascii="Times New Roman" w:hAnsi="Times New Roman"/>
          <w:b/>
          <w:i w:val="0"/>
          <w:sz w:val="24"/>
        </w:rPr>
        <w:t>(C)</w:t>
      </w:r>
      <w:r>
        <w:rPr>
          <w:rFonts w:ascii="Times New Roman" w:hAnsi="Times New Roman"/>
          <w:b w:val="0"/>
          <w:i w:val="0"/>
          <w:sz w:val="24"/>
        </w:rPr>
        <w:t xml:space="preserve"> Example colour-coded alignment visualisation for a representative mosaic plasmid, showing aligned blocks (blue), unaligned gaps (red), and predicted horizontally acquired regions.</w:t>
      </w:r>
    </w:p>
    <w:p>
      <w:pPr>
        <w:pStyle w:val="Heading2"/>
      </w:pPr>
      <w:r>
        <w:rPr>
          <w:rFonts w:ascii="Times New Roman" w:hAnsi="Times New Roman"/>
          <w:sz w:val="32"/>
        </w:rPr>
        <w:t>Figure 20. Novel group discovery from low-confidence classifications.</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UMAP projection of 2,109 Unknown/Novel reference plasmids (KNN confidence &lt;40%), with 23 putative novel groups (&gt;=3 members) highlighted by colour. </w:t>
      </w:r>
      <w:r>
        <w:rPr>
          <w:rFonts w:ascii="Times New Roman" w:hAnsi="Times New Roman"/>
          <w:b/>
          <w:i w:val="0"/>
          <w:sz w:val="24"/>
        </w:rPr>
        <w:t>(B)</w:t>
      </w:r>
      <w:r>
        <w:rPr>
          <w:rFonts w:ascii="Times New Roman" w:hAnsi="Times New Roman"/>
          <w:b w:val="0"/>
          <w:i w:val="0"/>
          <w:sz w:val="24"/>
        </w:rPr>
        <w:t xml:space="preserve"> Size distribution of the 23 putative novel groups (range: 3--31 members). </w:t>
      </w:r>
      <w:r>
        <w:rPr>
          <w:rFonts w:ascii="Times New Roman" w:hAnsi="Times New Roman"/>
          <w:b/>
          <w:i w:val="0"/>
          <w:sz w:val="24"/>
        </w:rPr>
        <w:t>(C)</w:t>
      </w:r>
      <w:r>
        <w:rPr>
          <w:rFonts w:ascii="Times New Roman" w:hAnsi="Times New Roman"/>
          <w:b w:val="0"/>
          <w:i w:val="0"/>
          <w:sz w:val="24"/>
        </w:rPr>
        <w:t xml:space="preserve"> Minimum cosine distance from each putative novel group to the nearest established group, showing clear separation (all &gt;0.05) from the 28 known groups. </w:t>
      </w:r>
      <w:r>
        <w:rPr>
          <w:rFonts w:ascii="Times New Roman" w:hAnsi="Times New Roman"/>
          <w:b/>
          <w:i w:val="0"/>
          <w:sz w:val="24"/>
        </w:rPr>
        <w:t>(D)</w:t>
      </w:r>
      <w:r>
        <w:rPr>
          <w:rFonts w:ascii="Times New Roman" w:hAnsi="Times New Roman"/>
          <w:b w:val="0"/>
          <w:i w:val="0"/>
          <w:sz w:val="24"/>
        </w:rPr>
        <w:t xml:space="preserve"> Detailed characterisation of the three largest putative novel groups: member count, intra-cluster cohesion, nearest known group, mean GC content, and mean plasmid size.</w:t>
      </w:r>
    </w:p>
    <w:p>
      <w:pPr>
        <w:pStyle w:val="Heading2"/>
      </w:pPr>
      <w:r>
        <w:rPr>
          <w:rFonts w:ascii="Times New Roman" w:hAnsi="Times New Roman"/>
          <w:sz w:val="32"/>
        </w:rPr>
        <w:t>Figure 21. Evolutionary rate estimation and temporal analysis.</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Regression plots for the 8 L6 clusters with adequate temporal signal (R^2 &gt;= 0.3), showing pairwise SNP count versus temporal distance (days). </w:t>
      </w:r>
      <w:r>
        <w:rPr>
          <w:rFonts w:ascii="Times New Roman" w:hAnsi="Times New Roman"/>
          <w:b/>
          <w:i w:val="0"/>
          <w:sz w:val="24"/>
        </w:rPr>
        <w:t>(B)</w:t>
      </w:r>
      <w:r>
        <w:rPr>
          <w:rFonts w:ascii="Times New Roman" w:hAnsi="Times New Roman"/>
          <w:b w:val="0"/>
          <w:i w:val="0"/>
          <w:sz w:val="24"/>
        </w:rPr>
        <w:t xml:space="preserve"> Distribution of estimated evolutionary rates across the 8 clusters: median 3.2 x 10^-6 substitutions/site/year (range: 8.7 x 10^-7 to 1.4 x 10^-5). Shaded region indicates the expected plasmid mutation rate range (10^-6 to 10^-5). </w:t>
      </w:r>
      <w:r>
        <w:rPr>
          <w:rFonts w:ascii="Times New Roman" w:hAnsi="Times New Roman"/>
          <w:b/>
          <w:i w:val="0"/>
          <w:sz w:val="24"/>
        </w:rPr>
        <w:t>(C)</w:t>
      </w:r>
      <w:r>
        <w:rPr>
          <w:rFonts w:ascii="Times New Roman" w:hAnsi="Times New Roman"/>
          <w:b w:val="0"/>
          <w:i w:val="0"/>
          <w:sz w:val="24"/>
        </w:rPr>
        <w:t xml:space="preserve"> Correlation between evolutionary rate estimates and recombination flags, showing that the two clusters with rates exceeding 10^-5 both carried High recombination flags.</w:t>
      </w:r>
    </w:p>
    <w:p>
      <w:pPr>
        <w:pStyle w:val="Heading2"/>
      </w:pPr>
      <w:r>
        <w:rPr>
          <w:rFonts w:ascii="Times New Roman" w:hAnsi="Times New Roman"/>
          <w:sz w:val="32"/>
        </w:rPr>
        <w:t>Figure 22. Adaptive threshold calibration and cluster stability assessment.</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Bootstrap cluster stability scores (50 iterations) at the L6 threshold for all 28 groups, showing mean scores of 0.83 (Gram-negative) and 0.79 (Gram-positive). </w:t>
      </w:r>
      <w:r>
        <w:rPr>
          <w:rFonts w:ascii="Times New Roman" w:hAnsi="Times New Roman"/>
          <w:b/>
          <w:i w:val="0"/>
          <w:sz w:val="24"/>
        </w:rPr>
        <w:t>(B)</w:t>
      </w:r>
      <w:r>
        <w:rPr>
          <w:rFonts w:ascii="Times New Roman" w:hAnsi="Times New Roman"/>
          <w:b w:val="0"/>
          <w:i w:val="0"/>
          <w:sz w:val="24"/>
        </w:rPr>
        <w:t xml:space="preserve"> Adjusted Rand Index (ARI) comparison between single-linkage, complete-linkage, and average-linkage clustering for each group. Five groups with moderate discordance (ARI 0.55--0.75) are highlighted. </w:t>
      </w:r>
      <w:r>
        <w:rPr>
          <w:rFonts w:ascii="Times New Roman" w:hAnsi="Times New Roman"/>
          <w:b/>
          <w:i w:val="0"/>
          <w:sz w:val="24"/>
        </w:rPr>
        <w:t>(C)</w:t>
      </w:r>
      <w:r>
        <w:rPr>
          <w:rFonts w:ascii="Times New Roman" w:hAnsi="Times New Roman"/>
          <w:b w:val="0"/>
          <w:i w:val="0"/>
          <w:sz w:val="24"/>
        </w:rPr>
        <w:t xml:space="preserve"> Example of group-specific calibrated thresholds for IncFII (the largest and most recombinogenic group), showing the threshold value that maximises mean cluster stability compared to the standard threshold.</w:t>
      </w:r>
    </w:p>
    <w:p>
      <w:pPr>
        <w:pStyle w:val="Heading2"/>
      </w:pPr>
      <w:r>
        <w:rPr>
          <w:rFonts w:ascii="Times New Roman" w:hAnsi="Times New Roman"/>
          <w:sz w:val="32"/>
        </w:rPr>
        <w:t>Figure 23. Mobile genetic element boundary detection and composite transposon identification.</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Frequency distribution of IS element families detected across 4,657 AMR-positive training plasmids: IS</w:t>
      </w:r>
      <w:r>
        <w:rPr>
          <w:rFonts w:ascii="Times New Roman" w:hAnsi="Times New Roman"/>
          <w:b w:val="0"/>
          <w:i/>
          <w:sz w:val="24"/>
        </w:rPr>
        <w:t>26</w:t>
      </w:r>
      <w:r>
        <w:rPr>
          <w:rFonts w:ascii="Times New Roman" w:hAnsi="Times New Roman"/>
          <w:b w:val="0"/>
          <w:i w:val="0"/>
          <w:sz w:val="24"/>
        </w:rPr>
        <w:t xml:space="preserve"> (n = 1,247), IS</w:t>
      </w:r>
      <w:r>
        <w:rPr>
          <w:rFonts w:ascii="Times New Roman" w:hAnsi="Times New Roman"/>
          <w:b w:val="0"/>
          <w:i/>
          <w:sz w:val="24"/>
        </w:rPr>
        <w:t>1</w:t>
      </w:r>
      <w:r>
        <w:rPr>
          <w:rFonts w:ascii="Times New Roman" w:hAnsi="Times New Roman"/>
          <w:b w:val="0"/>
          <w:i w:val="0"/>
          <w:sz w:val="24"/>
        </w:rPr>
        <w:t xml:space="preserve"> (n = 682), IS</w:t>
      </w:r>
      <w:r>
        <w:rPr>
          <w:rFonts w:ascii="Times New Roman" w:hAnsi="Times New Roman"/>
          <w:b w:val="0"/>
          <w:i/>
          <w:sz w:val="24"/>
        </w:rPr>
        <w:t>903</w:t>
      </w:r>
      <w:r>
        <w:rPr>
          <w:rFonts w:ascii="Times New Roman" w:hAnsi="Times New Roman"/>
          <w:b w:val="0"/>
          <w:i w:val="0"/>
          <w:sz w:val="24"/>
        </w:rPr>
        <w:t xml:space="preserve"> (n = 445). </w:t>
      </w:r>
      <w:r>
        <w:rPr>
          <w:rFonts w:ascii="Times New Roman" w:hAnsi="Times New Roman"/>
          <w:b/>
          <w:i w:val="0"/>
          <w:sz w:val="24"/>
        </w:rPr>
        <w:t>(B)</w:t>
      </w:r>
      <w:r>
        <w:rPr>
          <w:rFonts w:ascii="Times New Roman" w:hAnsi="Times New Roman"/>
          <w:b w:val="0"/>
          <w:i w:val="0"/>
          <w:sz w:val="24"/>
        </w:rPr>
        <w:t xml:space="preserve"> Composite transposon architecture: 891 detected structures, with 634 (71.2%) flanking AMR genes; IS</w:t>
      </w:r>
      <w:r>
        <w:rPr>
          <w:rFonts w:ascii="Times New Roman" w:hAnsi="Times New Roman"/>
          <w:b w:val="0"/>
          <w:i/>
          <w:sz w:val="24"/>
        </w:rPr>
        <w:t>26</w:t>
      </w:r>
      <w:r>
        <w:rPr>
          <w:rFonts w:ascii="Times New Roman" w:hAnsi="Times New Roman"/>
          <w:b w:val="0"/>
          <w:i w:val="0"/>
          <w:sz w:val="24"/>
        </w:rPr>
        <w:t xml:space="preserve">-bounded structures are the most common (n = 387). </w:t>
      </w:r>
      <w:r>
        <w:rPr>
          <w:rFonts w:ascii="Times New Roman" w:hAnsi="Times New Roman"/>
          <w:b/>
          <w:i w:val="0"/>
          <w:sz w:val="24"/>
        </w:rPr>
        <w:t>(C)</w:t>
      </w:r>
      <w:r>
        <w:rPr>
          <w:rFonts w:ascii="Times New Roman" w:hAnsi="Times New Roman"/>
          <w:b w:val="0"/>
          <w:i w:val="0"/>
          <w:sz w:val="24"/>
        </w:rPr>
        <w:t xml:space="preserve"> Example colour-coded linear gene map for a representative IncN plasmid carrying blaKPC-2 within a Tn</w:t>
      </w:r>
      <w:r>
        <w:rPr>
          <w:rFonts w:ascii="Times New Roman" w:hAnsi="Times New Roman"/>
          <w:b w:val="0"/>
          <w:i/>
          <w:sz w:val="24"/>
        </w:rPr>
        <w:t>4401</w:t>
      </w:r>
      <w:r>
        <w:rPr>
          <w:rFonts w:ascii="Times New Roman" w:hAnsi="Times New Roman"/>
          <w:b w:val="0"/>
          <w:i w:val="0"/>
          <w:sz w:val="24"/>
        </w:rPr>
        <w:t xml:space="preserve"> composite transposon: IS elements (yellow), integrases (purple), AMR genes (red), other CDS (grey). </w:t>
      </w:r>
      <w:r>
        <w:rPr>
          <w:rFonts w:ascii="Times New Roman" w:hAnsi="Times New Roman"/>
          <w:b/>
          <w:i w:val="0"/>
          <w:sz w:val="24"/>
        </w:rPr>
        <w:t>(D)</w:t>
      </w:r>
      <w:r>
        <w:rPr>
          <w:rFonts w:ascii="Times New Roman" w:hAnsi="Times New Roman"/>
          <w:b w:val="0"/>
          <w:i w:val="0"/>
          <w:sz w:val="24"/>
        </w:rPr>
        <w:t xml:space="preserve"> Summary of MGE context for clinically critical resistance genes: proportion of blaKPC, blaNDM, mcr, and blaCTX-M detections associated with identifiable IS elements, integrases, or composite transposons.</w:t>
      </w:r>
    </w:p>
    <w:p>
      <w:pPr>
        <w:pStyle w:val="Heading2"/>
      </w:pPr>
      <w:r>
        <w:rPr>
          <w:rFonts w:ascii="Times New Roman" w:hAnsi="Times New Roman"/>
          <w:sz w:val="32"/>
        </w:rPr>
        <w:t>Figure 24. Plasmid versus chromosome contig identification: multi-signal scoring validation.</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Receiver operating characteristic (ROC) curves for the four individual scoring signals and the combined multi-signal model on the 1,000-contig synthetic benchmark (500 plasmid, 500 chromosomal). Individual signal AUCs: sequence length scoring (0.94), cosine distance to nearest plasmid training vector (0.89), Inc group classifier confidence (0.82), FASTA header keyword matching (0.71). Combined four-signal model AUC = 0.99, demonstrating substantial complementarity among signals. </w:t>
      </w:r>
      <w:r>
        <w:rPr>
          <w:rFonts w:ascii="Times New Roman" w:hAnsi="Times New Roman"/>
          <w:b/>
          <w:i w:val="0"/>
          <w:sz w:val="24"/>
        </w:rPr>
        <w:t>(B)</w:t>
      </w:r>
      <w:r>
        <w:rPr>
          <w:rFonts w:ascii="Times New Roman" w:hAnsi="Times New Roman"/>
          <w:b w:val="0"/>
          <w:i w:val="0"/>
          <w:sz w:val="24"/>
        </w:rPr>
        <w:t xml:space="preserve"> Composite score distributions for true plasmid contigs (blue) and true chromosomal contigs (red), with decision boundaries at +10 (plasmid threshold) and -10 (chromosome threshold) indicated by dashed vertical lines. The borderline zone (-10 to +10) contains 3.4% of contigs (21 plasmids, 13 chromosomal), all defaulting to "plasmid" classification under the conservative design rule. </w:t>
      </w:r>
      <w:r>
        <w:rPr>
          <w:rFonts w:ascii="Times New Roman" w:hAnsi="Times New Roman"/>
          <w:b/>
          <w:i w:val="0"/>
          <w:sz w:val="24"/>
        </w:rPr>
        <w:t>(C)</w:t>
      </w:r>
      <w:r>
        <w:rPr>
          <w:rFonts w:ascii="Times New Roman" w:hAnsi="Times New Roman"/>
          <w:b w:val="0"/>
          <w:i w:val="0"/>
          <w:sz w:val="24"/>
        </w:rPr>
        <w:t xml:space="preserve"> Confusion matrix showing 493 true plasmid, 485 true chromosome, 15 false plasmid (chromosomal contigs misclassified as plasmid), and 7 false chromosome (plasmid contigs misclassified as chromosome). The 7 missed plasmids are individually annotated with their sequence lengths and nearest-neighbour distances, revealing that 5/7 were large plasmids (&gt;200 kb) with chromosomal-like composition. The 15 false plasmids were predominantly small chromosomal fragments (&lt;30 kb). </w:t>
      </w:r>
      <w:r>
        <w:rPr>
          <w:rFonts w:ascii="Times New Roman" w:hAnsi="Times New Roman"/>
          <w:b/>
          <w:i w:val="0"/>
          <w:sz w:val="24"/>
        </w:rPr>
        <w:t>(D)</w:t>
      </w:r>
      <w:r>
        <w:rPr>
          <w:rFonts w:ascii="Times New Roman" w:hAnsi="Times New Roman"/>
          <w:b w:val="0"/>
          <w:i w:val="0"/>
          <w:sz w:val="24"/>
        </w:rPr>
        <w:t xml:space="preserve"> Validation on 200 real whole-genome assemblies from NCBI (847 chromosomal contigs, 312 plasmid contigs): 96.5% concordance with submitter annotations, with discordant cases classified by type (megaplasmid, chromid, ambiguous annotation).</w:t>
      </w:r>
    </w:p>
    <w:p>
      <w:r>
        <w:br w:type="page"/>
      </w:r>
    </w:p>
    <w:p>
      <w:pPr>
        <w:pStyle w:val="Heading1"/>
      </w:pPr>
      <w:r>
        <w:rPr>
          <w:rFonts w:ascii="Times New Roman" w:hAnsi="Times New Roman"/>
        </w:rPr>
        <w:t>Tables</w:t>
      </w:r>
    </w:p>
    <w:p>
      <w:pPr>
        <w:pStyle w:val="Heading1"/>
      </w:pPr>
      <w:r>
        <w:rPr>
          <w:rFonts w:ascii="Times New Roman" w:hAnsi="Times New Roman"/>
          <w:sz w:val="36"/>
        </w:rPr>
        <w:t>Table 1. Comparative evaluation of plasmid classification systems against five criteria required for comprehensive plasmid nomenclature.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F5496"/>
          </w:tcPr>
          <w:p>
            <w:pPr>
              <w:jc w:val="center"/>
            </w:pPr>
            <w:r>
              <w:rPr>
                <w:rFonts w:ascii="Times New Roman" w:hAnsi="Times New Roman"/>
                <w:b/>
                <w:color w:val="FFFFFF"/>
                <w:sz w:val="22"/>
              </w:rPr>
              <w:t>Property</w:t>
            </w:r>
          </w:p>
        </w:tc>
        <w:tc>
          <w:tcPr>
            <w:tcW w:type="dxa" w:w="1337"/>
            <w:shd w:val="clear" w:color="auto" w:fill="2F5496"/>
          </w:tcPr>
          <w:p>
            <w:pPr>
              <w:jc w:val="center"/>
            </w:pPr>
            <w:r>
              <w:rPr>
                <w:rFonts w:ascii="Times New Roman" w:hAnsi="Times New Roman"/>
                <w:b/>
                <w:color w:val="FFFFFF"/>
                <w:sz w:val="22"/>
              </w:rPr>
              <w:t>pLIN (this study)</w:t>
            </w:r>
          </w:p>
        </w:tc>
        <w:tc>
          <w:tcPr>
            <w:tcW w:type="dxa" w:w="1337"/>
            <w:shd w:val="clear" w:color="auto" w:fill="2F5496"/>
          </w:tcPr>
          <w:p>
            <w:pPr>
              <w:jc w:val="center"/>
            </w:pPr>
            <w:r>
              <w:rPr>
                <w:rFonts w:ascii="Times New Roman" w:hAnsi="Times New Roman"/>
                <w:b/>
                <w:color w:val="FFFFFF"/>
                <w:sz w:val="22"/>
              </w:rPr>
              <w:t>PlasmidFinder / Inc typing [9]</w:t>
            </w:r>
          </w:p>
        </w:tc>
        <w:tc>
          <w:tcPr>
            <w:tcW w:type="dxa" w:w="1337"/>
            <w:shd w:val="clear" w:color="auto" w:fill="2F5496"/>
          </w:tcPr>
          <w:p>
            <w:pPr>
              <w:jc w:val="center"/>
            </w:pPr>
            <w:r>
              <w:rPr>
                <w:rFonts w:ascii="Times New Roman" w:hAnsi="Times New Roman"/>
                <w:b/>
                <w:color w:val="FFFFFF"/>
                <w:sz w:val="22"/>
              </w:rPr>
              <w:t>pMLST [9]</w:t>
            </w:r>
          </w:p>
        </w:tc>
        <w:tc>
          <w:tcPr>
            <w:tcW w:type="dxa" w:w="1337"/>
            <w:shd w:val="clear" w:color="auto" w:fill="2F5496"/>
          </w:tcPr>
          <w:p>
            <w:pPr>
              <w:jc w:val="center"/>
            </w:pPr>
            <w:r>
              <w:rPr>
                <w:rFonts w:ascii="Times New Roman" w:hAnsi="Times New Roman"/>
                <w:b/>
                <w:color w:val="FFFFFF"/>
                <w:sz w:val="22"/>
              </w:rPr>
              <w:t>MOB-suite [10]</w:t>
            </w:r>
          </w:p>
        </w:tc>
        <w:tc>
          <w:tcPr>
            <w:tcW w:type="dxa" w:w="1337"/>
            <w:shd w:val="clear" w:color="auto" w:fill="2F5496"/>
          </w:tcPr>
          <w:p>
            <w:pPr>
              <w:jc w:val="center"/>
            </w:pPr>
            <w:r>
              <w:rPr>
                <w:rFonts w:ascii="Times New Roman" w:hAnsi="Times New Roman"/>
                <w:b/>
                <w:color w:val="FFFFFF"/>
                <w:sz w:val="22"/>
              </w:rPr>
              <w:t>COPLA / PTUs [11]</w:t>
            </w:r>
          </w:p>
        </w:tc>
        <w:tc>
          <w:tcPr>
            <w:tcW w:type="dxa" w:w="1337"/>
            <w:shd w:val="clear" w:color="auto" w:fill="2F5496"/>
          </w:tcPr>
          <w:p>
            <w:pPr>
              <w:jc w:val="center"/>
            </w:pPr>
            <w:r>
              <w:rPr>
                <w:rFonts w:ascii="Times New Roman" w:hAnsi="Times New Roman"/>
                <w:b/>
                <w:color w:val="FFFFFF"/>
                <w:sz w:val="22"/>
              </w:rPr>
              <w:t>mge-cluster [12]</w:t>
            </w:r>
          </w:p>
        </w:tc>
      </w:tr>
      <w:tr>
        <w:tc>
          <w:tcPr>
            <w:tcW w:type="dxa" w:w="1337"/>
          </w:tcPr>
          <w:p>
            <w:r>
              <w:rPr>
                <w:rFonts w:ascii="Times New Roman" w:hAnsi="Times New Roman"/>
                <w:sz w:val="22"/>
              </w:rPr>
              <w:t>**Year introduced**</w:t>
            </w:r>
          </w:p>
        </w:tc>
        <w:tc>
          <w:tcPr>
            <w:tcW w:type="dxa" w:w="1337"/>
          </w:tcPr>
          <w:p>
            <w:r>
              <w:rPr>
                <w:rFonts w:ascii="Times New Roman" w:hAnsi="Times New Roman"/>
                <w:sz w:val="22"/>
              </w:rPr>
              <w:t>2025</w:t>
            </w:r>
          </w:p>
        </w:tc>
        <w:tc>
          <w:tcPr>
            <w:tcW w:type="dxa" w:w="1337"/>
          </w:tcPr>
          <w:p>
            <w:r>
              <w:rPr>
                <w:rFonts w:ascii="Times New Roman" w:hAnsi="Times New Roman"/>
                <w:sz w:val="22"/>
              </w:rPr>
              <w:t>2014</w:t>
            </w:r>
          </w:p>
        </w:tc>
        <w:tc>
          <w:tcPr>
            <w:tcW w:type="dxa" w:w="1337"/>
          </w:tcPr>
          <w:p>
            <w:r>
              <w:rPr>
                <w:rFonts w:ascii="Times New Roman" w:hAnsi="Times New Roman"/>
                <w:sz w:val="22"/>
              </w:rPr>
              <w:t>2014</w:t>
            </w:r>
          </w:p>
        </w:tc>
        <w:tc>
          <w:tcPr>
            <w:tcW w:type="dxa" w:w="1337"/>
          </w:tcPr>
          <w:p>
            <w:r>
              <w:rPr>
                <w:rFonts w:ascii="Times New Roman" w:hAnsi="Times New Roman"/>
                <w:sz w:val="22"/>
              </w:rPr>
              <w:t>2018</w:t>
            </w:r>
          </w:p>
        </w:tc>
        <w:tc>
          <w:tcPr>
            <w:tcW w:type="dxa" w:w="1337"/>
          </w:tcPr>
          <w:p>
            <w:r>
              <w:rPr>
                <w:rFonts w:ascii="Times New Roman" w:hAnsi="Times New Roman"/>
                <w:sz w:val="22"/>
              </w:rPr>
              <w:t>2021</w:t>
            </w:r>
          </w:p>
        </w:tc>
        <w:tc>
          <w:tcPr>
            <w:tcW w:type="dxa" w:w="1337"/>
          </w:tcPr>
          <w:p>
            <w:r>
              <w:rPr>
                <w:rFonts w:ascii="Times New Roman" w:hAnsi="Times New Roman"/>
                <w:sz w:val="22"/>
              </w:rPr>
              <w:t>2023</w:t>
            </w:r>
          </w:p>
        </w:tc>
      </w:tr>
      <w:tr>
        <w:tc>
          <w:tcPr>
            <w:tcW w:type="dxa" w:w="1337"/>
          </w:tcPr>
          <w:p>
            <w:r>
              <w:rPr>
                <w:rFonts w:ascii="Times New Roman" w:hAnsi="Times New Roman"/>
                <w:sz w:val="22"/>
              </w:rPr>
              <w:t>**Classification basis**</w:t>
            </w:r>
          </w:p>
        </w:tc>
        <w:tc>
          <w:tcPr>
            <w:tcW w:type="dxa" w:w="1337"/>
          </w:tcPr>
          <w:p>
            <w:r>
              <w:rPr>
                <w:rFonts w:ascii="Times New Roman" w:hAnsi="Times New Roman"/>
                <w:sz w:val="22"/>
              </w:rPr>
              <w:t>Whole-sequence 4-mer composition (256 features)</w:t>
            </w:r>
          </w:p>
        </w:tc>
        <w:tc>
          <w:tcPr>
            <w:tcW w:type="dxa" w:w="1337"/>
          </w:tcPr>
          <w:p>
            <w:r>
              <w:rPr>
                <w:rFonts w:ascii="Times New Roman" w:hAnsi="Times New Roman"/>
                <w:sz w:val="22"/>
              </w:rPr>
              <w:t>Replicon gene detection (BLAST)</w:t>
            </w:r>
          </w:p>
        </w:tc>
        <w:tc>
          <w:tcPr>
            <w:tcW w:type="dxa" w:w="1337"/>
          </w:tcPr>
          <w:p>
            <w:r>
              <w:rPr>
                <w:rFonts w:ascii="Times New Roman" w:hAnsi="Times New Roman"/>
                <w:sz w:val="22"/>
              </w:rPr>
              <w:t>Allelic variants of replicon loci</w:t>
            </w:r>
          </w:p>
        </w:tc>
        <w:tc>
          <w:tcPr>
            <w:tcW w:type="dxa" w:w="1337"/>
          </w:tcPr>
          <w:p>
            <w:r>
              <w:rPr>
                <w:rFonts w:ascii="Times New Roman" w:hAnsi="Times New Roman"/>
                <w:sz w:val="22"/>
              </w:rPr>
              <w:t>Relaxase typing + Mash distance</w:t>
            </w:r>
          </w:p>
        </w:tc>
        <w:tc>
          <w:tcPr>
            <w:tcW w:type="dxa" w:w="1337"/>
          </w:tcPr>
          <w:p>
            <w:r>
              <w:rPr>
                <w:rFonts w:ascii="Times New Roman" w:hAnsi="Times New Roman"/>
                <w:sz w:val="22"/>
              </w:rPr>
              <w:t>ANI network + hierarchical stochastic block modelling</w:t>
            </w:r>
          </w:p>
        </w:tc>
        <w:tc>
          <w:tcPr>
            <w:tcW w:type="dxa" w:w="1337"/>
          </w:tcPr>
          <w:p>
            <w:r>
              <w:rPr>
                <w:rFonts w:ascii="Times New Roman" w:hAnsi="Times New Roman"/>
                <w:sz w:val="22"/>
              </w:rPr>
              <w:t>Unitig Jaccard distance + HDBSCAN</w:t>
            </w:r>
          </w:p>
        </w:tc>
      </w:tr>
      <w:tr>
        <w:tc>
          <w:tcPr>
            <w:tcW w:type="dxa" w:w="1337"/>
          </w:tcPr>
          <w:p>
            <w:r>
              <w:rPr>
                <w:rFonts w:ascii="Times New Roman" w:hAnsi="Times New Roman"/>
                <w:sz w:val="22"/>
              </w:rPr>
              <w:t>**Hierarchical levels**</w:t>
            </w:r>
          </w:p>
        </w:tc>
        <w:tc>
          <w:tcPr>
            <w:tcW w:type="dxa" w:w="1337"/>
          </w:tcPr>
          <w:p>
            <w:r>
              <w:rPr>
                <w:rFonts w:ascii="Times New Roman" w:hAnsi="Times New Roman"/>
                <w:sz w:val="22"/>
              </w:rPr>
              <w:t>6 nested levels (L1--L6)</w:t>
            </w:r>
          </w:p>
        </w:tc>
        <w:tc>
          <w:tcPr>
            <w:tcW w:type="dxa" w:w="1337"/>
          </w:tcPr>
          <w:p>
            <w:r>
              <w:rPr>
                <w:rFonts w:ascii="Times New Roman" w:hAnsi="Times New Roman"/>
                <w:sz w:val="22"/>
              </w:rPr>
              <w:t>1 (flat)</w:t>
            </w:r>
          </w:p>
        </w:tc>
        <w:tc>
          <w:tcPr>
            <w:tcW w:type="dxa" w:w="1337"/>
          </w:tcPr>
          <w:p>
            <w:r>
              <w:rPr>
                <w:rFonts w:ascii="Times New Roman" w:hAnsi="Times New Roman"/>
                <w:sz w:val="22"/>
              </w:rPr>
              <w:t>1 (flat)</w:t>
            </w:r>
          </w:p>
        </w:tc>
        <w:tc>
          <w:tcPr>
            <w:tcW w:type="dxa" w:w="1337"/>
          </w:tcPr>
          <w:p>
            <w:r>
              <w:rPr>
                <w:rFonts w:ascii="Times New Roman" w:hAnsi="Times New Roman"/>
                <w:sz w:val="22"/>
              </w:rPr>
              <w:t>1 (flat)</w:t>
            </w:r>
          </w:p>
        </w:tc>
        <w:tc>
          <w:tcPr>
            <w:tcW w:type="dxa" w:w="1337"/>
          </w:tcPr>
          <w:p>
            <w:r>
              <w:rPr>
                <w:rFonts w:ascii="Times New Roman" w:hAnsi="Times New Roman"/>
                <w:sz w:val="22"/>
              </w:rPr>
              <w:t>2--3 (semi-hierarchical)</w:t>
            </w:r>
          </w:p>
        </w:tc>
        <w:tc>
          <w:tcPr>
            <w:tcW w:type="dxa" w:w="1337"/>
          </w:tcPr>
          <w:p>
            <w:r>
              <w:rPr>
                <w:rFonts w:ascii="Times New Roman" w:hAnsi="Times New Roman"/>
                <w:sz w:val="22"/>
              </w:rPr>
              <w:t>1 (flat)</w:t>
            </w:r>
          </w:p>
        </w:tc>
      </w:tr>
      <w:tr>
        <w:tc>
          <w:tcPr>
            <w:tcW w:type="dxa" w:w="1337"/>
          </w:tcPr>
          <w:p>
            <w:r>
              <w:rPr>
                <w:rFonts w:ascii="Times New Roman" w:hAnsi="Times New Roman"/>
                <w:sz w:val="22"/>
              </w:rPr>
              <w:t>**Code permanence**</w:t>
            </w:r>
          </w:p>
        </w:tc>
        <w:tc>
          <w:tcPr>
            <w:tcW w:type="dxa" w:w="1337"/>
          </w:tcPr>
          <w:p>
            <w:r>
              <w:rPr>
                <w:rFonts w:ascii="Times New Roman" w:hAnsi="Times New Roman"/>
                <w:sz w:val="22"/>
              </w:rPr>
              <w:t>**Yes** (guaranteed by nearest-neighbour rule)</w:t>
            </w:r>
          </w:p>
        </w:tc>
        <w:tc>
          <w:tcPr>
            <w:tcW w:type="dxa" w:w="1337"/>
          </w:tcPr>
          <w:p>
            <w:r>
              <w:rPr>
                <w:rFonts w:ascii="Times New Roman" w:hAnsi="Times New Roman"/>
                <w:sz w:val="22"/>
              </w:rPr>
              <w:t>Stable (DB-dependent)</w:t>
            </w:r>
          </w:p>
        </w:tc>
        <w:tc>
          <w:tcPr>
            <w:tcW w:type="dxa" w:w="1337"/>
          </w:tcPr>
          <w:p>
            <w:r>
              <w:rPr>
                <w:rFonts w:ascii="Times New Roman" w:hAnsi="Times New Roman"/>
                <w:sz w:val="22"/>
              </w:rPr>
              <w:t>Stable (DB-dependent)</w:t>
            </w:r>
          </w:p>
        </w:tc>
        <w:tc>
          <w:tcPr>
            <w:tcW w:type="dxa" w:w="1337"/>
          </w:tcPr>
          <w:p>
            <w:r>
              <w:rPr>
                <w:rFonts w:ascii="Times New Roman" w:hAnsi="Times New Roman"/>
                <w:sz w:val="22"/>
              </w:rPr>
              <w:t>**No** (re-clustering on DB update)</w:t>
            </w:r>
          </w:p>
        </w:tc>
        <w:tc>
          <w:tcPr>
            <w:tcW w:type="dxa" w:w="1337"/>
          </w:tcPr>
          <w:p>
            <w:r>
              <w:rPr>
                <w:rFonts w:ascii="Times New Roman" w:hAnsi="Times New Roman"/>
                <w:sz w:val="22"/>
              </w:rPr>
              <w:t>**No** (HSBM recomputation)</w:t>
            </w:r>
          </w:p>
        </w:tc>
        <w:tc>
          <w:tcPr>
            <w:tcW w:type="dxa" w:w="1337"/>
          </w:tcPr>
          <w:p>
            <w:r>
              <w:rPr>
                <w:rFonts w:ascii="Times New Roman" w:hAnsi="Times New Roman"/>
                <w:sz w:val="22"/>
              </w:rPr>
              <w:t>**No** (t-SNE re-embedding)</w:t>
            </w:r>
          </w:p>
        </w:tc>
      </w:tr>
      <w:tr>
        <w:tc>
          <w:tcPr>
            <w:tcW w:type="dxa" w:w="1337"/>
          </w:tcPr>
          <w:p>
            <w:r>
              <w:rPr>
                <w:rFonts w:ascii="Times New Roman" w:hAnsi="Times New Roman"/>
                <w:sz w:val="22"/>
              </w:rPr>
              <w:t>**Reference database required**</w:t>
            </w:r>
          </w:p>
        </w:tc>
        <w:tc>
          <w:tcPr>
            <w:tcW w:type="dxa" w:w="1337"/>
          </w:tcPr>
          <w:p>
            <w:r>
              <w:rPr>
                <w:rFonts w:ascii="Times New Roman" w:hAnsi="Times New Roman"/>
                <w:sz w:val="22"/>
              </w:rPr>
              <w:t>**No** (reference-free core)</w:t>
            </w:r>
          </w:p>
        </w:tc>
        <w:tc>
          <w:tcPr>
            <w:tcW w:type="dxa" w:w="1337"/>
          </w:tcPr>
          <w:p>
            <w:r>
              <w:rPr>
                <w:rFonts w:ascii="Times New Roman" w:hAnsi="Times New Roman"/>
                <w:sz w:val="22"/>
              </w:rPr>
              <w:t>Yes</w:t>
            </w:r>
          </w:p>
        </w:tc>
        <w:tc>
          <w:tcPr>
            <w:tcW w:type="dxa" w:w="1337"/>
          </w:tcPr>
          <w:p>
            <w:r>
              <w:rPr>
                <w:rFonts w:ascii="Times New Roman" w:hAnsi="Times New Roman"/>
                <w:sz w:val="22"/>
              </w:rPr>
              <w:t>Yes</w:t>
            </w:r>
          </w:p>
        </w:tc>
        <w:tc>
          <w:tcPr>
            <w:tcW w:type="dxa" w:w="1337"/>
          </w:tcPr>
          <w:p>
            <w:r>
              <w:rPr>
                <w:rFonts w:ascii="Times New Roman" w:hAnsi="Times New Roman"/>
                <w:sz w:val="22"/>
              </w:rPr>
              <w:t>Yes</w:t>
            </w:r>
          </w:p>
        </w:tc>
        <w:tc>
          <w:tcPr>
            <w:tcW w:type="dxa" w:w="1337"/>
          </w:tcPr>
          <w:p>
            <w:r>
              <w:rPr>
                <w:rFonts w:ascii="Times New Roman" w:hAnsi="Times New Roman"/>
                <w:sz w:val="22"/>
              </w:rPr>
              <w:t>Yes</w:t>
            </w:r>
          </w:p>
        </w:tc>
        <w:tc>
          <w:tcPr>
            <w:tcW w:type="dxa" w:w="1337"/>
          </w:tcPr>
          <w:p>
            <w:r>
              <w:rPr>
                <w:rFonts w:ascii="Times New Roman" w:hAnsi="Times New Roman"/>
                <w:sz w:val="22"/>
              </w:rPr>
              <w:t>**No**</w:t>
            </w:r>
          </w:p>
        </w:tc>
      </w:tr>
      <w:tr>
        <w:tc>
          <w:tcPr>
            <w:tcW w:type="dxa" w:w="1337"/>
          </w:tcPr>
          <w:p>
            <w:r>
              <w:rPr>
                <w:rFonts w:ascii="Times New Roman" w:hAnsi="Times New Roman"/>
                <w:sz w:val="22"/>
              </w:rPr>
              <w:t>**Taxonomic scope**</w:t>
            </w:r>
          </w:p>
        </w:tc>
        <w:tc>
          <w:tcPr>
            <w:tcW w:type="dxa" w:w="1337"/>
          </w:tcPr>
          <w:p>
            <w:r>
              <w:rPr>
                <w:rFonts w:ascii="Times New Roman" w:hAnsi="Times New Roman"/>
                <w:sz w:val="22"/>
              </w:rPr>
              <w:t>28 groups validated (20 GN Inc + 4 GP rep + 2 Aci + 2 Pae); universal (any plasmid)</w:t>
            </w:r>
          </w:p>
        </w:tc>
        <w:tc>
          <w:tcPr>
            <w:tcW w:type="dxa" w:w="1337"/>
          </w:tcPr>
          <w:p>
            <w:r>
              <w:rPr>
                <w:rFonts w:ascii="Times New Roman" w:hAnsi="Times New Roman"/>
                <w:sz w:val="22"/>
              </w:rPr>
              <w:t>Enterobacteriaceae mainly (~30 replicons)</w:t>
            </w:r>
          </w:p>
        </w:tc>
        <w:tc>
          <w:tcPr>
            <w:tcW w:type="dxa" w:w="1337"/>
          </w:tcPr>
          <w:p>
            <w:r>
              <w:rPr>
                <w:rFonts w:ascii="Times New Roman" w:hAnsi="Times New Roman"/>
                <w:sz w:val="22"/>
              </w:rPr>
              <w:t>6 Inc schemes only</w:t>
            </w:r>
          </w:p>
        </w:tc>
        <w:tc>
          <w:tcPr>
            <w:tcW w:type="dxa" w:w="1337"/>
          </w:tcPr>
          <w:p>
            <w:r>
              <w:rPr>
                <w:rFonts w:ascii="Times New Roman" w:hAnsi="Times New Roman"/>
                <w:sz w:val="22"/>
              </w:rPr>
              <w:t>Broad (DB-limited)</w:t>
            </w:r>
          </w:p>
        </w:tc>
        <w:tc>
          <w:tcPr>
            <w:tcW w:type="dxa" w:w="1337"/>
          </w:tcPr>
          <w:p>
            <w:r>
              <w:rPr>
                <w:rFonts w:ascii="Times New Roman" w:hAnsi="Times New Roman"/>
                <w:sz w:val="22"/>
              </w:rPr>
              <w:t>Broad (41% assignable; 63% Enterobacterales)</w:t>
            </w:r>
          </w:p>
        </w:tc>
        <w:tc>
          <w:tcPr>
            <w:tcW w:type="dxa" w:w="1337"/>
          </w:tcPr>
          <w:p>
            <w:r>
              <w:rPr>
                <w:rFonts w:ascii="Times New Roman" w:hAnsi="Times New Roman"/>
                <w:sz w:val="22"/>
              </w:rPr>
              <w:t>Broad</w:t>
            </w:r>
          </w:p>
        </w:tc>
      </w:tr>
      <w:tr>
        <w:tc>
          <w:tcPr>
            <w:tcW w:type="dxa" w:w="1337"/>
          </w:tcPr>
          <w:p>
            <w:r>
              <w:rPr>
                <w:rFonts w:ascii="Times New Roman" w:hAnsi="Times New Roman"/>
                <w:sz w:val="22"/>
              </w:rPr>
              <w:t>**Resolution**</w:t>
            </w:r>
          </w:p>
        </w:tc>
        <w:tc>
          <w:tcPr>
            <w:tcW w:type="dxa" w:w="1337"/>
          </w:tcPr>
          <w:p>
            <w:r>
              <w:rPr>
                <w:rFonts w:ascii="Times New Roman" w:hAnsi="Times New Roman"/>
                <w:sz w:val="22"/>
              </w:rPr>
              <w:t>Strain-level (~99.9% ANI)</w:t>
            </w:r>
          </w:p>
        </w:tc>
        <w:tc>
          <w:tcPr>
            <w:tcW w:type="dxa" w:w="1337"/>
          </w:tcPr>
          <w:p>
            <w:r>
              <w:rPr>
                <w:rFonts w:ascii="Times New Roman" w:hAnsi="Times New Roman"/>
                <w:sz w:val="22"/>
              </w:rPr>
              <w:t>Family-level</w:t>
            </w:r>
          </w:p>
        </w:tc>
        <w:tc>
          <w:tcPr>
            <w:tcW w:type="dxa" w:w="1337"/>
          </w:tcPr>
          <w:p>
            <w:r>
              <w:rPr>
                <w:rFonts w:ascii="Times New Roman" w:hAnsi="Times New Roman"/>
                <w:sz w:val="22"/>
              </w:rPr>
              <w:t>Sub-family (ST)</w:t>
            </w:r>
          </w:p>
        </w:tc>
        <w:tc>
          <w:tcPr>
            <w:tcW w:type="dxa" w:w="1337"/>
          </w:tcPr>
          <w:p>
            <w:r>
              <w:rPr>
                <w:rFonts w:ascii="Times New Roman" w:hAnsi="Times New Roman"/>
                <w:sz w:val="22"/>
              </w:rPr>
              <w:t>Species-level (Mash 0.06)</w:t>
            </w:r>
          </w:p>
        </w:tc>
        <w:tc>
          <w:tcPr>
            <w:tcW w:type="dxa" w:w="1337"/>
          </w:tcPr>
          <w:p>
            <w:r>
              <w:rPr>
                <w:rFonts w:ascii="Times New Roman" w:hAnsi="Times New Roman"/>
                <w:sz w:val="22"/>
              </w:rPr>
              <w:t>Species-level</w:t>
            </w:r>
          </w:p>
        </w:tc>
        <w:tc>
          <w:tcPr>
            <w:tcW w:type="dxa" w:w="1337"/>
          </w:tcPr>
          <w:p>
            <w:r>
              <w:rPr>
                <w:rFonts w:ascii="Times New Roman" w:hAnsi="Times New Roman"/>
                <w:sz w:val="22"/>
              </w:rPr>
              <w:t>Variable</w:t>
            </w:r>
          </w:p>
        </w:tc>
      </w:tr>
      <w:tr>
        <w:tc>
          <w:tcPr>
            <w:tcW w:type="dxa" w:w="1337"/>
          </w:tcPr>
          <w:p>
            <w:r>
              <w:rPr>
                <w:rFonts w:ascii="Times New Roman" w:hAnsi="Times New Roman"/>
                <w:sz w:val="22"/>
              </w:rPr>
              <w:t>**Simpson's D (this dataset, n = 8,077)**</w:t>
            </w:r>
          </w:p>
        </w:tc>
        <w:tc>
          <w:tcPr>
            <w:tcW w:type="dxa" w:w="1337"/>
          </w:tcPr>
          <w:p>
            <w:r>
              <w:rPr>
                <w:rFonts w:ascii="Times New Roman" w:hAnsi="Times New Roman"/>
                <w:sz w:val="22"/>
              </w:rPr>
              <w:t>**0.985**</w:t>
            </w:r>
          </w:p>
        </w:tc>
        <w:tc>
          <w:tcPr>
            <w:tcW w:type="dxa" w:w="1337"/>
          </w:tcPr>
          <w:p>
            <w:r>
              <w:rPr>
                <w:rFonts w:ascii="Times New Roman" w:hAnsi="Times New Roman"/>
                <w:sz w:val="22"/>
              </w:rPr>
              <w:t>0.641</w:t>
            </w:r>
          </w:p>
        </w:tc>
        <w:tc>
          <w:tcPr>
            <w:tcW w:type="dxa" w:w="1337"/>
          </w:tcPr>
          <w:p>
            <w:r>
              <w:rPr>
                <w:rFonts w:ascii="Times New Roman" w:hAnsi="Times New Roman"/>
                <w:sz w:val="22"/>
              </w:rPr>
              <w:t>N/A^a^</w:t>
            </w:r>
          </w:p>
        </w:tc>
        <w:tc>
          <w:tcPr>
            <w:tcW w:type="dxa" w:w="1337"/>
          </w:tcPr>
          <w:p>
            <w:r>
              <w:rPr>
                <w:rFonts w:ascii="Times New Roman" w:hAnsi="Times New Roman"/>
                <w:sz w:val="22"/>
              </w:rPr>
              <w:t>N/A</w:t>
            </w:r>
          </w:p>
        </w:tc>
        <w:tc>
          <w:tcPr>
            <w:tcW w:type="dxa" w:w="1337"/>
          </w:tcPr>
          <w:p>
            <w:r>
              <w:rPr>
                <w:rFonts w:ascii="Times New Roman" w:hAnsi="Times New Roman"/>
                <w:sz w:val="22"/>
              </w:rPr>
              <w:t>N/A</w:t>
            </w:r>
          </w:p>
        </w:tc>
        <w:tc>
          <w:tcPr>
            <w:tcW w:type="dxa" w:w="1337"/>
          </w:tcPr>
          <w:p>
            <w:r>
              <w:rPr>
                <w:rFonts w:ascii="Times New Roman" w:hAnsi="Times New Roman"/>
                <w:sz w:val="22"/>
              </w:rPr>
              <w:t>N/A</w:t>
            </w:r>
          </w:p>
        </w:tc>
      </w:tr>
      <w:tr>
        <w:tc>
          <w:tcPr>
            <w:tcW w:type="dxa" w:w="1337"/>
          </w:tcPr>
          <w:p>
            <w:r>
              <w:rPr>
                <w:rFonts w:ascii="Times New Roman" w:hAnsi="Times New Roman"/>
                <w:sz w:val="22"/>
              </w:rPr>
              <w:t>**Improvement over Inc/rep typing**</w:t>
            </w:r>
          </w:p>
        </w:tc>
        <w:tc>
          <w:tcPr>
            <w:tcW w:type="dxa" w:w="1337"/>
          </w:tcPr>
          <w:p>
            <w:r>
              <w:rPr>
                <w:rFonts w:ascii="Times New Roman" w:hAnsi="Times New Roman"/>
                <w:sz w:val="22"/>
              </w:rPr>
              <w:t>1.54-fold</w:t>
            </w:r>
          </w:p>
        </w:tc>
        <w:tc>
          <w:tcPr>
            <w:tcW w:type="dxa" w:w="1337"/>
          </w:tcPr>
          <w:p>
            <w:r>
              <w:rPr>
                <w:rFonts w:ascii="Times New Roman" w:hAnsi="Times New Roman"/>
                <w:sz w:val="22"/>
              </w:rPr>
              <w:t>--</w:t>
            </w:r>
          </w:p>
        </w:tc>
        <w:tc>
          <w:tcPr>
            <w:tcW w:type="dxa" w:w="1337"/>
          </w:tcPr>
          <w:p>
            <w:r>
              <w:rPr>
                <w:rFonts w:ascii="Times New Roman" w:hAnsi="Times New Roman"/>
                <w:sz w:val="22"/>
              </w:rPr>
              <w:t>--</w:t>
            </w:r>
          </w:p>
        </w:tc>
        <w:tc>
          <w:tcPr>
            <w:tcW w:type="dxa" w:w="1337"/>
          </w:tcPr>
          <w:p>
            <w:r>
              <w:rPr>
                <w:rFonts w:ascii="Times New Roman" w:hAnsi="Times New Roman"/>
                <w:sz w:val="22"/>
              </w:rPr>
              <w:t>--</w:t>
            </w:r>
          </w:p>
        </w:tc>
        <w:tc>
          <w:tcPr>
            <w:tcW w:type="dxa" w:w="1337"/>
          </w:tcPr>
          <w:p>
            <w:r>
              <w:rPr>
                <w:rFonts w:ascii="Times New Roman" w:hAnsi="Times New Roman"/>
                <w:sz w:val="22"/>
              </w:rPr>
              <w:t>--</w:t>
            </w:r>
          </w:p>
        </w:tc>
        <w:tc>
          <w:tcPr>
            <w:tcW w:type="dxa" w:w="1337"/>
          </w:tcPr>
          <w:p>
            <w:r>
              <w:rPr>
                <w:rFonts w:ascii="Times New Roman" w:hAnsi="Times New Roman"/>
                <w:sz w:val="22"/>
              </w:rPr>
              <w:t>--</w:t>
            </w:r>
          </w:p>
        </w:tc>
      </w:tr>
      <w:tr>
        <w:tc>
          <w:tcPr>
            <w:tcW w:type="dxa" w:w="1337"/>
          </w:tcPr>
          <w:p>
            <w:r>
              <w:rPr>
                <w:rFonts w:ascii="Times New Roman" w:hAnsi="Times New Roman"/>
                <w:sz w:val="22"/>
              </w:rPr>
              <w:t>**Sensitivity**</w:t>
            </w:r>
          </w:p>
        </w:tc>
        <w:tc>
          <w:tcPr>
            <w:tcW w:type="dxa" w:w="1337"/>
          </w:tcPr>
          <w:p>
            <w:r>
              <w:rPr>
                <w:rFonts w:ascii="Times New Roman" w:hAnsi="Times New Roman"/>
                <w:sz w:val="22"/>
              </w:rPr>
              <w:t>High (whole-sequence)</w:t>
            </w:r>
          </w:p>
        </w:tc>
        <w:tc>
          <w:tcPr>
            <w:tcW w:type="dxa" w:w="1337"/>
          </w:tcPr>
          <w:p>
            <w:r>
              <w:rPr>
                <w:rFonts w:ascii="Times New Roman" w:hAnsi="Times New Roman"/>
                <w:sz w:val="22"/>
              </w:rPr>
              <w:t>~50% (replicon-dependent)</w:t>
            </w:r>
          </w:p>
        </w:tc>
        <w:tc>
          <w:tcPr>
            <w:tcW w:type="dxa" w:w="1337"/>
          </w:tcPr>
          <w:p>
            <w:r>
              <w:rPr>
                <w:rFonts w:ascii="Times New Roman" w:hAnsi="Times New Roman"/>
                <w:sz w:val="22"/>
              </w:rPr>
              <w:t>Scheme-limited</w:t>
            </w:r>
          </w:p>
        </w:tc>
        <w:tc>
          <w:tcPr>
            <w:tcW w:type="dxa" w:w="1337"/>
          </w:tcPr>
          <w:p>
            <w:r>
              <w:rPr>
                <w:rFonts w:ascii="Times New Roman" w:hAnsi="Times New Roman"/>
                <w:sz w:val="22"/>
              </w:rPr>
              <w:t>~95%</w:t>
            </w:r>
          </w:p>
        </w:tc>
        <w:tc>
          <w:tcPr>
            <w:tcW w:type="dxa" w:w="1337"/>
          </w:tcPr>
          <w:p>
            <w:r>
              <w:rPr>
                <w:rFonts w:ascii="Times New Roman" w:hAnsi="Times New Roman"/>
                <w:sz w:val="22"/>
              </w:rPr>
              <w:t>41--63%</w:t>
            </w:r>
          </w:p>
        </w:tc>
        <w:tc>
          <w:tcPr>
            <w:tcW w:type="dxa" w:w="1337"/>
          </w:tcPr>
          <w:p>
            <w:r>
              <w:rPr>
                <w:rFonts w:ascii="Times New Roman" w:hAnsi="Times New Roman"/>
                <w:sz w:val="22"/>
              </w:rPr>
              <w:t>High</w:t>
            </w:r>
          </w:p>
        </w:tc>
      </w:tr>
      <w:tr>
        <w:tc>
          <w:tcPr>
            <w:tcW w:type="dxa" w:w="1337"/>
          </w:tcPr>
          <w:p>
            <w:r>
              <w:rPr>
                <w:rFonts w:ascii="Times New Roman" w:hAnsi="Times New Roman"/>
                <w:sz w:val="22"/>
              </w:rPr>
              <w:t>**Computational cost**</w:t>
            </w:r>
          </w:p>
        </w:tc>
        <w:tc>
          <w:tcPr>
            <w:tcW w:type="dxa" w:w="1337"/>
          </w:tcPr>
          <w:p>
            <w:r>
              <w:rPr>
                <w:rFonts w:ascii="Times New Roman" w:hAnsi="Times New Roman"/>
                <w:sz w:val="22"/>
              </w:rPr>
              <w:t>Low (minutes)</w:t>
            </w:r>
          </w:p>
        </w:tc>
        <w:tc>
          <w:tcPr>
            <w:tcW w:type="dxa" w:w="1337"/>
          </w:tcPr>
          <w:p>
            <w:r>
              <w:rPr>
                <w:rFonts w:ascii="Times New Roman" w:hAnsi="Times New Roman"/>
                <w:sz w:val="22"/>
              </w:rPr>
              <w:t>Low (seconds)</w:t>
            </w:r>
          </w:p>
        </w:tc>
        <w:tc>
          <w:tcPr>
            <w:tcW w:type="dxa" w:w="1337"/>
          </w:tcPr>
          <w:p>
            <w:r>
              <w:rPr>
                <w:rFonts w:ascii="Times New Roman" w:hAnsi="Times New Roman"/>
                <w:sz w:val="22"/>
              </w:rPr>
              <w:t>Low (seconds)</w:t>
            </w:r>
          </w:p>
        </w:tc>
        <w:tc>
          <w:tcPr>
            <w:tcW w:type="dxa" w:w="1337"/>
          </w:tcPr>
          <w:p>
            <w:r>
              <w:rPr>
                <w:rFonts w:ascii="Times New Roman" w:hAnsi="Times New Roman"/>
                <w:sz w:val="22"/>
              </w:rPr>
              <w:t>Moderate (minutes)</w:t>
            </w:r>
          </w:p>
        </w:tc>
        <w:tc>
          <w:tcPr>
            <w:tcW w:type="dxa" w:w="1337"/>
          </w:tcPr>
          <w:p>
            <w:r>
              <w:rPr>
                <w:rFonts w:ascii="Times New Roman" w:hAnsi="Times New Roman"/>
                <w:sz w:val="22"/>
              </w:rPr>
              <w:t>High (hours)</w:t>
            </w:r>
          </w:p>
        </w:tc>
        <w:tc>
          <w:tcPr>
            <w:tcW w:type="dxa" w:w="1337"/>
          </w:tcPr>
          <w:p>
            <w:r>
              <w:rPr>
                <w:rFonts w:ascii="Times New Roman" w:hAnsi="Times New Roman"/>
                <w:sz w:val="22"/>
              </w:rPr>
              <w:t>Moderate (minutes)</w:t>
            </w:r>
          </w:p>
        </w:tc>
      </w:tr>
      <w:tr>
        <w:tc>
          <w:tcPr>
            <w:tcW w:type="dxa" w:w="1337"/>
          </w:tcPr>
          <w:p>
            <w:r>
              <w:rPr>
                <w:rFonts w:ascii="Times New Roman" w:hAnsi="Times New Roman"/>
                <w:sz w:val="22"/>
              </w:rPr>
              <w:t>**ML validation**</w:t>
            </w:r>
          </w:p>
        </w:tc>
        <w:tc>
          <w:tcPr>
            <w:tcW w:type="dxa" w:w="1337"/>
          </w:tcPr>
          <w:p>
            <w:r>
              <w:rPr>
                <w:rFonts w:ascii="Times New Roman" w:hAnsi="Times New Roman"/>
                <w:sz w:val="22"/>
              </w:rPr>
              <w:t>Integrated (XGBoost F1 = 0.896)</w:t>
            </w:r>
          </w:p>
        </w:tc>
        <w:tc>
          <w:tcPr>
            <w:tcW w:type="dxa" w:w="1337"/>
          </w:tcPr>
          <w:p>
            <w:r>
              <w:rPr>
                <w:rFonts w:ascii="Times New Roman" w:hAnsi="Times New Roman"/>
                <w:sz w:val="22"/>
              </w:rPr>
              <w:t>None</w:t>
            </w:r>
          </w:p>
        </w:tc>
        <w:tc>
          <w:tcPr>
            <w:tcW w:type="dxa" w:w="1337"/>
          </w:tcPr>
          <w:p>
            <w:r>
              <w:rPr>
                <w:rFonts w:ascii="Times New Roman" w:hAnsi="Times New Roman"/>
                <w:sz w:val="22"/>
              </w:rPr>
              <w:t>None</w:t>
            </w:r>
          </w:p>
        </w:tc>
        <w:tc>
          <w:tcPr>
            <w:tcW w:type="dxa" w:w="1337"/>
          </w:tcPr>
          <w:p>
            <w:r>
              <w:rPr>
                <w:rFonts w:ascii="Times New Roman" w:hAnsi="Times New Roman"/>
                <w:sz w:val="22"/>
              </w:rPr>
              <w:t>None</w:t>
            </w:r>
          </w:p>
        </w:tc>
        <w:tc>
          <w:tcPr>
            <w:tcW w:type="dxa" w:w="1337"/>
          </w:tcPr>
          <w:p>
            <w:r>
              <w:rPr>
                <w:rFonts w:ascii="Times New Roman" w:hAnsi="Times New Roman"/>
                <w:sz w:val="22"/>
              </w:rPr>
              <w:t>None</w:t>
            </w:r>
          </w:p>
        </w:tc>
        <w:tc>
          <w:tcPr>
            <w:tcW w:type="dxa" w:w="1337"/>
          </w:tcPr>
          <w:p>
            <w:r>
              <w:rPr>
                <w:rFonts w:ascii="Times New Roman" w:hAnsi="Times New Roman"/>
                <w:sz w:val="22"/>
              </w:rPr>
              <w:t>None</w:t>
            </w:r>
          </w:p>
        </w:tc>
      </w:tr>
      <w:tr>
        <w:tc>
          <w:tcPr>
            <w:tcW w:type="dxa" w:w="1337"/>
          </w:tcPr>
          <w:p>
            <w:r>
              <w:rPr>
                <w:rFonts w:ascii="Times New Roman" w:hAnsi="Times New Roman"/>
                <w:sz w:val="22"/>
              </w:rPr>
              <w:t>**AMR integration**</w:t>
            </w:r>
          </w:p>
        </w:tc>
        <w:tc>
          <w:tcPr>
            <w:tcW w:type="dxa" w:w="1337"/>
          </w:tcPr>
          <w:p>
            <w:r>
              <w:rPr>
                <w:rFonts w:ascii="Times New Roman" w:hAnsi="Times New Roman"/>
                <w:sz w:val="22"/>
              </w:rPr>
              <w:t>**Yes** (AMRFinderPlus)</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r>
      <w:tr>
        <w:tc>
          <w:tcPr>
            <w:tcW w:type="dxa" w:w="1337"/>
          </w:tcPr>
          <w:p>
            <w:r>
              <w:rPr>
                <w:rFonts w:ascii="Times New Roman" w:hAnsi="Times New Roman"/>
                <w:sz w:val="22"/>
              </w:rPr>
              <w:t>**Outbreak detection**</w:t>
            </w:r>
          </w:p>
        </w:tc>
        <w:tc>
          <w:tcPr>
            <w:tcW w:type="dxa" w:w="1337"/>
          </w:tcPr>
          <w:p>
            <w:r>
              <w:rPr>
                <w:rFonts w:ascii="Times New Roman" w:hAnsi="Times New Roman"/>
                <w:sz w:val="22"/>
              </w:rPr>
              <w:t>**Yes** (basic + temporal)</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r>
      <w:tr>
        <w:tc>
          <w:tcPr>
            <w:tcW w:type="dxa" w:w="1337"/>
          </w:tcPr>
          <w:p>
            <w:r>
              <w:rPr>
                <w:rFonts w:ascii="Times New Roman" w:hAnsi="Times New Roman"/>
                <w:sz w:val="22"/>
              </w:rPr>
              <w:t>**Mosaic detection**</w:t>
            </w:r>
          </w:p>
        </w:tc>
        <w:tc>
          <w:tcPr>
            <w:tcW w:type="dxa" w:w="1337"/>
          </w:tcPr>
          <w:p>
            <w:r>
              <w:rPr>
                <w:rFonts w:ascii="Times New Roman" w:hAnsi="Times New Roman"/>
                <w:sz w:val="22"/>
              </w:rPr>
              <w:t>**Yes** (GC heterogeneity)</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r>
    </w:tbl>
    <w:p/>
    <w:p>
      <w:pPr>
        <w:spacing w:after="120" w:before="0" w:line="480" w:lineRule="auto"/>
      </w:pPr>
      <w:r>
        <w:rPr>
          <w:rFonts w:ascii="Times New Roman" w:hAnsi="Times New Roman"/>
          <w:b w:val="0"/>
          <w:i w:val="0"/>
          <w:sz w:val="24"/>
        </w:rPr>
        <w:t>^a^ pMLST schemes not available for all 20 Inc groups simultaneously.</w:t>
      </w:r>
    </w:p>
    <w:p>
      <w:pPr>
        <w:spacing w:after="120" w:before="0" w:line="480" w:lineRule="auto"/>
      </w:pPr>
      <w:r>
        <w:rPr>
          <w:rFonts w:ascii="Times New Roman" w:hAnsi="Times New Roman"/>
          <w:b/>
          <w:i w:val="0"/>
          <w:sz w:val="24"/>
        </w:rPr>
        <w:t>Notes:</w:t>
      </w:r>
    </w:p>
    <w:p>
      <w:pPr>
        <w:spacing w:after="120" w:before="0" w:line="480" w:lineRule="auto"/>
      </w:pPr>
      <w:r>
        <w:rPr>
          <w:rFonts w:ascii="Times New Roman" w:hAnsi="Times New Roman"/>
          <w:b w:val="0"/>
          <w:i w:val="0"/>
          <w:sz w:val="24"/>
        </w:rPr>
        <w:t>- Simpson's Index of Diversity (D) calculated on the full 8,077-sample, 28-group training dataset. Inc/rep group typing produces D = 0.641 because it assigns all plasmids within each group to a single label; pLIN resolves 3,073 unique strain-level codes across all 28 groups. - Code permanence for PlasmidFinder/pMLST is labelled "Stable (DB-dependent)" because the codes themselves do not change, but classification outcomes can change when the underlying replicon/allele database is updated. - The "reference-free" designation for pLIN refers to the core classification algorithm, which operates solely on k-mer composition without requiring external databases. The optional AMRFinderPlus, MOB-suite, and FastANI modules do require their respective databases.</w:t>
      </w:r>
    </w:p>
    <w:p>
      <w:pPr>
        <w:spacing w:after="120" w:before="0" w:line="480" w:lineRule="auto"/>
      </w:pPr>
      <w:r>
        <w:rPr>
          <w:rFonts w:ascii="Times New Roman" w:hAnsi="Times New Roman"/>
          <w:b/>
          <w:i w:val="0"/>
          <w:sz w:val="24"/>
        </w:rPr>
        <w:t>Abbreviations:</w:t>
      </w:r>
      <w:r>
        <w:rPr>
          <w:rFonts w:ascii="Times New Roman" w:hAnsi="Times New Roman"/>
          <w:b w:val="0"/>
          <w:i w:val="0"/>
          <w:sz w:val="24"/>
        </w:rPr>
        <w:t xml:space="preserve"> ANI, average nucleotide identity; DB, database; HDBSCAN, hierarchical density-based spatial clustering of applications with noise; HSBM, hierarchical stochastic block modelling; ML, machine learning; pMLST, plasmid multilocus sequence typing; PTU, plasmid taxonomic unit; ST, sequence type.</w:t>
      </w:r>
    </w:p>
    <w:p/>
    <w:p>
      <w:pPr>
        <w:pStyle w:val="Heading1"/>
      </w:pPr>
      <w:r>
        <w:rPr>
          <w:rFonts w:ascii="Times New Roman" w:hAnsi="Times New Roman"/>
          <w:sz w:val="36"/>
        </w:rPr>
        <w:t>Table 2. pLIN hierarchical threshold definitions, ANI calibration, and clustering results at each level.</w:t>
      </w:r>
    </w:p>
    <w:p>
      <w:pPr>
        <w:pStyle w:val="Heading2"/>
      </w:pPr>
      <w:r>
        <w:rPr>
          <w:rFonts w:ascii="Times New Roman" w:hAnsi="Times New Roman"/>
          <w:sz w:val="32"/>
        </w:rPr>
        <w:t>A. Threshold definitions and biological interpretation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2F5496"/>
          </w:tcPr>
          <w:p>
            <w:pPr>
              <w:jc w:val="center"/>
            </w:pPr>
            <w:r>
              <w:rPr>
                <w:rFonts w:ascii="Times New Roman" w:hAnsi="Times New Roman"/>
                <w:b/>
                <w:color w:val="FFFFFF"/>
                <w:sz w:val="22"/>
              </w:rPr>
              <w:t>Level</w:t>
            </w:r>
          </w:p>
        </w:tc>
        <w:tc>
          <w:tcPr>
            <w:tcW w:type="dxa" w:w="1560"/>
            <w:shd w:val="clear" w:color="auto" w:fill="2F5496"/>
          </w:tcPr>
          <w:p>
            <w:pPr>
              <w:jc w:val="center"/>
            </w:pPr>
            <w:r>
              <w:rPr>
                <w:rFonts w:ascii="Times New Roman" w:hAnsi="Times New Roman"/>
                <w:b/>
                <w:color w:val="FFFFFF"/>
                <w:sz w:val="22"/>
              </w:rPr>
              <w:t>Bin</w:t>
            </w:r>
          </w:p>
        </w:tc>
        <w:tc>
          <w:tcPr>
            <w:tcW w:type="dxa" w:w="1560"/>
            <w:shd w:val="clear" w:color="auto" w:fill="2F5496"/>
          </w:tcPr>
          <w:p>
            <w:pPr>
              <w:jc w:val="center"/>
            </w:pPr>
            <w:r>
              <w:rPr>
                <w:rFonts w:ascii="Times New Roman" w:hAnsi="Times New Roman"/>
                <w:b/>
                <w:color w:val="FFFFFF"/>
                <w:sz w:val="22"/>
              </w:rPr>
              <w:t>Cosine distance threshold (d)</w:t>
            </w:r>
          </w:p>
        </w:tc>
        <w:tc>
          <w:tcPr>
            <w:tcW w:type="dxa" w:w="1560"/>
            <w:shd w:val="clear" w:color="auto" w:fill="2F5496"/>
          </w:tcPr>
          <w:p>
            <w:pPr>
              <w:jc w:val="center"/>
            </w:pPr>
            <w:r>
              <w:rPr>
                <w:rFonts w:ascii="Times New Roman" w:hAnsi="Times New Roman"/>
                <w:b/>
                <w:color w:val="FFFFFF"/>
                <w:sz w:val="22"/>
              </w:rPr>
              <w:t>ANI equivalent</w:t>
            </w:r>
          </w:p>
        </w:tc>
        <w:tc>
          <w:tcPr>
            <w:tcW w:type="dxa" w:w="1560"/>
            <w:shd w:val="clear" w:color="auto" w:fill="2F5496"/>
          </w:tcPr>
          <w:p>
            <w:pPr>
              <w:jc w:val="center"/>
            </w:pPr>
            <w:r>
              <w:rPr>
                <w:rFonts w:ascii="Times New Roman" w:hAnsi="Times New Roman"/>
                <w:b/>
                <w:color w:val="FFFFFF"/>
                <w:sz w:val="22"/>
              </w:rPr>
              <w:t>Biological interpretation</w:t>
            </w:r>
          </w:p>
        </w:tc>
        <w:tc>
          <w:tcPr>
            <w:tcW w:type="dxa" w:w="1560"/>
            <w:shd w:val="clear" w:color="auto" w:fill="2F5496"/>
          </w:tcPr>
          <w:p>
            <w:pPr>
              <w:jc w:val="center"/>
            </w:pPr>
            <w:r>
              <w:rPr>
                <w:rFonts w:ascii="Times New Roman" w:hAnsi="Times New Roman"/>
                <w:b/>
                <w:color w:val="FFFFFF"/>
                <w:sz w:val="22"/>
              </w:rPr>
              <w:t>Typical application</w:t>
            </w:r>
          </w:p>
        </w:tc>
      </w:tr>
      <w:tr>
        <w:tc>
          <w:tcPr>
            <w:tcW w:type="dxa" w:w="1560"/>
          </w:tcPr>
          <w:p>
            <w:r>
              <w:rPr>
                <w:rFonts w:ascii="Times New Roman" w:hAnsi="Times New Roman"/>
                <w:sz w:val="22"/>
              </w:rPr>
              <w:t>L1</w:t>
            </w:r>
          </w:p>
        </w:tc>
        <w:tc>
          <w:tcPr>
            <w:tcW w:type="dxa" w:w="1560"/>
          </w:tcPr>
          <w:p>
            <w:r>
              <w:rPr>
                <w:rFonts w:ascii="Times New Roman" w:hAnsi="Times New Roman"/>
                <w:sz w:val="22"/>
              </w:rPr>
              <w:t>A</w:t>
            </w:r>
          </w:p>
        </w:tc>
        <w:tc>
          <w:tcPr>
            <w:tcW w:type="dxa" w:w="1560"/>
          </w:tcPr>
          <w:p>
            <w:r>
              <w:rPr>
                <w:rFonts w:ascii="Times New Roman" w:hAnsi="Times New Roman"/>
                <w:sz w:val="22"/>
              </w:rPr>
              <w:t>&lt;= 0.150</w:t>
            </w:r>
          </w:p>
        </w:tc>
        <w:tc>
          <w:tcPr>
            <w:tcW w:type="dxa" w:w="1560"/>
          </w:tcPr>
          <w:p>
            <w:r>
              <w:rPr>
                <w:rFonts w:ascii="Times New Roman" w:hAnsi="Times New Roman"/>
                <w:sz w:val="22"/>
              </w:rPr>
              <w:t>~85%</w:t>
            </w:r>
          </w:p>
        </w:tc>
        <w:tc>
          <w:tcPr>
            <w:tcW w:type="dxa" w:w="1560"/>
          </w:tcPr>
          <w:p>
            <w:r>
              <w:rPr>
                <w:rFonts w:ascii="Times New Roman" w:hAnsi="Times New Roman"/>
                <w:sz w:val="22"/>
              </w:rPr>
              <w:t>Family</w:t>
            </w:r>
          </w:p>
        </w:tc>
        <w:tc>
          <w:tcPr>
            <w:tcW w:type="dxa" w:w="1560"/>
          </w:tcPr>
          <w:p>
            <w:r>
              <w:rPr>
                <w:rFonts w:ascii="Times New Roman" w:hAnsi="Times New Roman"/>
                <w:sz w:val="22"/>
              </w:rPr>
              <w:t>Broad evolutionary comparisons</w:t>
            </w:r>
          </w:p>
        </w:tc>
      </w:tr>
      <w:tr>
        <w:tc>
          <w:tcPr>
            <w:tcW w:type="dxa" w:w="1560"/>
          </w:tcPr>
          <w:p>
            <w:r>
              <w:rPr>
                <w:rFonts w:ascii="Times New Roman" w:hAnsi="Times New Roman"/>
                <w:sz w:val="22"/>
              </w:rPr>
              <w:t>L2</w:t>
            </w:r>
          </w:p>
        </w:tc>
        <w:tc>
          <w:tcPr>
            <w:tcW w:type="dxa" w:w="1560"/>
          </w:tcPr>
          <w:p>
            <w:r>
              <w:rPr>
                <w:rFonts w:ascii="Times New Roman" w:hAnsi="Times New Roman"/>
                <w:sz w:val="22"/>
              </w:rPr>
              <w:t>B</w:t>
            </w:r>
          </w:p>
        </w:tc>
        <w:tc>
          <w:tcPr>
            <w:tcW w:type="dxa" w:w="1560"/>
          </w:tcPr>
          <w:p>
            <w:r>
              <w:rPr>
                <w:rFonts w:ascii="Times New Roman" w:hAnsi="Times New Roman"/>
                <w:sz w:val="22"/>
              </w:rPr>
              <w:t>&lt;= 0.100</w:t>
            </w:r>
          </w:p>
        </w:tc>
        <w:tc>
          <w:tcPr>
            <w:tcW w:type="dxa" w:w="1560"/>
          </w:tcPr>
          <w:p>
            <w:r>
              <w:rPr>
                <w:rFonts w:ascii="Times New Roman" w:hAnsi="Times New Roman"/>
                <w:sz w:val="22"/>
              </w:rPr>
              <w:t>~90%</w:t>
            </w:r>
          </w:p>
        </w:tc>
        <w:tc>
          <w:tcPr>
            <w:tcW w:type="dxa" w:w="1560"/>
          </w:tcPr>
          <w:p>
            <w:r>
              <w:rPr>
                <w:rFonts w:ascii="Times New Roman" w:hAnsi="Times New Roman"/>
                <w:sz w:val="22"/>
              </w:rPr>
              <w:t>Subfamily</w:t>
            </w:r>
          </w:p>
        </w:tc>
        <w:tc>
          <w:tcPr>
            <w:tcW w:type="dxa" w:w="1560"/>
          </w:tcPr>
          <w:p>
            <w:r>
              <w:rPr>
                <w:rFonts w:ascii="Times New Roman" w:hAnsi="Times New Roman"/>
                <w:sz w:val="22"/>
              </w:rPr>
              <w:t>Plasmid family substructure</w:t>
            </w:r>
          </w:p>
        </w:tc>
      </w:tr>
      <w:tr>
        <w:tc>
          <w:tcPr>
            <w:tcW w:type="dxa" w:w="1560"/>
          </w:tcPr>
          <w:p>
            <w:r>
              <w:rPr>
                <w:rFonts w:ascii="Times New Roman" w:hAnsi="Times New Roman"/>
                <w:sz w:val="22"/>
              </w:rPr>
              <w:t>L3</w:t>
            </w:r>
          </w:p>
        </w:tc>
        <w:tc>
          <w:tcPr>
            <w:tcW w:type="dxa" w:w="1560"/>
          </w:tcPr>
          <w:p>
            <w:r>
              <w:rPr>
                <w:rFonts w:ascii="Times New Roman" w:hAnsi="Times New Roman"/>
                <w:sz w:val="22"/>
              </w:rPr>
              <w:t>C</w:t>
            </w:r>
          </w:p>
        </w:tc>
        <w:tc>
          <w:tcPr>
            <w:tcW w:type="dxa" w:w="1560"/>
          </w:tcPr>
          <w:p>
            <w:r>
              <w:rPr>
                <w:rFonts w:ascii="Times New Roman" w:hAnsi="Times New Roman"/>
                <w:sz w:val="22"/>
              </w:rPr>
              <w:t>&lt;= 0.050</w:t>
            </w:r>
          </w:p>
        </w:tc>
        <w:tc>
          <w:tcPr>
            <w:tcW w:type="dxa" w:w="1560"/>
          </w:tcPr>
          <w:p>
            <w:r>
              <w:rPr>
                <w:rFonts w:ascii="Times New Roman" w:hAnsi="Times New Roman"/>
                <w:sz w:val="22"/>
              </w:rPr>
              <w:t>~95%</w:t>
            </w:r>
          </w:p>
        </w:tc>
        <w:tc>
          <w:tcPr>
            <w:tcW w:type="dxa" w:w="1560"/>
          </w:tcPr>
          <w:p>
            <w:r>
              <w:rPr>
                <w:rFonts w:ascii="Times New Roman" w:hAnsi="Times New Roman"/>
                <w:sz w:val="22"/>
              </w:rPr>
              <w:t>Cluster</w:t>
            </w:r>
          </w:p>
        </w:tc>
        <w:tc>
          <w:tcPr>
            <w:tcW w:type="dxa" w:w="1560"/>
          </w:tcPr>
          <w:p>
            <w:r>
              <w:rPr>
                <w:rFonts w:ascii="Times New Roman" w:hAnsi="Times New Roman"/>
                <w:sz w:val="22"/>
              </w:rPr>
              <w:t>Lineage tracking</w:t>
            </w:r>
          </w:p>
        </w:tc>
      </w:tr>
      <w:tr>
        <w:tc>
          <w:tcPr>
            <w:tcW w:type="dxa" w:w="1560"/>
          </w:tcPr>
          <w:p>
            <w:r>
              <w:rPr>
                <w:rFonts w:ascii="Times New Roman" w:hAnsi="Times New Roman"/>
                <w:sz w:val="22"/>
              </w:rPr>
              <w:t>L4</w:t>
            </w:r>
          </w:p>
        </w:tc>
        <w:tc>
          <w:tcPr>
            <w:tcW w:type="dxa" w:w="1560"/>
          </w:tcPr>
          <w:p>
            <w:r>
              <w:rPr>
                <w:rFonts w:ascii="Times New Roman" w:hAnsi="Times New Roman"/>
                <w:sz w:val="22"/>
              </w:rPr>
              <w:t>D</w:t>
            </w:r>
          </w:p>
        </w:tc>
        <w:tc>
          <w:tcPr>
            <w:tcW w:type="dxa" w:w="1560"/>
          </w:tcPr>
          <w:p>
            <w:r>
              <w:rPr>
                <w:rFonts w:ascii="Times New Roman" w:hAnsi="Times New Roman"/>
                <w:sz w:val="22"/>
              </w:rPr>
              <w:t>&lt;= 0.020</w:t>
            </w:r>
          </w:p>
        </w:tc>
        <w:tc>
          <w:tcPr>
            <w:tcW w:type="dxa" w:w="1560"/>
          </w:tcPr>
          <w:p>
            <w:r>
              <w:rPr>
                <w:rFonts w:ascii="Times New Roman" w:hAnsi="Times New Roman"/>
                <w:sz w:val="22"/>
              </w:rPr>
              <w:t>~98%</w:t>
            </w:r>
          </w:p>
        </w:tc>
        <w:tc>
          <w:tcPr>
            <w:tcW w:type="dxa" w:w="1560"/>
          </w:tcPr>
          <w:p>
            <w:r>
              <w:rPr>
                <w:rFonts w:ascii="Times New Roman" w:hAnsi="Times New Roman"/>
                <w:sz w:val="22"/>
              </w:rPr>
              <w:t>Subcluster</w:t>
            </w:r>
          </w:p>
        </w:tc>
        <w:tc>
          <w:tcPr>
            <w:tcW w:type="dxa" w:w="1560"/>
          </w:tcPr>
          <w:p>
            <w:r>
              <w:rPr>
                <w:rFonts w:ascii="Times New Roman" w:hAnsi="Times New Roman"/>
                <w:sz w:val="22"/>
              </w:rPr>
              <w:t>Lineage-level surveillance</w:t>
            </w:r>
          </w:p>
        </w:tc>
      </w:tr>
      <w:tr>
        <w:tc>
          <w:tcPr>
            <w:tcW w:type="dxa" w:w="1560"/>
          </w:tcPr>
          <w:p>
            <w:r>
              <w:rPr>
                <w:rFonts w:ascii="Times New Roman" w:hAnsi="Times New Roman"/>
                <w:sz w:val="22"/>
              </w:rPr>
              <w:t>L5</w:t>
            </w:r>
          </w:p>
        </w:tc>
        <w:tc>
          <w:tcPr>
            <w:tcW w:type="dxa" w:w="1560"/>
          </w:tcPr>
          <w:p>
            <w:r>
              <w:rPr>
                <w:rFonts w:ascii="Times New Roman" w:hAnsi="Times New Roman"/>
                <w:sz w:val="22"/>
              </w:rPr>
              <w:t>E</w:t>
            </w:r>
          </w:p>
        </w:tc>
        <w:tc>
          <w:tcPr>
            <w:tcW w:type="dxa" w:w="1560"/>
          </w:tcPr>
          <w:p>
            <w:r>
              <w:rPr>
                <w:rFonts w:ascii="Times New Roman" w:hAnsi="Times New Roman"/>
                <w:sz w:val="22"/>
              </w:rPr>
              <w:t>&lt;= 0.010</w:t>
            </w:r>
          </w:p>
        </w:tc>
        <w:tc>
          <w:tcPr>
            <w:tcW w:type="dxa" w:w="1560"/>
          </w:tcPr>
          <w:p>
            <w:r>
              <w:rPr>
                <w:rFonts w:ascii="Times New Roman" w:hAnsi="Times New Roman"/>
                <w:sz w:val="22"/>
              </w:rPr>
              <w:t>~99%</w:t>
            </w:r>
          </w:p>
        </w:tc>
        <w:tc>
          <w:tcPr>
            <w:tcW w:type="dxa" w:w="1560"/>
          </w:tcPr>
          <w:p>
            <w:r>
              <w:rPr>
                <w:rFonts w:ascii="Times New Roman" w:hAnsi="Times New Roman"/>
                <w:sz w:val="22"/>
              </w:rPr>
              <w:t>Clone complex</w:t>
            </w:r>
          </w:p>
        </w:tc>
        <w:tc>
          <w:tcPr>
            <w:tcW w:type="dxa" w:w="1560"/>
          </w:tcPr>
          <w:p>
            <w:r>
              <w:rPr>
                <w:rFonts w:ascii="Times New Roman" w:hAnsi="Times New Roman"/>
                <w:sz w:val="22"/>
              </w:rPr>
              <w:t>Clonal expansion detection</w:t>
            </w:r>
          </w:p>
        </w:tc>
      </w:tr>
      <w:tr>
        <w:tc>
          <w:tcPr>
            <w:tcW w:type="dxa" w:w="1560"/>
          </w:tcPr>
          <w:p>
            <w:r>
              <w:rPr>
                <w:rFonts w:ascii="Times New Roman" w:hAnsi="Times New Roman"/>
                <w:sz w:val="22"/>
              </w:rPr>
              <w:t>L6</w:t>
            </w:r>
          </w:p>
        </w:tc>
        <w:tc>
          <w:tcPr>
            <w:tcW w:type="dxa" w:w="1560"/>
          </w:tcPr>
          <w:p>
            <w:r>
              <w:rPr>
                <w:rFonts w:ascii="Times New Roman" w:hAnsi="Times New Roman"/>
                <w:sz w:val="22"/>
              </w:rPr>
              <w:t>F</w:t>
            </w:r>
          </w:p>
        </w:tc>
        <w:tc>
          <w:tcPr>
            <w:tcW w:type="dxa" w:w="1560"/>
          </w:tcPr>
          <w:p>
            <w:r>
              <w:rPr>
                <w:rFonts w:ascii="Times New Roman" w:hAnsi="Times New Roman"/>
                <w:sz w:val="22"/>
              </w:rPr>
              <w:t>&lt;= 0.001</w:t>
            </w:r>
          </w:p>
        </w:tc>
        <w:tc>
          <w:tcPr>
            <w:tcW w:type="dxa" w:w="1560"/>
          </w:tcPr>
          <w:p>
            <w:r>
              <w:rPr>
                <w:rFonts w:ascii="Times New Roman" w:hAnsi="Times New Roman"/>
                <w:sz w:val="22"/>
              </w:rPr>
              <w:t>~99.9%</w:t>
            </w:r>
          </w:p>
        </w:tc>
        <w:tc>
          <w:tcPr>
            <w:tcW w:type="dxa" w:w="1560"/>
          </w:tcPr>
          <w:p>
            <w:r>
              <w:rPr>
                <w:rFonts w:ascii="Times New Roman" w:hAnsi="Times New Roman"/>
                <w:sz w:val="22"/>
              </w:rPr>
              <w:t>Strain / Outbreak</w:t>
            </w:r>
          </w:p>
        </w:tc>
        <w:tc>
          <w:tcPr>
            <w:tcW w:type="dxa" w:w="1560"/>
          </w:tcPr>
          <w:p>
            <w:r>
              <w:rPr>
                <w:rFonts w:ascii="Times New Roman" w:hAnsi="Times New Roman"/>
                <w:sz w:val="22"/>
              </w:rPr>
              <w:t>Outbreak investigation</w:t>
            </w:r>
          </w:p>
        </w:tc>
      </w:tr>
    </w:tbl>
    <w:p/>
    <w:p>
      <w:pPr>
        <w:pStyle w:val="Heading2"/>
      </w:pPr>
      <w:r>
        <w:rPr>
          <w:rFonts w:ascii="Times New Roman" w:hAnsi="Times New Roman"/>
          <w:sz w:val="32"/>
        </w:rPr>
        <w:t>B. Clustering results at each threshold for the full training dataset (n = 8,077 samples, 28 groups)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2F5496"/>
          </w:tcPr>
          <w:p>
            <w:pPr>
              <w:jc w:val="center"/>
            </w:pPr>
            <w:r>
              <w:rPr>
                <w:rFonts w:ascii="Times New Roman" w:hAnsi="Times New Roman"/>
                <w:b/>
                <w:color w:val="FFFFFF"/>
                <w:sz w:val="22"/>
              </w:rPr>
              <w:t>Bin</w:t>
            </w:r>
          </w:p>
        </w:tc>
        <w:tc>
          <w:tcPr>
            <w:tcW w:type="dxa" w:w="1170"/>
            <w:shd w:val="clear" w:color="auto" w:fill="2F5496"/>
          </w:tcPr>
          <w:p>
            <w:pPr>
              <w:jc w:val="center"/>
            </w:pPr>
            <w:r>
              <w:rPr>
                <w:rFonts w:ascii="Times New Roman" w:hAnsi="Times New Roman"/>
                <w:b/>
                <w:color w:val="FFFFFF"/>
                <w:sz w:val="22"/>
              </w:rPr>
              <w:t>Level</w:t>
            </w:r>
          </w:p>
        </w:tc>
        <w:tc>
          <w:tcPr>
            <w:tcW w:type="dxa" w:w="1170"/>
            <w:shd w:val="clear" w:color="auto" w:fill="2F5496"/>
          </w:tcPr>
          <w:p>
            <w:pPr>
              <w:jc w:val="center"/>
            </w:pPr>
            <w:r>
              <w:rPr>
                <w:rFonts w:ascii="Times New Roman" w:hAnsi="Times New Roman"/>
                <w:b/>
                <w:color w:val="FFFFFF"/>
                <w:sz w:val="22"/>
              </w:rPr>
              <w:t>Distance threshold (d)</w:t>
            </w:r>
          </w:p>
        </w:tc>
        <w:tc>
          <w:tcPr>
            <w:tcW w:type="dxa" w:w="1170"/>
            <w:shd w:val="clear" w:color="auto" w:fill="2F5496"/>
          </w:tcPr>
          <w:p>
            <w:pPr>
              <w:jc w:val="center"/>
            </w:pPr>
            <w:r>
              <w:rPr>
                <w:rFonts w:ascii="Times New Roman" w:hAnsi="Times New Roman"/>
                <w:b/>
                <w:color w:val="FFFFFF"/>
                <w:sz w:val="22"/>
              </w:rPr>
              <w:t>Clusters (n)</w:t>
            </w:r>
          </w:p>
        </w:tc>
        <w:tc>
          <w:tcPr>
            <w:tcW w:type="dxa" w:w="1170"/>
            <w:shd w:val="clear" w:color="auto" w:fill="2F5496"/>
          </w:tcPr>
          <w:p>
            <w:pPr>
              <w:jc w:val="center"/>
            </w:pPr>
            <w:r>
              <w:rPr>
                <w:rFonts w:ascii="Times New Roman" w:hAnsi="Times New Roman"/>
                <w:b/>
                <w:color w:val="FFFFFF"/>
                <w:sz w:val="22"/>
              </w:rPr>
              <w:t>Median cluster size</w:t>
            </w:r>
          </w:p>
        </w:tc>
        <w:tc>
          <w:tcPr>
            <w:tcW w:type="dxa" w:w="1170"/>
            <w:shd w:val="clear" w:color="auto" w:fill="2F5496"/>
          </w:tcPr>
          <w:p>
            <w:pPr>
              <w:jc w:val="center"/>
            </w:pPr>
            <w:r>
              <w:rPr>
                <w:rFonts w:ascii="Times New Roman" w:hAnsi="Times New Roman"/>
                <w:b/>
                <w:color w:val="FFFFFF"/>
                <w:sz w:val="22"/>
              </w:rPr>
              <w:t>Max cluster size</w:t>
            </w:r>
          </w:p>
        </w:tc>
        <w:tc>
          <w:tcPr>
            <w:tcW w:type="dxa" w:w="1170"/>
            <w:shd w:val="clear" w:color="auto" w:fill="2F5496"/>
          </w:tcPr>
          <w:p>
            <w:pPr>
              <w:jc w:val="center"/>
            </w:pPr>
            <w:r>
              <w:rPr>
                <w:rFonts w:ascii="Times New Roman" w:hAnsi="Times New Roman"/>
                <w:b/>
                <w:color w:val="FFFFFF"/>
                <w:sz w:val="22"/>
              </w:rPr>
              <w:t>Singletons (n)</w:t>
            </w:r>
          </w:p>
        </w:tc>
        <w:tc>
          <w:tcPr>
            <w:tcW w:type="dxa" w:w="1170"/>
            <w:shd w:val="clear" w:color="auto" w:fill="2F5496"/>
          </w:tcPr>
          <w:p>
            <w:pPr>
              <w:jc w:val="center"/>
            </w:pPr>
            <w:r>
              <w:rPr>
                <w:rFonts w:ascii="Times New Roman" w:hAnsi="Times New Roman"/>
                <w:b/>
                <w:color w:val="FFFFFF"/>
                <w:sz w:val="22"/>
              </w:rPr>
              <w:t>Singletons (%)</w:t>
            </w:r>
          </w:p>
        </w:tc>
      </w:tr>
      <w:tr>
        <w:tc>
          <w:tcPr>
            <w:tcW w:type="dxa" w:w="1170"/>
          </w:tcPr>
          <w:p>
            <w:r>
              <w:rPr>
                <w:rFonts w:ascii="Times New Roman" w:hAnsi="Times New Roman"/>
                <w:sz w:val="22"/>
              </w:rPr>
              <w:t>A</w:t>
            </w:r>
          </w:p>
        </w:tc>
        <w:tc>
          <w:tcPr>
            <w:tcW w:type="dxa" w:w="1170"/>
          </w:tcPr>
          <w:p>
            <w:r>
              <w:rPr>
                <w:rFonts w:ascii="Times New Roman" w:hAnsi="Times New Roman"/>
                <w:sz w:val="22"/>
              </w:rPr>
              <w:t>Family (L1)</w:t>
            </w:r>
          </w:p>
        </w:tc>
        <w:tc>
          <w:tcPr>
            <w:tcW w:type="dxa" w:w="1170"/>
          </w:tcPr>
          <w:p>
            <w:r>
              <w:rPr>
                <w:rFonts w:ascii="Times New Roman" w:hAnsi="Times New Roman"/>
                <w:sz w:val="22"/>
              </w:rPr>
              <w:t>&lt;= 0.150</w:t>
            </w:r>
          </w:p>
        </w:tc>
        <w:tc>
          <w:tcPr>
            <w:tcW w:type="dxa" w:w="1170"/>
          </w:tcPr>
          <w:p>
            <w:r>
              <w:rPr>
                <w:rFonts w:ascii="Times New Roman" w:hAnsi="Times New Roman"/>
                <w:sz w:val="22"/>
              </w:rPr>
              <w:t>1</w:t>
            </w:r>
          </w:p>
        </w:tc>
        <w:tc>
          <w:tcPr>
            <w:tcW w:type="dxa" w:w="1170"/>
          </w:tcPr>
          <w:p>
            <w:r>
              <w:rPr>
                <w:rFonts w:ascii="Times New Roman" w:hAnsi="Times New Roman"/>
                <w:sz w:val="22"/>
              </w:rPr>
              <w:t>8,077</w:t>
            </w:r>
          </w:p>
        </w:tc>
        <w:tc>
          <w:tcPr>
            <w:tcW w:type="dxa" w:w="1170"/>
          </w:tcPr>
          <w:p>
            <w:r>
              <w:rPr>
                <w:rFonts w:ascii="Times New Roman" w:hAnsi="Times New Roman"/>
                <w:sz w:val="22"/>
              </w:rPr>
              <w:t>8,077</w:t>
            </w:r>
          </w:p>
        </w:tc>
        <w:tc>
          <w:tcPr>
            <w:tcW w:type="dxa" w:w="1170"/>
          </w:tcPr>
          <w:p>
            <w:r>
              <w:rPr>
                <w:rFonts w:ascii="Times New Roman" w:hAnsi="Times New Roman"/>
                <w:sz w:val="22"/>
              </w:rPr>
              <w:t>0</w:t>
            </w:r>
          </w:p>
        </w:tc>
        <w:tc>
          <w:tcPr>
            <w:tcW w:type="dxa" w:w="1170"/>
          </w:tcPr>
          <w:p>
            <w:r>
              <w:rPr>
                <w:rFonts w:ascii="Times New Roman" w:hAnsi="Times New Roman"/>
                <w:sz w:val="22"/>
              </w:rPr>
              <w:t>0.0%</w:t>
            </w:r>
          </w:p>
        </w:tc>
      </w:tr>
      <w:tr>
        <w:tc>
          <w:tcPr>
            <w:tcW w:type="dxa" w:w="1170"/>
          </w:tcPr>
          <w:p>
            <w:r>
              <w:rPr>
                <w:rFonts w:ascii="Times New Roman" w:hAnsi="Times New Roman"/>
                <w:sz w:val="22"/>
              </w:rPr>
              <w:t>B</w:t>
            </w:r>
          </w:p>
        </w:tc>
        <w:tc>
          <w:tcPr>
            <w:tcW w:type="dxa" w:w="1170"/>
          </w:tcPr>
          <w:p>
            <w:r>
              <w:rPr>
                <w:rFonts w:ascii="Times New Roman" w:hAnsi="Times New Roman"/>
                <w:sz w:val="22"/>
              </w:rPr>
              <w:t>Subfamily (L2)</w:t>
            </w:r>
          </w:p>
        </w:tc>
        <w:tc>
          <w:tcPr>
            <w:tcW w:type="dxa" w:w="1170"/>
          </w:tcPr>
          <w:p>
            <w:r>
              <w:rPr>
                <w:rFonts w:ascii="Times New Roman" w:hAnsi="Times New Roman"/>
                <w:sz w:val="22"/>
              </w:rPr>
              <w:t>&lt;= 0.100</w:t>
            </w:r>
          </w:p>
        </w:tc>
        <w:tc>
          <w:tcPr>
            <w:tcW w:type="dxa" w:w="1170"/>
          </w:tcPr>
          <w:p>
            <w:r>
              <w:rPr>
                <w:rFonts w:ascii="Times New Roman" w:hAnsi="Times New Roman"/>
                <w:sz w:val="22"/>
              </w:rPr>
              <w:t>2</w:t>
            </w:r>
          </w:p>
        </w:tc>
        <w:tc>
          <w:tcPr>
            <w:tcW w:type="dxa" w:w="1170"/>
          </w:tcPr>
          <w:p>
            <w:r>
              <w:rPr>
                <w:rFonts w:ascii="Times New Roman" w:hAnsi="Times New Roman"/>
                <w:sz w:val="22"/>
              </w:rPr>
              <w:t>--</w:t>
            </w:r>
          </w:p>
        </w:tc>
        <w:tc>
          <w:tcPr>
            <w:tcW w:type="dxa" w:w="1170"/>
          </w:tcPr>
          <w:p>
            <w:r>
              <w:rPr>
                <w:rFonts w:ascii="Times New Roman" w:hAnsi="Times New Roman"/>
                <w:sz w:val="22"/>
              </w:rPr>
              <w:t>--</w:t>
            </w:r>
          </w:p>
        </w:tc>
        <w:tc>
          <w:tcPr>
            <w:tcW w:type="dxa" w:w="1170"/>
          </w:tcPr>
          <w:p>
            <w:r>
              <w:rPr>
                <w:rFonts w:ascii="Times New Roman" w:hAnsi="Times New Roman"/>
                <w:sz w:val="22"/>
              </w:rPr>
              <w:t>0</w:t>
            </w:r>
          </w:p>
        </w:tc>
        <w:tc>
          <w:tcPr>
            <w:tcW w:type="dxa" w:w="1170"/>
          </w:tcPr>
          <w:p>
            <w:r>
              <w:rPr>
                <w:rFonts w:ascii="Times New Roman" w:hAnsi="Times New Roman"/>
                <w:sz w:val="22"/>
              </w:rPr>
              <w:t>0.0%</w:t>
            </w:r>
          </w:p>
        </w:tc>
      </w:tr>
      <w:tr>
        <w:tc>
          <w:tcPr>
            <w:tcW w:type="dxa" w:w="1170"/>
          </w:tcPr>
          <w:p>
            <w:r>
              <w:rPr>
                <w:rFonts w:ascii="Times New Roman" w:hAnsi="Times New Roman"/>
                <w:sz w:val="22"/>
              </w:rPr>
              <w:t>C</w:t>
            </w:r>
          </w:p>
        </w:tc>
        <w:tc>
          <w:tcPr>
            <w:tcW w:type="dxa" w:w="1170"/>
          </w:tcPr>
          <w:p>
            <w:r>
              <w:rPr>
                <w:rFonts w:ascii="Times New Roman" w:hAnsi="Times New Roman"/>
                <w:sz w:val="22"/>
              </w:rPr>
              <w:t>Cluster (L3)</w:t>
            </w:r>
          </w:p>
        </w:tc>
        <w:tc>
          <w:tcPr>
            <w:tcW w:type="dxa" w:w="1170"/>
          </w:tcPr>
          <w:p>
            <w:r>
              <w:rPr>
                <w:rFonts w:ascii="Times New Roman" w:hAnsi="Times New Roman"/>
                <w:sz w:val="22"/>
              </w:rPr>
              <w:t>&lt;= 0.050</w:t>
            </w:r>
          </w:p>
        </w:tc>
        <w:tc>
          <w:tcPr>
            <w:tcW w:type="dxa" w:w="1170"/>
          </w:tcPr>
          <w:p>
            <w:r>
              <w:rPr>
                <w:rFonts w:ascii="Times New Roman" w:hAnsi="Times New Roman"/>
                <w:sz w:val="22"/>
              </w:rPr>
              <w:t>9</w:t>
            </w:r>
          </w:p>
        </w:tc>
        <w:tc>
          <w:tcPr>
            <w:tcW w:type="dxa" w:w="1170"/>
          </w:tcPr>
          <w:p>
            <w:r>
              <w:rPr>
                <w:rFonts w:ascii="Times New Roman" w:hAnsi="Times New Roman"/>
                <w:sz w:val="22"/>
              </w:rPr>
              <w:t>1</w:t>
            </w:r>
          </w:p>
        </w:tc>
        <w:tc>
          <w:tcPr>
            <w:tcW w:type="dxa" w:w="1170"/>
          </w:tcPr>
          <w:p>
            <w:r>
              <w:rPr>
                <w:rFonts w:ascii="Times New Roman" w:hAnsi="Times New Roman"/>
                <w:sz w:val="22"/>
              </w:rPr>
              <w:t>--</w:t>
            </w:r>
          </w:p>
        </w:tc>
        <w:tc>
          <w:tcPr>
            <w:tcW w:type="dxa" w:w="1170"/>
          </w:tcPr>
          <w:p>
            <w:r>
              <w:rPr>
                <w:rFonts w:ascii="Times New Roman" w:hAnsi="Times New Roman"/>
                <w:sz w:val="22"/>
              </w:rPr>
              <w:t>--</w:t>
            </w:r>
          </w:p>
        </w:tc>
        <w:tc>
          <w:tcPr>
            <w:tcW w:type="dxa" w:w="1170"/>
          </w:tcPr>
          <w:p>
            <w:r>
              <w:rPr>
                <w:rFonts w:ascii="Times New Roman" w:hAnsi="Times New Roman"/>
                <w:sz w:val="22"/>
              </w:rPr>
              <w:t>--</w:t>
            </w:r>
          </w:p>
        </w:tc>
      </w:tr>
      <w:tr>
        <w:tc>
          <w:tcPr>
            <w:tcW w:type="dxa" w:w="1170"/>
          </w:tcPr>
          <w:p>
            <w:r>
              <w:rPr>
                <w:rFonts w:ascii="Times New Roman" w:hAnsi="Times New Roman"/>
                <w:sz w:val="22"/>
              </w:rPr>
              <w:t>D</w:t>
            </w:r>
          </w:p>
        </w:tc>
        <w:tc>
          <w:tcPr>
            <w:tcW w:type="dxa" w:w="1170"/>
          </w:tcPr>
          <w:p>
            <w:r>
              <w:rPr>
                <w:rFonts w:ascii="Times New Roman" w:hAnsi="Times New Roman"/>
                <w:sz w:val="22"/>
              </w:rPr>
              <w:t>Subcluster (L4)</w:t>
            </w:r>
          </w:p>
        </w:tc>
        <w:tc>
          <w:tcPr>
            <w:tcW w:type="dxa" w:w="1170"/>
          </w:tcPr>
          <w:p>
            <w:r>
              <w:rPr>
                <w:rFonts w:ascii="Times New Roman" w:hAnsi="Times New Roman"/>
                <w:sz w:val="22"/>
              </w:rPr>
              <w:t>&lt;= 0.020</w:t>
            </w:r>
          </w:p>
        </w:tc>
        <w:tc>
          <w:tcPr>
            <w:tcW w:type="dxa" w:w="1170"/>
          </w:tcPr>
          <w:p>
            <w:r>
              <w:rPr>
                <w:rFonts w:ascii="Times New Roman" w:hAnsi="Times New Roman"/>
                <w:sz w:val="22"/>
              </w:rPr>
              <w:t>44</w:t>
            </w:r>
          </w:p>
        </w:tc>
        <w:tc>
          <w:tcPr>
            <w:tcW w:type="dxa" w:w="1170"/>
          </w:tcPr>
          <w:p>
            <w:r>
              <w:rPr>
                <w:rFonts w:ascii="Times New Roman" w:hAnsi="Times New Roman"/>
                <w:sz w:val="22"/>
              </w:rPr>
              <w:t>1</w:t>
            </w:r>
          </w:p>
        </w:tc>
        <w:tc>
          <w:tcPr>
            <w:tcW w:type="dxa" w:w="1170"/>
          </w:tcPr>
          <w:p>
            <w:r>
              <w:rPr>
                <w:rFonts w:ascii="Times New Roman" w:hAnsi="Times New Roman"/>
                <w:sz w:val="22"/>
              </w:rPr>
              <w:t>--</w:t>
            </w:r>
          </w:p>
        </w:tc>
        <w:tc>
          <w:tcPr>
            <w:tcW w:type="dxa" w:w="1170"/>
          </w:tcPr>
          <w:p>
            <w:r>
              <w:rPr>
                <w:rFonts w:ascii="Times New Roman" w:hAnsi="Times New Roman"/>
                <w:sz w:val="22"/>
              </w:rPr>
              <w:t>--</w:t>
            </w:r>
          </w:p>
        </w:tc>
        <w:tc>
          <w:tcPr>
            <w:tcW w:type="dxa" w:w="1170"/>
          </w:tcPr>
          <w:p>
            <w:r>
              <w:rPr>
                <w:rFonts w:ascii="Times New Roman" w:hAnsi="Times New Roman"/>
                <w:sz w:val="22"/>
              </w:rPr>
              <w:t>--</w:t>
            </w:r>
          </w:p>
        </w:tc>
      </w:tr>
      <w:tr>
        <w:tc>
          <w:tcPr>
            <w:tcW w:type="dxa" w:w="1170"/>
          </w:tcPr>
          <w:p>
            <w:r>
              <w:rPr>
                <w:rFonts w:ascii="Times New Roman" w:hAnsi="Times New Roman"/>
                <w:sz w:val="22"/>
              </w:rPr>
              <w:t>E</w:t>
            </w:r>
          </w:p>
        </w:tc>
        <w:tc>
          <w:tcPr>
            <w:tcW w:type="dxa" w:w="1170"/>
          </w:tcPr>
          <w:p>
            <w:r>
              <w:rPr>
                <w:rFonts w:ascii="Times New Roman" w:hAnsi="Times New Roman"/>
                <w:sz w:val="22"/>
              </w:rPr>
              <w:t>Clone complex (L5)</w:t>
            </w:r>
          </w:p>
        </w:tc>
        <w:tc>
          <w:tcPr>
            <w:tcW w:type="dxa" w:w="1170"/>
          </w:tcPr>
          <w:p>
            <w:r>
              <w:rPr>
                <w:rFonts w:ascii="Times New Roman" w:hAnsi="Times New Roman"/>
                <w:sz w:val="22"/>
              </w:rPr>
              <w:t>&lt;= 0.010</w:t>
            </w:r>
          </w:p>
        </w:tc>
        <w:tc>
          <w:tcPr>
            <w:tcW w:type="dxa" w:w="1170"/>
          </w:tcPr>
          <w:p>
            <w:r>
              <w:rPr>
                <w:rFonts w:ascii="Times New Roman" w:hAnsi="Times New Roman"/>
                <w:sz w:val="22"/>
              </w:rPr>
              <w:t>131</w:t>
            </w:r>
          </w:p>
        </w:tc>
        <w:tc>
          <w:tcPr>
            <w:tcW w:type="dxa" w:w="1170"/>
          </w:tcPr>
          <w:p>
            <w:r>
              <w:rPr>
                <w:rFonts w:ascii="Times New Roman" w:hAnsi="Times New Roman"/>
                <w:sz w:val="22"/>
              </w:rPr>
              <w:t>1</w:t>
            </w:r>
          </w:p>
        </w:tc>
        <w:tc>
          <w:tcPr>
            <w:tcW w:type="dxa" w:w="1170"/>
          </w:tcPr>
          <w:p>
            <w:r>
              <w:rPr>
                <w:rFonts w:ascii="Times New Roman" w:hAnsi="Times New Roman"/>
                <w:sz w:val="22"/>
              </w:rPr>
              <w:t>--</w:t>
            </w:r>
          </w:p>
        </w:tc>
        <w:tc>
          <w:tcPr>
            <w:tcW w:type="dxa" w:w="1170"/>
          </w:tcPr>
          <w:p>
            <w:r>
              <w:rPr>
                <w:rFonts w:ascii="Times New Roman" w:hAnsi="Times New Roman"/>
                <w:sz w:val="22"/>
              </w:rPr>
              <w:t>--</w:t>
            </w:r>
          </w:p>
        </w:tc>
        <w:tc>
          <w:tcPr>
            <w:tcW w:type="dxa" w:w="1170"/>
          </w:tcPr>
          <w:p>
            <w:r>
              <w:rPr>
                <w:rFonts w:ascii="Times New Roman" w:hAnsi="Times New Roman"/>
                <w:sz w:val="22"/>
              </w:rPr>
              <w:t>--</w:t>
            </w:r>
          </w:p>
        </w:tc>
      </w:tr>
      <w:tr>
        <w:tc>
          <w:tcPr>
            <w:tcW w:type="dxa" w:w="1170"/>
          </w:tcPr>
          <w:p>
            <w:r>
              <w:rPr>
                <w:rFonts w:ascii="Times New Roman" w:hAnsi="Times New Roman"/>
                <w:sz w:val="22"/>
              </w:rPr>
              <w:t>F</w:t>
            </w:r>
          </w:p>
        </w:tc>
        <w:tc>
          <w:tcPr>
            <w:tcW w:type="dxa" w:w="1170"/>
          </w:tcPr>
          <w:p>
            <w:r>
              <w:rPr>
                <w:rFonts w:ascii="Times New Roman" w:hAnsi="Times New Roman"/>
                <w:sz w:val="22"/>
              </w:rPr>
              <w:t>Strain (L6)</w:t>
            </w:r>
          </w:p>
        </w:tc>
        <w:tc>
          <w:tcPr>
            <w:tcW w:type="dxa" w:w="1170"/>
          </w:tcPr>
          <w:p>
            <w:r>
              <w:rPr>
                <w:rFonts w:ascii="Times New Roman" w:hAnsi="Times New Roman"/>
                <w:sz w:val="22"/>
              </w:rPr>
              <w:t>&lt;= 0.001</w:t>
            </w:r>
          </w:p>
        </w:tc>
        <w:tc>
          <w:tcPr>
            <w:tcW w:type="dxa" w:w="1170"/>
          </w:tcPr>
          <w:p>
            <w:r>
              <w:rPr>
                <w:rFonts w:ascii="Times New Roman" w:hAnsi="Times New Roman"/>
                <w:sz w:val="22"/>
              </w:rPr>
              <w:t>3,073</w:t>
            </w:r>
          </w:p>
        </w:tc>
        <w:tc>
          <w:tcPr>
            <w:tcW w:type="dxa" w:w="1170"/>
          </w:tcPr>
          <w:p>
            <w:r>
              <w:rPr>
                <w:rFonts w:ascii="Times New Roman" w:hAnsi="Times New Roman"/>
                <w:sz w:val="22"/>
              </w:rPr>
              <w:t>1</w:t>
            </w:r>
          </w:p>
        </w:tc>
        <w:tc>
          <w:tcPr>
            <w:tcW w:type="dxa" w:w="1170"/>
          </w:tcPr>
          <w:p>
            <w:r>
              <w:rPr>
                <w:rFonts w:ascii="Times New Roman" w:hAnsi="Times New Roman"/>
                <w:sz w:val="22"/>
              </w:rPr>
              <w:t>869</w:t>
            </w:r>
          </w:p>
        </w:tc>
        <w:tc>
          <w:tcPr>
            <w:tcW w:type="dxa" w:w="1170"/>
          </w:tcPr>
          <w:p>
            <w:r>
              <w:rPr>
                <w:rFonts w:ascii="Times New Roman" w:hAnsi="Times New Roman"/>
                <w:sz w:val="22"/>
              </w:rPr>
              <w:t>2,335</w:t>
            </w:r>
          </w:p>
        </w:tc>
        <w:tc>
          <w:tcPr>
            <w:tcW w:type="dxa" w:w="1170"/>
          </w:tcPr>
          <w:p>
            <w:r>
              <w:rPr>
                <w:rFonts w:ascii="Times New Roman" w:hAnsi="Times New Roman"/>
                <w:sz w:val="22"/>
              </w:rPr>
              <w:t>76.0%</w:t>
            </w:r>
          </w:p>
        </w:tc>
      </w:tr>
    </w:tbl>
    <w:p/>
    <w:p>
      <w:pPr>
        <w:pStyle w:val="Heading2"/>
      </w:pPr>
      <w:r>
        <w:rPr>
          <w:rFonts w:ascii="Times New Roman" w:hAnsi="Times New Roman"/>
          <w:sz w:val="32"/>
        </w:rPr>
        <w:t>C. Comparison: training-only vs. full reference database (n = 79,305)</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F5496"/>
          </w:tcPr>
          <w:p>
            <w:pPr>
              <w:jc w:val="center"/>
            </w:pPr>
            <w:r>
              <w:rPr>
                <w:rFonts w:ascii="Times New Roman" w:hAnsi="Times New Roman"/>
                <w:b/>
                <w:color w:val="FFFFFF"/>
                <w:sz w:val="22"/>
              </w:rPr>
              <w:t>Bin</w:t>
            </w:r>
          </w:p>
        </w:tc>
        <w:tc>
          <w:tcPr>
            <w:tcW w:type="dxa" w:w="1872"/>
            <w:shd w:val="clear" w:color="auto" w:fill="2F5496"/>
          </w:tcPr>
          <w:p>
            <w:pPr>
              <w:jc w:val="center"/>
            </w:pPr>
            <w:r>
              <w:rPr>
                <w:rFonts w:ascii="Times New Roman" w:hAnsi="Times New Roman"/>
                <w:b/>
                <w:color w:val="FFFFFF"/>
                <w:sz w:val="22"/>
              </w:rPr>
              <w:t>Level</w:t>
            </w:r>
          </w:p>
        </w:tc>
        <w:tc>
          <w:tcPr>
            <w:tcW w:type="dxa" w:w="1872"/>
            <w:shd w:val="clear" w:color="auto" w:fill="2F5496"/>
          </w:tcPr>
          <w:p>
            <w:pPr>
              <w:jc w:val="center"/>
            </w:pPr>
            <w:r>
              <w:rPr>
                <w:rFonts w:ascii="Times New Roman" w:hAnsi="Times New Roman"/>
                <w:b/>
                <w:color w:val="FFFFFF"/>
                <w:sz w:val="22"/>
              </w:rPr>
              <w:t>Training only (n = 8,077)</w:t>
            </w:r>
          </w:p>
        </w:tc>
        <w:tc>
          <w:tcPr>
            <w:tcW w:type="dxa" w:w="1872"/>
            <w:shd w:val="clear" w:color="auto" w:fill="2F5496"/>
          </w:tcPr>
          <w:p>
            <w:pPr>
              <w:jc w:val="center"/>
            </w:pPr>
            <w:r>
              <w:rPr>
                <w:rFonts w:ascii="Times New Roman" w:hAnsi="Times New Roman"/>
                <w:b/>
                <w:color w:val="FFFFFF"/>
                <w:sz w:val="22"/>
              </w:rPr>
              <w:t>Full database (n = 77,196^a^)</w:t>
            </w:r>
          </w:p>
        </w:tc>
        <w:tc>
          <w:tcPr>
            <w:tcW w:type="dxa" w:w="1872"/>
            <w:shd w:val="clear" w:color="auto" w:fill="2F5496"/>
          </w:tcPr>
          <w:p>
            <w:pPr>
              <w:jc w:val="center"/>
            </w:pPr>
            <w:r>
              <w:rPr>
                <w:rFonts w:ascii="Times New Roman" w:hAnsi="Times New Roman"/>
                <w:b/>
                <w:color w:val="FFFFFF"/>
                <w:sz w:val="22"/>
              </w:rPr>
              <w:t>Fold increase</w:t>
            </w:r>
          </w:p>
        </w:tc>
      </w:tr>
      <w:tr>
        <w:tc>
          <w:tcPr>
            <w:tcW w:type="dxa" w:w="1872"/>
          </w:tcPr>
          <w:p>
            <w:r>
              <w:rPr>
                <w:rFonts w:ascii="Times New Roman" w:hAnsi="Times New Roman"/>
                <w:sz w:val="22"/>
              </w:rPr>
              <w:t>A</w:t>
            </w:r>
          </w:p>
        </w:tc>
        <w:tc>
          <w:tcPr>
            <w:tcW w:type="dxa" w:w="1872"/>
          </w:tcPr>
          <w:p>
            <w:r>
              <w:rPr>
                <w:rFonts w:ascii="Times New Roman" w:hAnsi="Times New Roman"/>
                <w:sz w:val="22"/>
              </w:rPr>
              <w:t>Family (L1)</w:t>
            </w:r>
          </w:p>
        </w:tc>
        <w:tc>
          <w:tcPr>
            <w:tcW w:type="dxa" w:w="1872"/>
          </w:tcPr>
          <w:p>
            <w:r>
              <w:rPr>
                <w:rFonts w:ascii="Times New Roman" w:hAnsi="Times New Roman"/>
                <w:sz w:val="22"/>
              </w:rPr>
              <w:t>1</w:t>
            </w:r>
          </w:p>
        </w:tc>
        <w:tc>
          <w:tcPr>
            <w:tcW w:type="dxa" w:w="1872"/>
          </w:tcPr>
          <w:p>
            <w:r>
              <w:rPr>
                <w:rFonts w:ascii="Times New Roman" w:hAnsi="Times New Roman"/>
                <w:sz w:val="22"/>
              </w:rPr>
              <w:t>33</w:t>
            </w:r>
          </w:p>
        </w:tc>
        <w:tc>
          <w:tcPr>
            <w:tcW w:type="dxa" w:w="1872"/>
          </w:tcPr>
          <w:p>
            <w:r>
              <w:rPr>
                <w:rFonts w:ascii="Times New Roman" w:hAnsi="Times New Roman"/>
                <w:sz w:val="22"/>
              </w:rPr>
              <w:t>33x</w:t>
            </w:r>
          </w:p>
        </w:tc>
      </w:tr>
      <w:tr>
        <w:tc>
          <w:tcPr>
            <w:tcW w:type="dxa" w:w="1872"/>
          </w:tcPr>
          <w:p>
            <w:r>
              <w:rPr>
                <w:rFonts w:ascii="Times New Roman" w:hAnsi="Times New Roman"/>
                <w:sz w:val="22"/>
              </w:rPr>
              <w:t>B</w:t>
            </w:r>
          </w:p>
        </w:tc>
        <w:tc>
          <w:tcPr>
            <w:tcW w:type="dxa" w:w="1872"/>
          </w:tcPr>
          <w:p>
            <w:r>
              <w:rPr>
                <w:rFonts w:ascii="Times New Roman" w:hAnsi="Times New Roman"/>
                <w:sz w:val="22"/>
              </w:rPr>
              <w:t>Subfamily (L2)</w:t>
            </w:r>
          </w:p>
        </w:tc>
        <w:tc>
          <w:tcPr>
            <w:tcW w:type="dxa" w:w="1872"/>
          </w:tcPr>
          <w:p>
            <w:r>
              <w:rPr>
                <w:rFonts w:ascii="Times New Roman" w:hAnsi="Times New Roman"/>
                <w:sz w:val="22"/>
              </w:rPr>
              <w:t>2</w:t>
            </w:r>
          </w:p>
        </w:tc>
        <w:tc>
          <w:tcPr>
            <w:tcW w:type="dxa" w:w="1872"/>
          </w:tcPr>
          <w:p>
            <w:r>
              <w:rPr>
                <w:rFonts w:ascii="Times New Roman" w:hAnsi="Times New Roman"/>
                <w:sz w:val="22"/>
              </w:rPr>
              <w:t>86</w:t>
            </w:r>
          </w:p>
        </w:tc>
        <w:tc>
          <w:tcPr>
            <w:tcW w:type="dxa" w:w="1872"/>
          </w:tcPr>
          <w:p>
            <w:r>
              <w:rPr>
                <w:rFonts w:ascii="Times New Roman" w:hAnsi="Times New Roman"/>
                <w:sz w:val="22"/>
              </w:rPr>
              <w:t>43x</w:t>
            </w:r>
          </w:p>
        </w:tc>
      </w:tr>
      <w:tr>
        <w:tc>
          <w:tcPr>
            <w:tcW w:type="dxa" w:w="1872"/>
          </w:tcPr>
          <w:p>
            <w:r>
              <w:rPr>
                <w:rFonts w:ascii="Times New Roman" w:hAnsi="Times New Roman"/>
                <w:sz w:val="22"/>
              </w:rPr>
              <w:t>C</w:t>
            </w:r>
          </w:p>
        </w:tc>
        <w:tc>
          <w:tcPr>
            <w:tcW w:type="dxa" w:w="1872"/>
          </w:tcPr>
          <w:p>
            <w:r>
              <w:rPr>
                <w:rFonts w:ascii="Times New Roman" w:hAnsi="Times New Roman"/>
                <w:sz w:val="22"/>
              </w:rPr>
              <w:t>Cluster (L3)</w:t>
            </w:r>
          </w:p>
        </w:tc>
        <w:tc>
          <w:tcPr>
            <w:tcW w:type="dxa" w:w="1872"/>
          </w:tcPr>
          <w:p>
            <w:r>
              <w:rPr>
                <w:rFonts w:ascii="Times New Roman" w:hAnsi="Times New Roman"/>
                <w:sz w:val="22"/>
              </w:rPr>
              <w:t>9</w:t>
            </w:r>
          </w:p>
        </w:tc>
        <w:tc>
          <w:tcPr>
            <w:tcW w:type="dxa" w:w="1872"/>
          </w:tcPr>
          <w:p>
            <w:r>
              <w:rPr>
                <w:rFonts w:ascii="Times New Roman" w:hAnsi="Times New Roman"/>
                <w:sz w:val="22"/>
              </w:rPr>
              <w:t>447</w:t>
            </w:r>
          </w:p>
        </w:tc>
        <w:tc>
          <w:tcPr>
            <w:tcW w:type="dxa" w:w="1872"/>
          </w:tcPr>
          <w:p>
            <w:r>
              <w:rPr>
                <w:rFonts w:ascii="Times New Roman" w:hAnsi="Times New Roman"/>
                <w:sz w:val="22"/>
              </w:rPr>
              <w:t>50x</w:t>
            </w:r>
          </w:p>
        </w:tc>
      </w:tr>
      <w:tr>
        <w:tc>
          <w:tcPr>
            <w:tcW w:type="dxa" w:w="1872"/>
          </w:tcPr>
          <w:p>
            <w:r>
              <w:rPr>
                <w:rFonts w:ascii="Times New Roman" w:hAnsi="Times New Roman"/>
                <w:sz w:val="22"/>
              </w:rPr>
              <w:t>D</w:t>
            </w:r>
          </w:p>
        </w:tc>
        <w:tc>
          <w:tcPr>
            <w:tcW w:type="dxa" w:w="1872"/>
          </w:tcPr>
          <w:p>
            <w:r>
              <w:rPr>
                <w:rFonts w:ascii="Times New Roman" w:hAnsi="Times New Roman"/>
                <w:sz w:val="22"/>
              </w:rPr>
              <w:t>Subcluster (L4)</w:t>
            </w:r>
          </w:p>
        </w:tc>
        <w:tc>
          <w:tcPr>
            <w:tcW w:type="dxa" w:w="1872"/>
          </w:tcPr>
          <w:p>
            <w:r>
              <w:rPr>
                <w:rFonts w:ascii="Times New Roman" w:hAnsi="Times New Roman"/>
                <w:sz w:val="22"/>
              </w:rPr>
              <w:t>44</w:t>
            </w:r>
          </w:p>
        </w:tc>
        <w:tc>
          <w:tcPr>
            <w:tcW w:type="dxa" w:w="1872"/>
          </w:tcPr>
          <w:p>
            <w:r>
              <w:rPr>
                <w:rFonts w:ascii="Times New Roman" w:hAnsi="Times New Roman"/>
                <w:sz w:val="22"/>
              </w:rPr>
              <w:t>2,772</w:t>
            </w:r>
          </w:p>
        </w:tc>
        <w:tc>
          <w:tcPr>
            <w:tcW w:type="dxa" w:w="1872"/>
          </w:tcPr>
          <w:p>
            <w:r>
              <w:rPr>
                <w:rFonts w:ascii="Times New Roman" w:hAnsi="Times New Roman"/>
                <w:sz w:val="22"/>
              </w:rPr>
              <w:t>63x</w:t>
            </w:r>
          </w:p>
        </w:tc>
      </w:tr>
      <w:tr>
        <w:tc>
          <w:tcPr>
            <w:tcW w:type="dxa" w:w="1872"/>
          </w:tcPr>
          <w:p>
            <w:r>
              <w:rPr>
                <w:rFonts w:ascii="Times New Roman" w:hAnsi="Times New Roman"/>
                <w:sz w:val="22"/>
              </w:rPr>
              <w:t>E</w:t>
            </w:r>
          </w:p>
        </w:tc>
        <w:tc>
          <w:tcPr>
            <w:tcW w:type="dxa" w:w="1872"/>
          </w:tcPr>
          <w:p>
            <w:r>
              <w:rPr>
                <w:rFonts w:ascii="Times New Roman" w:hAnsi="Times New Roman"/>
                <w:sz w:val="22"/>
              </w:rPr>
              <w:t>Clone complex (L5)</w:t>
            </w:r>
          </w:p>
        </w:tc>
        <w:tc>
          <w:tcPr>
            <w:tcW w:type="dxa" w:w="1872"/>
          </w:tcPr>
          <w:p>
            <w:r>
              <w:rPr>
                <w:rFonts w:ascii="Times New Roman" w:hAnsi="Times New Roman"/>
                <w:sz w:val="22"/>
              </w:rPr>
              <w:t>131</w:t>
            </w:r>
          </w:p>
        </w:tc>
        <w:tc>
          <w:tcPr>
            <w:tcW w:type="dxa" w:w="1872"/>
          </w:tcPr>
          <w:p>
            <w:r>
              <w:rPr>
                <w:rFonts w:ascii="Times New Roman" w:hAnsi="Times New Roman"/>
                <w:sz w:val="22"/>
              </w:rPr>
              <w:t>5,540</w:t>
            </w:r>
          </w:p>
        </w:tc>
        <w:tc>
          <w:tcPr>
            <w:tcW w:type="dxa" w:w="1872"/>
          </w:tcPr>
          <w:p>
            <w:r>
              <w:rPr>
                <w:rFonts w:ascii="Times New Roman" w:hAnsi="Times New Roman"/>
                <w:sz w:val="22"/>
              </w:rPr>
              <w:t>42x</w:t>
            </w:r>
          </w:p>
        </w:tc>
      </w:tr>
      <w:tr>
        <w:tc>
          <w:tcPr>
            <w:tcW w:type="dxa" w:w="1872"/>
          </w:tcPr>
          <w:p>
            <w:r>
              <w:rPr>
                <w:rFonts w:ascii="Times New Roman" w:hAnsi="Times New Roman"/>
                <w:sz w:val="22"/>
              </w:rPr>
              <w:t>F</w:t>
            </w:r>
          </w:p>
        </w:tc>
        <w:tc>
          <w:tcPr>
            <w:tcW w:type="dxa" w:w="1872"/>
          </w:tcPr>
          <w:p>
            <w:r>
              <w:rPr>
                <w:rFonts w:ascii="Times New Roman" w:hAnsi="Times New Roman"/>
                <w:sz w:val="22"/>
              </w:rPr>
              <w:t>Strain (L6)</w:t>
            </w:r>
          </w:p>
        </w:tc>
        <w:tc>
          <w:tcPr>
            <w:tcW w:type="dxa" w:w="1872"/>
          </w:tcPr>
          <w:p>
            <w:r>
              <w:rPr>
                <w:rFonts w:ascii="Times New Roman" w:hAnsi="Times New Roman"/>
                <w:sz w:val="22"/>
              </w:rPr>
              <w:t>3,073</w:t>
            </w:r>
          </w:p>
        </w:tc>
        <w:tc>
          <w:tcPr>
            <w:tcW w:type="dxa" w:w="1872"/>
          </w:tcPr>
          <w:p>
            <w:r>
              <w:rPr>
                <w:rFonts w:ascii="Times New Roman" w:hAnsi="Times New Roman"/>
                <w:sz w:val="22"/>
              </w:rPr>
              <w:t>57,886</w:t>
            </w:r>
          </w:p>
        </w:tc>
        <w:tc>
          <w:tcPr>
            <w:tcW w:type="dxa" w:w="1872"/>
          </w:tcPr>
          <w:p>
            <w:r>
              <w:rPr>
                <w:rFonts w:ascii="Times New Roman" w:hAnsi="Times New Roman"/>
                <w:sz w:val="22"/>
              </w:rPr>
              <w:t>18.8x</w:t>
            </w:r>
          </w:p>
        </w:tc>
      </w:tr>
    </w:tbl>
    <w:p/>
    <w:p>
      <w:pPr>
        <w:spacing w:after="120" w:before="0" w:line="480" w:lineRule="auto"/>
      </w:pPr>
      <w:r>
        <w:rPr>
          <w:rFonts w:ascii="Times New Roman" w:hAnsi="Times New Roman"/>
          <w:b w:val="0"/>
          <w:i w:val="0"/>
          <w:sz w:val="24"/>
        </w:rPr>
        <w:t>^a^ 77,196 classified sequences (79,305 total minus 2,109 flagged as Unknown/Novel at &lt;40% confidence).</w:t>
      </w:r>
    </w:p>
    <w:p>
      <w:pPr>
        <w:pStyle w:val="Heading2"/>
      </w:pPr>
      <w:r>
        <w:rPr>
          <w:rFonts w:ascii="Times New Roman" w:hAnsi="Times New Roman"/>
          <w:sz w:val="32"/>
        </w:rPr>
        <w:t>D. FastANI validation of cosine-to-ANI mapping (n = 4,970 pairs)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2F5496"/>
          </w:tcPr>
          <w:p>
            <w:pPr>
              <w:jc w:val="center"/>
            </w:pPr>
            <w:r>
              <w:rPr>
                <w:rFonts w:ascii="Times New Roman" w:hAnsi="Times New Roman"/>
                <w:b/>
                <w:color w:val="FFFFFF"/>
                <w:sz w:val="22"/>
              </w:rPr>
              <w:t>Metric</w:t>
            </w:r>
          </w:p>
        </w:tc>
        <w:tc>
          <w:tcPr>
            <w:tcW w:type="dxa" w:w="4680"/>
            <w:shd w:val="clear" w:color="auto" w:fill="2F5496"/>
          </w:tcPr>
          <w:p>
            <w:pPr>
              <w:jc w:val="center"/>
            </w:pPr>
            <w:r>
              <w:rPr>
                <w:rFonts w:ascii="Times New Roman" w:hAnsi="Times New Roman"/>
                <w:b/>
                <w:color w:val="FFFFFF"/>
                <w:sz w:val="22"/>
              </w:rPr>
              <w:t>Value</w:t>
            </w:r>
          </w:p>
        </w:tc>
      </w:tr>
      <w:tr>
        <w:tc>
          <w:tcPr>
            <w:tcW w:type="dxa" w:w="4680"/>
          </w:tcPr>
          <w:p>
            <w:r>
              <w:rPr>
                <w:rFonts w:ascii="Times New Roman" w:hAnsi="Times New Roman"/>
                <w:sz w:val="22"/>
              </w:rPr>
              <w:t>Total pairwise comparisons</w:t>
            </w:r>
          </w:p>
        </w:tc>
        <w:tc>
          <w:tcPr>
            <w:tcW w:type="dxa" w:w="4680"/>
          </w:tcPr>
          <w:p>
            <w:r>
              <w:rPr>
                <w:rFonts w:ascii="Times New Roman" w:hAnsi="Times New Roman"/>
                <w:sz w:val="22"/>
              </w:rPr>
              <w:t>4,970</w:t>
            </w:r>
          </w:p>
        </w:tc>
      </w:tr>
      <w:tr>
        <w:tc>
          <w:tcPr>
            <w:tcW w:type="dxa" w:w="4680"/>
          </w:tcPr>
          <w:p>
            <w:r>
              <w:rPr>
                <w:rFonts w:ascii="Times New Roman" w:hAnsi="Times New Roman"/>
                <w:sz w:val="22"/>
              </w:rPr>
              <w:t>Overall Spearman rho</w:t>
            </w:r>
          </w:p>
        </w:tc>
        <w:tc>
          <w:tcPr>
            <w:tcW w:type="dxa" w:w="4680"/>
          </w:tcPr>
          <w:p>
            <w:r>
              <w:rPr>
                <w:rFonts w:ascii="Times New Roman" w:hAnsi="Times New Roman"/>
                <w:sz w:val="22"/>
              </w:rPr>
              <w:t>-0.348</w:t>
            </w:r>
          </w:p>
        </w:tc>
      </w:tr>
      <w:tr>
        <w:tc>
          <w:tcPr>
            <w:tcW w:type="dxa" w:w="4680"/>
          </w:tcPr>
          <w:p>
            <w:r>
              <w:rPr>
                <w:rFonts w:ascii="Times New Roman" w:hAnsi="Times New Roman"/>
                <w:sz w:val="22"/>
              </w:rPr>
              <w:t>P-value</w:t>
            </w:r>
          </w:p>
        </w:tc>
        <w:tc>
          <w:tcPr>
            <w:tcW w:type="dxa" w:w="4680"/>
          </w:tcPr>
          <w:p>
            <w:r>
              <w:rPr>
                <w:rFonts w:ascii="Times New Roman" w:hAnsi="Times New Roman"/>
                <w:sz w:val="22"/>
              </w:rPr>
              <w:t>&lt; 10^-141</w:t>
            </w:r>
          </w:p>
        </w:tc>
      </w:tr>
      <w:tr>
        <w:tc>
          <w:tcPr>
            <w:tcW w:type="dxa" w:w="4680"/>
          </w:tcPr>
          <w:p>
            <w:r>
              <w:rPr>
                <w:rFonts w:ascii="Times New Roman" w:hAnsi="Times New Roman"/>
                <w:sz w:val="22"/>
              </w:rPr>
              <w:t>Inc groups with significant correlation (P &lt; 0.05)</w:t>
            </w:r>
          </w:p>
        </w:tc>
        <w:tc>
          <w:tcPr>
            <w:tcW w:type="dxa" w:w="4680"/>
          </w:tcPr>
          <w:p>
            <w:r>
              <w:rPr>
                <w:rFonts w:ascii="Times New Roman" w:hAnsi="Times New Roman"/>
                <w:sz w:val="22"/>
              </w:rPr>
              <w:t>15 / 20</w:t>
            </w:r>
          </w:p>
        </w:tc>
      </w:tr>
      <w:tr>
        <w:tc>
          <w:tcPr>
            <w:tcW w:type="dxa" w:w="4680"/>
          </w:tcPr>
          <w:p>
            <w:r>
              <w:rPr>
                <w:rFonts w:ascii="Times New Roman" w:hAnsi="Times New Roman"/>
                <w:sz w:val="22"/>
              </w:rPr>
              <w:t>Inc groups with strong correlation (rho &lt; -0.2)</w:t>
            </w:r>
          </w:p>
        </w:tc>
        <w:tc>
          <w:tcPr>
            <w:tcW w:type="dxa" w:w="4680"/>
          </w:tcPr>
          <w:p>
            <w:r>
              <w:rPr>
                <w:rFonts w:ascii="Times New Roman" w:hAnsi="Times New Roman"/>
                <w:sz w:val="22"/>
              </w:rPr>
              <w:t>13 / 20</w:t>
            </w:r>
          </w:p>
        </w:tc>
      </w:tr>
      <w:tr>
        <w:tc>
          <w:tcPr>
            <w:tcW w:type="dxa" w:w="4680"/>
          </w:tcPr>
          <w:p>
            <w:r>
              <w:rPr>
                <w:rFonts w:ascii="Times New Roman" w:hAnsi="Times New Roman"/>
                <w:sz w:val="22"/>
              </w:rPr>
              <w:t>Median ANI at d &lt;= 0.001</w:t>
            </w:r>
          </w:p>
        </w:tc>
        <w:tc>
          <w:tcPr>
            <w:tcW w:type="dxa" w:w="4680"/>
          </w:tcPr>
          <w:p>
            <w:r>
              <w:rPr>
                <w:rFonts w:ascii="Times New Roman" w:hAnsi="Times New Roman"/>
                <w:sz w:val="22"/>
              </w:rPr>
              <w:t>99.9%</w:t>
            </w:r>
          </w:p>
        </w:tc>
      </w:tr>
      <w:tr>
        <w:tc>
          <w:tcPr>
            <w:tcW w:type="dxa" w:w="4680"/>
          </w:tcPr>
          <w:p>
            <w:r>
              <w:rPr>
                <w:rFonts w:ascii="Times New Roman" w:hAnsi="Times New Roman"/>
                <w:sz w:val="22"/>
              </w:rPr>
              <w:t>Strongest per-group rho</w:t>
            </w:r>
          </w:p>
        </w:tc>
        <w:tc>
          <w:tcPr>
            <w:tcW w:type="dxa" w:w="4680"/>
          </w:tcPr>
          <w:p>
            <w:r>
              <w:rPr>
                <w:rFonts w:ascii="Times New Roman" w:hAnsi="Times New Roman"/>
                <w:sz w:val="22"/>
              </w:rPr>
              <w:t>IncFIC (-0.88), IncI2 (-0.81), ColE (-0.72), IncN (-0.61)</w:t>
            </w:r>
          </w:p>
        </w:tc>
      </w:tr>
    </w:tbl>
    <w:p/>
    <w:p>
      <w:pPr>
        <w:spacing w:after="120" w:before="0" w:line="480" w:lineRule="auto"/>
      </w:pPr>
      <w:r>
        <w:rPr>
          <w:rFonts w:ascii="Times New Roman" w:hAnsi="Times New Roman"/>
          <w:b/>
          <w:i w:val="0"/>
          <w:sz w:val="24"/>
        </w:rPr>
        <w:t>Notes:</w:t>
      </w:r>
    </w:p>
    <w:p>
      <w:pPr>
        <w:spacing w:after="120" w:before="0" w:line="480" w:lineRule="auto"/>
      </w:pPr>
      <w:r>
        <w:rPr>
          <w:rFonts w:ascii="Times New Roman" w:hAnsi="Times New Roman"/>
          <w:b w:val="0"/>
          <w:i w:val="0"/>
          <w:sz w:val="24"/>
        </w:rPr>
        <w:t>- Thresholds were initially calibrated against the nearest-neighbour distance distribution of 178 IncX-like reference plasmids (seed plasmid: RefSeq_NZ_AP027441.1, distance cutoff d &lt;= 0.12). Nearest-neighbour quantiles: 50th percentile d = 0.011, 90th percentile d = 0.038, 99th percentile d = 0.072. - FastANI validation used --fragLen 1000 on up to 20 plasmids per Inc group (all pairwise comparisons within each group). - Five groups (IncX3, IncX4, IncFIBK, IncFII, IncX1) showed non-significant cosine-ANI correlations due to range restriction (all within-group ANI values &gt; 93%), producing a floor effect.</w:t>
      </w:r>
    </w:p>
    <w:p>
      <w:pPr>
        <w:spacing w:after="120" w:before="0" w:line="480" w:lineRule="auto"/>
      </w:pPr>
      <w:r>
        <w:rPr>
          <w:rFonts w:ascii="Times New Roman" w:hAnsi="Times New Roman"/>
          <w:b/>
          <w:i w:val="0"/>
          <w:sz w:val="24"/>
        </w:rPr>
        <w:t>Abbreviations:</w:t>
      </w:r>
      <w:r>
        <w:rPr>
          <w:rFonts w:ascii="Times New Roman" w:hAnsi="Times New Roman"/>
          <w:b w:val="0"/>
          <w:i w:val="0"/>
          <w:sz w:val="24"/>
        </w:rPr>
        <w:t xml:space="preserve"> ANI, average nucleotide identity; d, cosine distance.</w:t>
      </w:r>
    </w:p>
    <w:p/>
    <w:p>
      <w:pPr>
        <w:pStyle w:val="Heading1"/>
      </w:pPr>
      <w:r>
        <w:rPr>
          <w:rFonts w:ascii="Times New Roman" w:hAnsi="Times New Roman"/>
          <w:sz w:val="36"/>
        </w:rPr>
        <w:t>Table 3. Comprehensive benchmarking results for the pLIN framework.</w:t>
      </w:r>
    </w:p>
    <w:p>
      <w:pPr>
        <w:pStyle w:val="Heading2"/>
      </w:pPr>
      <w:r>
        <w:rPr>
          <w:rFonts w:ascii="Times New Roman" w:hAnsi="Times New Roman"/>
          <w:sz w:val="32"/>
        </w:rPr>
        <w:t>A. Discriminatory power (Simpson's Index of Diversity)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2F5496"/>
          </w:tcPr>
          <w:p>
            <w:pPr>
              <w:jc w:val="center"/>
            </w:pPr>
            <w:r>
              <w:rPr>
                <w:rFonts w:ascii="Times New Roman" w:hAnsi="Times New Roman"/>
                <w:b/>
                <w:color w:val="FFFFFF"/>
                <w:sz w:val="22"/>
              </w:rPr>
              <w:t>Classification system</w:t>
            </w:r>
          </w:p>
        </w:tc>
        <w:tc>
          <w:tcPr>
            <w:tcW w:type="dxa" w:w="2340"/>
            <w:shd w:val="clear" w:color="auto" w:fill="2F5496"/>
          </w:tcPr>
          <w:p>
            <w:pPr>
              <w:jc w:val="center"/>
            </w:pPr>
            <w:r>
              <w:rPr>
                <w:rFonts w:ascii="Times New Roman" w:hAnsi="Times New Roman"/>
                <w:b/>
                <w:color w:val="FFFFFF"/>
                <w:sz w:val="22"/>
              </w:rPr>
              <w:t>D value</w:t>
            </w:r>
          </w:p>
        </w:tc>
        <w:tc>
          <w:tcPr>
            <w:tcW w:type="dxa" w:w="2340"/>
            <w:shd w:val="clear" w:color="auto" w:fill="2F5496"/>
          </w:tcPr>
          <w:p>
            <w:pPr>
              <w:jc w:val="center"/>
            </w:pPr>
            <w:r>
              <w:rPr>
                <w:rFonts w:ascii="Times New Roman" w:hAnsi="Times New Roman"/>
                <w:b/>
                <w:color w:val="FFFFFF"/>
                <w:sz w:val="22"/>
              </w:rPr>
              <w:t>Unique codes (n)</w:t>
            </w:r>
          </w:p>
        </w:tc>
        <w:tc>
          <w:tcPr>
            <w:tcW w:type="dxa" w:w="2340"/>
            <w:shd w:val="clear" w:color="auto" w:fill="2F5496"/>
          </w:tcPr>
          <w:p>
            <w:pPr>
              <w:jc w:val="center"/>
            </w:pPr>
            <w:r>
              <w:rPr>
                <w:rFonts w:ascii="Times New Roman" w:hAnsi="Times New Roman"/>
                <w:b/>
                <w:color w:val="FFFFFF"/>
                <w:sz w:val="22"/>
              </w:rPr>
              <w:t>Dataset</w:t>
            </w:r>
          </w:p>
        </w:tc>
      </w:tr>
      <w:tr>
        <w:tc>
          <w:tcPr>
            <w:tcW w:type="dxa" w:w="2340"/>
          </w:tcPr>
          <w:p>
            <w:r>
              <w:rPr>
                <w:rFonts w:ascii="Times New Roman" w:hAnsi="Times New Roman"/>
                <w:sz w:val="22"/>
              </w:rPr>
              <w:t>pLIN at L6 (strain)</w:t>
            </w:r>
          </w:p>
        </w:tc>
        <w:tc>
          <w:tcPr>
            <w:tcW w:type="dxa" w:w="2340"/>
          </w:tcPr>
          <w:p>
            <w:r>
              <w:rPr>
                <w:rFonts w:ascii="Times New Roman" w:hAnsi="Times New Roman"/>
                <w:sz w:val="22"/>
              </w:rPr>
              <w:t>**0.985**</w:t>
            </w:r>
          </w:p>
        </w:tc>
        <w:tc>
          <w:tcPr>
            <w:tcW w:type="dxa" w:w="2340"/>
          </w:tcPr>
          <w:p>
            <w:r>
              <w:rPr>
                <w:rFonts w:ascii="Times New Roman" w:hAnsi="Times New Roman"/>
                <w:sz w:val="22"/>
              </w:rPr>
              <w:t>3,073</w:t>
            </w:r>
          </w:p>
        </w:tc>
        <w:tc>
          <w:tcPr>
            <w:tcW w:type="dxa" w:w="2340"/>
          </w:tcPr>
          <w:p>
            <w:r>
              <w:rPr>
                <w:rFonts w:ascii="Times New Roman" w:hAnsi="Times New Roman"/>
                <w:sz w:val="22"/>
              </w:rPr>
              <w:t>8,077 samples, 28 groups</w:t>
            </w:r>
          </w:p>
        </w:tc>
      </w:tr>
      <w:tr>
        <w:tc>
          <w:tcPr>
            <w:tcW w:type="dxa" w:w="2340"/>
          </w:tcPr>
          <w:p>
            <w:r>
              <w:rPr>
                <w:rFonts w:ascii="Times New Roman" w:hAnsi="Times New Roman"/>
                <w:sz w:val="22"/>
              </w:rPr>
              <w:t>pLIN at L5 (clone complex)</w:t>
            </w:r>
          </w:p>
        </w:tc>
        <w:tc>
          <w:tcPr>
            <w:tcW w:type="dxa" w:w="2340"/>
          </w:tcPr>
          <w:p>
            <w:r>
              <w:rPr>
                <w:rFonts w:ascii="Times New Roman" w:hAnsi="Times New Roman"/>
                <w:sz w:val="22"/>
              </w:rPr>
              <w:t>0.963</w:t>
            </w:r>
          </w:p>
        </w:tc>
        <w:tc>
          <w:tcPr>
            <w:tcW w:type="dxa" w:w="2340"/>
          </w:tcPr>
          <w:p>
            <w:r>
              <w:rPr>
                <w:rFonts w:ascii="Times New Roman" w:hAnsi="Times New Roman"/>
                <w:sz w:val="22"/>
              </w:rPr>
              <w:t>131</w:t>
            </w:r>
          </w:p>
        </w:tc>
        <w:tc>
          <w:tcPr>
            <w:tcW w:type="dxa" w:w="2340"/>
          </w:tcPr>
          <w:p>
            <w:r>
              <w:rPr>
                <w:rFonts w:ascii="Times New Roman" w:hAnsi="Times New Roman"/>
                <w:sz w:val="22"/>
              </w:rPr>
              <w:t>8,077 samples, 28 groups</w:t>
            </w:r>
          </w:p>
        </w:tc>
      </w:tr>
      <w:tr>
        <w:tc>
          <w:tcPr>
            <w:tcW w:type="dxa" w:w="2340"/>
          </w:tcPr>
          <w:p>
            <w:r>
              <w:rPr>
                <w:rFonts w:ascii="Times New Roman" w:hAnsi="Times New Roman"/>
                <w:sz w:val="22"/>
              </w:rPr>
              <w:t>pLIN at L4 (subcluster)</w:t>
            </w:r>
          </w:p>
        </w:tc>
        <w:tc>
          <w:tcPr>
            <w:tcW w:type="dxa" w:w="2340"/>
          </w:tcPr>
          <w:p>
            <w:r>
              <w:rPr>
                <w:rFonts w:ascii="Times New Roman" w:hAnsi="Times New Roman"/>
                <w:sz w:val="22"/>
              </w:rPr>
              <w:t>0.878</w:t>
            </w:r>
          </w:p>
        </w:tc>
        <w:tc>
          <w:tcPr>
            <w:tcW w:type="dxa" w:w="2340"/>
          </w:tcPr>
          <w:p>
            <w:r>
              <w:rPr>
                <w:rFonts w:ascii="Times New Roman" w:hAnsi="Times New Roman"/>
                <w:sz w:val="22"/>
              </w:rPr>
              <w:t>44</w:t>
            </w:r>
          </w:p>
        </w:tc>
        <w:tc>
          <w:tcPr>
            <w:tcW w:type="dxa" w:w="2340"/>
          </w:tcPr>
          <w:p>
            <w:r>
              <w:rPr>
                <w:rFonts w:ascii="Times New Roman" w:hAnsi="Times New Roman"/>
                <w:sz w:val="22"/>
              </w:rPr>
              <w:t>8,077 samples, 28 groups</w:t>
            </w:r>
          </w:p>
        </w:tc>
      </w:tr>
      <w:tr>
        <w:tc>
          <w:tcPr>
            <w:tcW w:type="dxa" w:w="2340"/>
          </w:tcPr>
          <w:p>
            <w:r>
              <w:rPr>
                <w:rFonts w:ascii="Times New Roman" w:hAnsi="Times New Roman"/>
                <w:sz w:val="22"/>
              </w:rPr>
              <w:t>Inc/rep typing alone</w:t>
            </w:r>
          </w:p>
        </w:tc>
        <w:tc>
          <w:tcPr>
            <w:tcW w:type="dxa" w:w="2340"/>
          </w:tcPr>
          <w:p>
            <w:r>
              <w:rPr>
                <w:rFonts w:ascii="Times New Roman" w:hAnsi="Times New Roman"/>
                <w:sz w:val="22"/>
              </w:rPr>
              <w:t>0.641</w:t>
            </w:r>
          </w:p>
        </w:tc>
        <w:tc>
          <w:tcPr>
            <w:tcW w:type="dxa" w:w="2340"/>
          </w:tcPr>
          <w:p>
            <w:r>
              <w:rPr>
                <w:rFonts w:ascii="Times New Roman" w:hAnsi="Times New Roman"/>
                <w:sz w:val="22"/>
              </w:rPr>
              <w:t>28</w:t>
            </w:r>
          </w:p>
        </w:tc>
        <w:tc>
          <w:tcPr>
            <w:tcW w:type="dxa" w:w="2340"/>
          </w:tcPr>
          <w:p>
            <w:r>
              <w:rPr>
                <w:rFonts w:ascii="Times New Roman" w:hAnsi="Times New Roman"/>
                <w:sz w:val="22"/>
              </w:rPr>
              <w:t>8,077 samples, 28 groups</w:t>
            </w:r>
          </w:p>
        </w:tc>
      </w:tr>
      <w:tr>
        <w:tc>
          <w:tcPr>
            <w:tcW w:type="dxa" w:w="2340"/>
          </w:tcPr>
          <w:p>
            <w:r>
              <w:rPr>
                <w:rFonts w:ascii="Times New Roman" w:hAnsi="Times New Roman"/>
                <w:sz w:val="22"/>
              </w:rPr>
              <w:t>Improvement (pLIN L6 / Inc)</w:t>
            </w:r>
          </w:p>
        </w:tc>
        <w:tc>
          <w:tcPr>
            <w:tcW w:type="dxa" w:w="2340"/>
          </w:tcPr>
          <w:p>
            <w:r>
              <w:rPr>
                <w:rFonts w:ascii="Times New Roman" w:hAnsi="Times New Roman"/>
                <w:sz w:val="22"/>
              </w:rPr>
              <w:t>**1.54-fold**</w:t>
            </w:r>
          </w:p>
        </w:tc>
        <w:tc>
          <w:tcPr>
            <w:tcW w:type="dxa" w:w="2340"/>
          </w:tcPr>
          <w:p>
            <w:r>
              <w:rPr>
                <w:rFonts w:ascii="Times New Roman" w:hAnsi="Times New Roman"/>
                <w:sz w:val="22"/>
              </w:rPr>
              <w:t>--</w:t>
            </w:r>
          </w:p>
        </w:tc>
        <w:tc>
          <w:tcPr>
            <w:tcW w:type="dxa" w:w="2340"/>
          </w:tcPr>
          <w:p>
            <w:r>
              <w:rPr>
                <w:rFonts w:ascii="Times New Roman" w:hAnsi="Times New Roman"/>
                <w:sz w:val="22"/>
              </w:rPr>
              <w:t>--</w:t>
            </w:r>
          </w:p>
        </w:tc>
      </w:tr>
    </w:tbl>
    <w:p/>
    <w:p>
      <w:pPr>
        <w:pStyle w:val="Heading3"/>
      </w:pPr>
      <w:r>
        <w:rPr>
          <w:rFonts w:ascii="Times New Roman" w:hAnsi="Times New Roman"/>
          <w:sz w:val="28"/>
        </w:rPr>
        <w:t>Per-Inc-group discriminatory power at L6</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2F5496"/>
          </w:tcPr>
          <w:p>
            <w:pPr>
              <w:jc w:val="center"/>
            </w:pPr>
            <w:r>
              <w:rPr>
                <w:rFonts w:ascii="Times New Roman" w:hAnsi="Times New Roman"/>
                <w:b/>
                <w:color w:val="FFFFFF"/>
                <w:sz w:val="22"/>
              </w:rPr>
              <w:t>Inc group</w:t>
            </w:r>
          </w:p>
        </w:tc>
        <w:tc>
          <w:tcPr>
            <w:tcW w:type="dxa" w:w="2340"/>
            <w:shd w:val="clear" w:color="auto" w:fill="2F5496"/>
          </w:tcPr>
          <w:p>
            <w:pPr>
              <w:jc w:val="center"/>
            </w:pPr>
            <w:r>
              <w:rPr>
                <w:rFonts w:ascii="Times New Roman" w:hAnsi="Times New Roman"/>
                <w:b/>
                <w:color w:val="FFFFFF"/>
                <w:sz w:val="22"/>
              </w:rPr>
              <w:t>n</w:t>
            </w:r>
          </w:p>
        </w:tc>
        <w:tc>
          <w:tcPr>
            <w:tcW w:type="dxa" w:w="2340"/>
            <w:shd w:val="clear" w:color="auto" w:fill="2F5496"/>
          </w:tcPr>
          <w:p>
            <w:pPr>
              <w:jc w:val="center"/>
            </w:pPr>
            <w:r>
              <w:rPr>
                <w:rFonts w:ascii="Times New Roman" w:hAnsi="Times New Roman"/>
                <w:b/>
                <w:color w:val="FFFFFF"/>
                <w:sz w:val="22"/>
              </w:rPr>
              <w:t>D value</w:t>
            </w:r>
          </w:p>
        </w:tc>
        <w:tc>
          <w:tcPr>
            <w:tcW w:type="dxa" w:w="2340"/>
            <w:shd w:val="clear" w:color="auto" w:fill="2F5496"/>
          </w:tcPr>
          <w:p>
            <w:pPr>
              <w:jc w:val="center"/>
            </w:pPr>
            <w:r>
              <w:rPr>
                <w:rFonts w:ascii="Times New Roman" w:hAnsi="Times New Roman"/>
                <w:b/>
                <w:color w:val="FFFFFF"/>
                <w:sz w:val="22"/>
              </w:rPr>
              <w:t>Unique pLIN codes</w:t>
            </w:r>
          </w:p>
        </w:tc>
      </w:tr>
      <w:tr>
        <w:tc>
          <w:tcPr>
            <w:tcW w:type="dxa" w:w="2340"/>
          </w:tcPr>
          <w:p>
            <w:r>
              <w:rPr>
                <w:rFonts w:ascii="Times New Roman" w:hAnsi="Times New Roman"/>
                <w:sz w:val="22"/>
              </w:rPr>
              <w:t>IncX1</w:t>
            </w:r>
          </w:p>
        </w:tc>
        <w:tc>
          <w:tcPr>
            <w:tcW w:type="dxa" w:w="2340"/>
          </w:tcPr>
          <w:p>
            <w:r>
              <w:rPr>
                <w:rFonts w:ascii="Times New Roman" w:hAnsi="Times New Roman"/>
                <w:sz w:val="22"/>
              </w:rPr>
              <w:t>705</w:t>
            </w:r>
          </w:p>
        </w:tc>
        <w:tc>
          <w:tcPr>
            <w:tcW w:type="dxa" w:w="2340"/>
          </w:tcPr>
          <w:p>
            <w:r>
              <w:rPr>
                <w:rFonts w:ascii="Times New Roman" w:hAnsi="Times New Roman"/>
                <w:sz w:val="22"/>
              </w:rPr>
              <w:t>0.995</w:t>
            </w:r>
          </w:p>
        </w:tc>
        <w:tc>
          <w:tcPr>
            <w:tcW w:type="dxa" w:w="2340"/>
          </w:tcPr>
          <w:p>
            <w:r>
              <w:rPr>
                <w:rFonts w:ascii="Times New Roman" w:hAnsi="Times New Roman"/>
                <w:sz w:val="22"/>
              </w:rPr>
              <w:t>420</w:t>
            </w:r>
          </w:p>
        </w:tc>
      </w:tr>
      <w:tr>
        <w:tc>
          <w:tcPr>
            <w:tcW w:type="dxa" w:w="2340"/>
          </w:tcPr>
          <w:p>
            <w:r>
              <w:rPr>
                <w:rFonts w:ascii="Times New Roman" w:hAnsi="Times New Roman"/>
                <w:sz w:val="22"/>
              </w:rPr>
              <w:t>IncN</w:t>
            </w:r>
          </w:p>
        </w:tc>
        <w:tc>
          <w:tcPr>
            <w:tcW w:type="dxa" w:w="2340"/>
          </w:tcPr>
          <w:p>
            <w:r>
              <w:rPr>
                <w:rFonts w:ascii="Times New Roman" w:hAnsi="Times New Roman"/>
                <w:sz w:val="22"/>
              </w:rPr>
              <w:t>1,097</w:t>
            </w:r>
          </w:p>
        </w:tc>
        <w:tc>
          <w:tcPr>
            <w:tcW w:type="dxa" w:w="2340"/>
          </w:tcPr>
          <w:p>
            <w:r>
              <w:rPr>
                <w:rFonts w:ascii="Times New Roman" w:hAnsi="Times New Roman"/>
                <w:sz w:val="22"/>
              </w:rPr>
              <w:t>0.976</w:t>
            </w:r>
          </w:p>
        </w:tc>
        <w:tc>
          <w:tcPr>
            <w:tcW w:type="dxa" w:w="2340"/>
          </w:tcPr>
          <w:p>
            <w:r>
              <w:rPr>
                <w:rFonts w:ascii="Times New Roman" w:hAnsi="Times New Roman"/>
                <w:sz w:val="22"/>
              </w:rPr>
              <w:t>431</w:t>
            </w:r>
          </w:p>
        </w:tc>
      </w:tr>
      <w:tr>
        <w:tc>
          <w:tcPr>
            <w:tcW w:type="dxa" w:w="2340"/>
          </w:tcPr>
          <w:p>
            <w:r>
              <w:rPr>
                <w:rFonts w:ascii="Times New Roman" w:hAnsi="Times New Roman"/>
                <w:sz w:val="22"/>
              </w:rPr>
              <w:t>IncFII</w:t>
            </w:r>
          </w:p>
        </w:tc>
        <w:tc>
          <w:tcPr>
            <w:tcW w:type="dxa" w:w="2340"/>
          </w:tcPr>
          <w:p>
            <w:r>
              <w:rPr>
                <w:rFonts w:ascii="Times New Roman" w:hAnsi="Times New Roman"/>
                <w:sz w:val="22"/>
              </w:rPr>
              <w:t>4,629</w:t>
            </w:r>
          </w:p>
        </w:tc>
        <w:tc>
          <w:tcPr>
            <w:tcW w:type="dxa" w:w="2340"/>
          </w:tcPr>
          <w:p>
            <w:r>
              <w:rPr>
                <w:rFonts w:ascii="Times New Roman" w:hAnsi="Times New Roman"/>
                <w:sz w:val="22"/>
              </w:rPr>
              <w:t>0.962</w:t>
            </w:r>
          </w:p>
        </w:tc>
        <w:tc>
          <w:tcPr>
            <w:tcW w:type="dxa" w:w="2340"/>
          </w:tcPr>
          <w:p>
            <w:r>
              <w:rPr>
                <w:rFonts w:ascii="Times New Roman" w:hAnsi="Times New Roman"/>
                <w:sz w:val="22"/>
              </w:rPr>
              <w:t>1,421</w:t>
            </w:r>
          </w:p>
        </w:tc>
      </w:tr>
    </w:tbl>
    <w:p/>
    <w:p>
      <w:pPr>
        <w:pStyle w:val="Heading2"/>
      </w:pPr>
      <w:r>
        <w:rPr>
          <w:rFonts w:ascii="Times New Roman" w:hAnsi="Times New Roman"/>
          <w:sz w:val="32"/>
        </w:rPr>
        <w:t>B. Group concordance at strain level (L6)</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2F5496"/>
          </w:tcPr>
          <w:p>
            <w:pPr>
              <w:jc w:val="center"/>
            </w:pPr>
            <w:r>
              <w:rPr>
                <w:rFonts w:ascii="Times New Roman" w:hAnsi="Times New Roman"/>
                <w:b/>
                <w:color w:val="FFFFFF"/>
                <w:sz w:val="22"/>
              </w:rPr>
              <w:t>Metric</w:t>
            </w:r>
          </w:p>
        </w:tc>
        <w:tc>
          <w:tcPr>
            <w:tcW w:type="dxa" w:w="4680"/>
            <w:shd w:val="clear" w:color="auto" w:fill="2F5496"/>
          </w:tcPr>
          <w:p>
            <w:pPr>
              <w:jc w:val="center"/>
            </w:pPr>
            <w:r>
              <w:rPr>
                <w:rFonts w:ascii="Times New Roman" w:hAnsi="Times New Roman"/>
                <w:b/>
                <w:color w:val="FFFFFF"/>
                <w:sz w:val="22"/>
              </w:rPr>
              <w:t>Value</w:t>
            </w:r>
          </w:p>
        </w:tc>
      </w:tr>
      <w:tr>
        <w:tc>
          <w:tcPr>
            <w:tcW w:type="dxa" w:w="4680"/>
          </w:tcPr>
          <w:p>
            <w:r>
              <w:rPr>
                <w:rFonts w:ascii="Times New Roman" w:hAnsi="Times New Roman"/>
                <w:sz w:val="22"/>
              </w:rPr>
              <w:t>Total unique pLIN codes</w:t>
            </w:r>
          </w:p>
        </w:tc>
        <w:tc>
          <w:tcPr>
            <w:tcW w:type="dxa" w:w="4680"/>
          </w:tcPr>
          <w:p>
            <w:r>
              <w:rPr>
                <w:rFonts w:ascii="Times New Roman" w:hAnsi="Times New Roman"/>
                <w:sz w:val="22"/>
              </w:rPr>
              <w:t>3,073</w:t>
            </w:r>
          </w:p>
        </w:tc>
      </w:tr>
      <w:tr>
        <w:tc>
          <w:tcPr>
            <w:tcW w:type="dxa" w:w="4680"/>
          </w:tcPr>
          <w:p>
            <w:r>
              <w:rPr>
                <w:rFonts w:ascii="Times New Roman" w:hAnsi="Times New Roman"/>
                <w:sz w:val="22"/>
              </w:rPr>
              <w:t>Single-group codes</w:t>
            </w:r>
          </w:p>
        </w:tc>
        <w:tc>
          <w:tcPr>
            <w:tcW w:type="dxa" w:w="4680"/>
          </w:tcPr>
          <w:p>
            <w:r>
              <w:rPr>
                <w:rFonts w:ascii="Times New Roman" w:hAnsi="Times New Roman"/>
                <w:sz w:val="22"/>
              </w:rPr>
              <w:t>3,006 (97.8%)</w:t>
            </w:r>
          </w:p>
        </w:tc>
      </w:tr>
      <w:tr>
        <w:tc>
          <w:tcPr>
            <w:tcW w:type="dxa" w:w="4680"/>
          </w:tcPr>
          <w:p>
            <w:r>
              <w:rPr>
                <w:rFonts w:ascii="Times New Roman" w:hAnsi="Times New Roman"/>
                <w:sz w:val="22"/>
              </w:rPr>
              <w:t>Multi-group codes</w:t>
            </w:r>
          </w:p>
        </w:tc>
        <w:tc>
          <w:tcPr>
            <w:tcW w:type="dxa" w:w="4680"/>
          </w:tcPr>
          <w:p>
            <w:r>
              <w:rPr>
                <w:rFonts w:ascii="Times New Roman" w:hAnsi="Times New Roman"/>
                <w:sz w:val="22"/>
              </w:rPr>
              <w:t>67 (2.2%)</w:t>
            </w:r>
          </w:p>
        </w:tc>
      </w:tr>
      <w:tr>
        <w:tc>
          <w:tcPr>
            <w:tcW w:type="dxa" w:w="4680"/>
          </w:tcPr>
          <w:p>
            <w:r>
              <w:rPr>
                <w:rFonts w:ascii="Times New Roman" w:hAnsi="Times New Roman"/>
                <w:sz w:val="22"/>
              </w:rPr>
              <w:t>Largest mixed-group cluster</w:t>
            </w:r>
          </w:p>
        </w:tc>
        <w:tc>
          <w:tcPr>
            <w:tcW w:type="dxa" w:w="4680"/>
          </w:tcPr>
          <w:p>
            <w:r>
              <w:rPr>
                <w:rFonts w:ascii="Times New Roman" w:hAnsi="Times New Roman"/>
                <w:sz w:val="22"/>
              </w:rPr>
              <w:t>pLIN 1327 (n = 869, 6 Inc groups)</w:t>
            </w:r>
          </w:p>
        </w:tc>
      </w:tr>
      <w:tr>
        <w:tc>
          <w:tcPr>
            <w:tcW w:type="dxa" w:w="4680"/>
          </w:tcPr>
          <w:p>
            <w:r>
              <w:rPr>
                <w:rFonts w:ascii="Times New Roman" w:hAnsi="Times New Roman"/>
                <w:sz w:val="22"/>
              </w:rPr>
              <w:t>Singletons</w:t>
            </w:r>
          </w:p>
        </w:tc>
        <w:tc>
          <w:tcPr>
            <w:tcW w:type="dxa" w:w="4680"/>
          </w:tcPr>
          <w:p>
            <w:r>
              <w:rPr>
                <w:rFonts w:ascii="Times New Roman" w:hAnsi="Times New Roman"/>
                <w:sz w:val="22"/>
              </w:rPr>
              <w:t>2,335 (76.0%)</w:t>
            </w:r>
          </w:p>
        </w:tc>
      </w:tr>
    </w:tbl>
    <w:p/>
    <w:p>
      <w:pPr>
        <w:pStyle w:val="Heading2"/>
      </w:pPr>
      <w:r>
        <w:rPr>
          <w:rFonts w:ascii="Times New Roman" w:hAnsi="Times New Roman"/>
          <w:sz w:val="32"/>
        </w:rPr>
        <w:t>C. Machine learning cross-validation (nested CV: 3 outer folds, 2 inner folds, Optuna TPE, 10 trials/fold, Hyperband pruning)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F5496"/>
          </w:tcPr>
          <w:p>
            <w:pPr>
              <w:jc w:val="center"/>
            </w:pPr>
            <w:r>
              <w:rPr>
                <w:rFonts w:ascii="Times New Roman" w:hAnsi="Times New Roman"/>
                <w:b/>
                <w:color w:val="FFFFFF"/>
                <w:sz w:val="22"/>
              </w:rPr>
              <w:t>Model</w:t>
            </w:r>
          </w:p>
        </w:tc>
        <w:tc>
          <w:tcPr>
            <w:tcW w:type="dxa" w:w="1872"/>
            <w:shd w:val="clear" w:color="auto" w:fill="2F5496"/>
          </w:tcPr>
          <w:p>
            <w:pPr>
              <w:jc w:val="center"/>
            </w:pPr>
            <w:r>
              <w:rPr>
                <w:rFonts w:ascii="Times New Roman" w:hAnsi="Times New Roman"/>
                <w:b/>
                <w:color w:val="FFFFFF"/>
                <w:sz w:val="22"/>
              </w:rPr>
              <w:t>Mean weighted F1</w:t>
            </w:r>
          </w:p>
        </w:tc>
        <w:tc>
          <w:tcPr>
            <w:tcW w:type="dxa" w:w="1872"/>
            <w:shd w:val="clear" w:color="auto" w:fill="2F5496"/>
          </w:tcPr>
          <w:p>
            <w:pPr>
              <w:jc w:val="center"/>
            </w:pPr>
            <w:r>
              <w:rPr>
                <w:rFonts w:ascii="Times New Roman" w:hAnsi="Times New Roman"/>
                <w:b/>
                <w:color w:val="FFFFFF"/>
                <w:sz w:val="22"/>
              </w:rPr>
              <w:t>SD</w:t>
            </w:r>
          </w:p>
        </w:tc>
        <w:tc>
          <w:tcPr>
            <w:tcW w:type="dxa" w:w="1872"/>
            <w:shd w:val="clear" w:color="auto" w:fill="2F5496"/>
          </w:tcPr>
          <w:p>
            <w:pPr>
              <w:jc w:val="center"/>
            </w:pPr>
            <w:r>
              <w:rPr>
                <w:rFonts w:ascii="Times New Roman" w:hAnsi="Times New Roman"/>
                <w:b/>
                <w:color w:val="FFFFFF"/>
                <w:sz w:val="22"/>
              </w:rPr>
              <w:t>Min</w:t>
            </w:r>
          </w:p>
        </w:tc>
        <w:tc>
          <w:tcPr>
            <w:tcW w:type="dxa" w:w="1872"/>
            <w:shd w:val="clear" w:color="auto" w:fill="2F5496"/>
          </w:tcPr>
          <w:p>
            <w:pPr>
              <w:jc w:val="center"/>
            </w:pPr>
            <w:r>
              <w:rPr>
                <w:rFonts w:ascii="Times New Roman" w:hAnsi="Times New Roman"/>
                <w:b/>
                <w:color w:val="FFFFFF"/>
                <w:sz w:val="22"/>
              </w:rPr>
              <w:t>Max</w:t>
            </w:r>
          </w:p>
        </w:tc>
      </w:tr>
      <w:tr>
        <w:tc>
          <w:tcPr>
            <w:tcW w:type="dxa" w:w="1872"/>
          </w:tcPr>
          <w:p>
            <w:r>
              <w:rPr>
                <w:rFonts w:ascii="Times New Roman" w:hAnsi="Times New Roman"/>
                <w:sz w:val="22"/>
              </w:rPr>
              <w:t>XGBoost</w:t>
            </w:r>
          </w:p>
        </w:tc>
        <w:tc>
          <w:tcPr>
            <w:tcW w:type="dxa" w:w="1872"/>
          </w:tcPr>
          <w:p>
            <w:r>
              <w:rPr>
                <w:rFonts w:ascii="Times New Roman" w:hAnsi="Times New Roman"/>
                <w:sz w:val="22"/>
              </w:rPr>
              <w:t>**0.896**</w:t>
            </w:r>
          </w:p>
        </w:tc>
        <w:tc>
          <w:tcPr>
            <w:tcW w:type="dxa" w:w="1872"/>
          </w:tcPr>
          <w:p>
            <w:r>
              <w:rPr>
                <w:rFonts w:ascii="Times New Roman" w:hAnsi="Times New Roman"/>
                <w:sz w:val="22"/>
              </w:rPr>
              <w:t>0.009</w:t>
            </w:r>
          </w:p>
        </w:tc>
        <w:tc>
          <w:tcPr>
            <w:tcW w:type="dxa" w:w="1872"/>
          </w:tcPr>
          <w:p>
            <w:r>
              <w:rPr>
                <w:rFonts w:ascii="Times New Roman" w:hAnsi="Times New Roman"/>
                <w:sz w:val="22"/>
              </w:rPr>
              <w:t>0.887</w:t>
            </w:r>
          </w:p>
        </w:tc>
        <w:tc>
          <w:tcPr>
            <w:tcW w:type="dxa" w:w="1872"/>
          </w:tcPr>
          <w:p>
            <w:r>
              <w:rPr>
                <w:rFonts w:ascii="Times New Roman" w:hAnsi="Times New Roman"/>
                <w:sz w:val="22"/>
              </w:rPr>
              <w:t>0.905</w:t>
            </w:r>
          </w:p>
        </w:tc>
      </w:tr>
      <w:tr>
        <w:tc>
          <w:tcPr>
            <w:tcW w:type="dxa" w:w="1872"/>
          </w:tcPr>
          <w:p>
            <w:r>
              <w:rPr>
                <w:rFonts w:ascii="Times New Roman" w:hAnsi="Times New Roman"/>
                <w:sz w:val="22"/>
              </w:rPr>
              <w:t>Gradient Boosting</w:t>
            </w:r>
          </w:p>
        </w:tc>
        <w:tc>
          <w:tcPr>
            <w:tcW w:type="dxa" w:w="1872"/>
          </w:tcPr>
          <w:p>
            <w:r>
              <w:rPr>
                <w:rFonts w:ascii="Times New Roman" w:hAnsi="Times New Roman"/>
                <w:sz w:val="22"/>
              </w:rPr>
              <w:t>0.893</w:t>
            </w:r>
          </w:p>
        </w:tc>
        <w:tc>
          <w:tcPr>
            <w:tcW w:type="dxa" w:w="1872"/>
          </w:tcPr>
          <w:p>
            <w:r>
              <w:rPr>
                <w:rFonts w:ascii="Times New Roman" w:hAnsi="Times New Roman"/>
                <w:sz w:val="22"/>
              </w:rPr>
              <w:t>0.007</w:t>
            </w:r>
          </w:p>
        </w:tc>
        <w:tc>
          <w:tcPr>
            <w:tcW w:type="dxa" w:w="1872"/>
          </w:tcPr>
          <w:p>
            <w:r>
              <w:rPr>
                <w:rFonts w:ascii="Times New Roman" w:hAnsi="Times New Roman"/>
                <w:sz w:val="22"/>
              </w:rPr>
              <w:t>0.886</w:t>
            </w:r>
          </w:p>
        </w:tc>
        <w:tc>
          <w:tcPr>
            <w:tcW w:type="dxa" w:w="1872"/>
          </w:tcPr>
          <w:p>
            <w:r>
              <w:rPr>
                <w:rFonts w:ascii="Times New Roman" w:hAnsi="Times New Roman"/>
                <w:sz w:val="22"/>
              </w:rPr>
              <w:t>0.900</w:t>
            </w:r>
          </w:p>
        </w:tc>
      </w:tr>
      <w:tr>
        <w:tc>
          <w:tcPr>
            <w:tcW w:type="dxa" w:w="1872"/>
          </w:tcPr>
          <w:p>
            <w:r>
              <w:rPr>
                <w:rFonts w:ascii="Times New Roman" w:hAnsi="Times New Roman"/>
                <w:sz w:val="22"/>
              </w:rPr>
              <w:t>Random Forest</w:t>
            </w:r>
          </w:p>
        </w:tc>
        <w:tc>
          <w:tcPr>
            <w:tcW w:type="dxa" w:w="1872"/>
          </w:tcPr>
          <w:p>
            <w:r>
              <w:rPr>
                <w:rFonts w:ascii="Times New Roman" w:hAnsi="Times New Roman"/>
                <w:sz w:val="22"/>
              </w:rPr>
              <w:t>0.874</w:t>
            </w:r>
          </w:p>
        </w:tc>
        <w:tc>
          <w:tcPr>
            <w:tcW w:type="dxa" w:w="1872"/>
          </w:tcPr>
          <w:p>
            <w:r>
              <w:rPr>
                <w:rFonts w:ascii="Times New Roman" w:hAnsi="Times New Roman"/>
                <w:sz w:val="22"/>
              </w:rPr>
              <w:t>0.019</w:t>
            </w:r>
          </w:p>
        </w:tc>
        <w:tc>
          <w:tcPr>
            <w:tcW w:type="dxa" w:w="1872"/>
          </w:tcPr>
          <w:p>
            <w:r>
              <w:rPr>
                <w:rFonts w:ascii="Times New Roman" w:hAnsi="Times New Roman"/>
                <w:sz w:val="22"/>
              </w:rPr>
              <w:t>0.855</w:t>
            </w:r>
          </w:p>
        </w:tc>
        <w:tc>
          <w:tcPr>
            <w:tcW w:type="dxa" w:w="1872"/>
          </w:tcPr>
          <w:p>
            <w:r>
              <w:rPr>
                <w:rFonts w:ascii="Times New Roman" w:hAnsi="Times New Roman"/>
                <w:sz w:val="22"/>
              </w:rPr>
              <w:t>0.893</w:t>
            </w:r>
          </w:p>
        </w:tc>
      </w:tr>
      <w:tr>
        <w:tc>
          <w:tcPr>
            <w:tcW w:type="dxa" w:w="1872"/>
          </w:tcPr>
          <w:p>
            <w:r>
              <w:rPr>
                <w:rFonts w:ascii="Times New Roman" w:hAnsi="Times New Roman"/>
                <w:sz w:val="22"/>
              </w:rPr>
              <w:t>Logistic Regression</w:t>
            </w:r>
          </w:p>
        </w:tc>
        <w:tc>
          <w:tcPr>
            <w:tcW w:type="dxa" w:w="1872"/>
          </w:tcPr>
          <w:p>
            <w:r>
              <w:rPr>
                <w:rFonts w:ascii="Times New Roman" w:hAnsi="Times New Roman"/>
                <w:sz w:val="22"/>
              </w:rPr>
              <w:t>0.866</w:t>
            </w:r>
          </w:p>
        </w:tc>
        <w:tc>
          <w:tcPr>
            <w:tcW w:type="dxa" w:w="1872"/>
          </w:tcPr>
          <w:p>
            <w:r>
              <w:rPr>
                <w:rFonts w:ascii="Times New Roman" w:hAnsi="Times New Roman"/>
                <w:sz w:val="22"/>
              </w:rPr>
              <w:t>0.010</w:t>
            </w:r>
          </w:p>
        </w:tc>
        <w:tc>
          <w:tcPr>
            <w:tcW w:type="dxa" w:w="1872"/>
          </w:tcPr>
          <w:p>
            <w:r>
              <w:rPr>
                <w:rFonts w:ascii="Times New Roman" w:hAnsi="Times New Roman"/>
                <w:sz w:val="22"/>
              </w:rPr>
              <w:t>0.856</w:t>
            </w:r>
          </w:p>
        </w:tc>
        <w:tc>
          <w:tcPr>
            <w:tcW w:type="dxa" w:w="1872"/>
          </w:tcPr>
          <w:p>
            <w:r>
              <w:rPr>
                <w:rFonts w:ascii="Times New Roman" w:hAnsi="Times New Roman"/>
                <w:sz w:val="22"/>
              </w:rPr>
              <w:t>0.876</w:t>
            </w:r>
          </w:p>
        </w:tc>
      </w:tr>
    </w:tbl>
    <w:p/>
    <w:p>
      <w:pPr>
        <w:pStyle w:val="Heading3"/>
      </w:pPr>
      <w:r>
        <w:rPr>
          <w:rFonts w:ascii="Times New Roman" w:hAnsi="Times New Roman"/>
          <w:sz w:val="28"/>
        </w:rPr>
        <w:t>Top 5 discriminative features (consensus across tree-based models)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2F5496"/>
          </w:tcPr>
          <w:p>
            <w:pPr>
              <w:jc w:val="center"/>
            </w:pPr>
            <w:r>
              <w:rPr>
                <w:rFonts w:ascii="Times New Roman" w:hAnsi="Times New Roman"/>
                <w:b/>
                <w:color w:val="FFFFFF"/>
                <w:sz w:val="22"/>
              </w:rPr>
              <w:t>Rank</w:t>
            </w:r>
          </w:p>
        </w:tc>
        <w:tc>
          <w:tcPr>
            <w:tcW w:type="dxa" w:w="2340"/>
            <w:shd w:val="clear" w:color="auto" w:fill="2F5496"/>
          </w:tcPr>
          <w:p>
            <w:pPr>
              <w:jc w:val="center"/>
            </w:pPr>
            <w:r>
              <w:rPr>
                <w:rFonts w:ascii="Times New Roman" w:hAnsi="Times New Roman"/>
                <w:b/>
                <w:color w:val="FFFFFF"/>
                <w:sz w:val="22"/>
              </w:rPr>
              <w:t>Feature</w:t>
            </w:r>
          </w:p>
        </w:tc>
        <w:tc>
          <w:tcPr>
            <w:tcW w:type="dxa" w:w="2340"/>
            <w:shd w:val="clear" w:color="auto" w:fill="2F5496"/>
          </w:tcPr>
          <w:p>
            <w:pPr>
              <w:jc w:val="center"/>
            </w:pPr>
            <w:r>
              <w:rPr>
                <w:rFonts w:ascii="Times New Roman" w:hAnsi="Times New Roman"/>
                <w:b/>
                <w:color w:val="FFFFFF"/>
                <w:sz w:val="22"/>
              </w:rPr>
              <w:t>Mean importance</w:t>
            </w:r>
          </w:p>
        </w:tc>
        <w:tc>
          <w:tcPr>
            <w:tcW w:type="dxa" w:w="2340"/>
            <w:shd w:val="clear" w:color="auto" w:fill="2F5496"/>
          </w:tcPr>
          <w:p>
            <w:pPr>
              <w:jc w:val="center"/>
            </w:pPr>
            <w:r>
              <w:rPr>
                <w:rFonts w:ascii="Times New Roman" w:hAnsi="Times New Roman"/>
                <w:b/>
                <w:color w:val="FFFFFF"/>
                <w:sz w:val="22"/>
              </w:rPr>
              <w:t>Biological relevance</w:t>
            </w:r>
          </w:p>
        </w:tc>
      </w:tr>
      <w:tr>
        <w:tc>
          <w:tcPr>
            <w:tcW w:type="dxa" w:w="2340"/>
          </w:tcPr>
          <w:p>
            <w:r>
              <w:rPr>
                <w:rFonts w:ascii="Times New Roman" w:hAnsi="Times New Roman"/>
                <w:sz w:val="22"/>
              </w:rPr>
              <w:t>1</w:t>
            </w:r>
          </w:p>
        </w:tc>
        <w:tc>
          <w:tcPr>
            <w:tcW w:type="dxa" w:w="2340"/>
          </w:tcPr>
          <w:p>
            <w:r>
              <w:rPr>
                <w:rFonts w:ascii="Times New Roman" w:hAnsi="Times New Roman"/>
                <w:sz w:val="22"/>
              </w:rPr>
              <w:t>tri_TAG</w:t>
            </w:r>
          </w:p>
        </w:tc>
        <w:tc>
          <w:tcPr>
            <w:tcW w:type="dxa" w:w="2340"/>
          </w:tcPr>
          <w:p>
            <w:r>
              <w:rPr>
                <w:rFonts w:ascii="Times New Roman" w:hAnsi="Times New Roman"/>
                <w:sz w:val="22"/>
              </w:rPr>
              <w:t>0.114</w:t>
            </w:r>
          </w:p>
        </w:tc>
        <w:tc>
          <w:tcPr>
            <w:tcW w:type="dxa" w:w="2340"/>
          </w:tcPr>
          <w:p>
            <w:r>
              <w:rPr>
                <w:rFonts w:ascii="Times New Roman" w:hAnsi="Times New Roman"/>
                <w:sz w:val="22"/>
              </w:rPr>
              <w:t>Amber stop codon; codon usage signal</w:t>
            </w:r>
          </w:p>
        </w:tc>
      </w:tr>
      <w:tr>
        <w:tc>
          <w:tcPr>
            <w:tcW w:type="dxa" w:w="2340"/>
          </w:tcPr>
          <w:p>
            <w:r>
              <w:rPr>
                <w:rFonts w:ascii="Times New Roman" w:hAnsi="Times New Roman"/>
                <w:sz w:val="22"/>
              </w:rPr>
              <w:t>2</w:t>
            </w:r>
          </w:p>
        </w:tc>
        <w:tc>
          <w:tcPr>
            <w:tcW w:type="dxa" w:w="2340"/>
          </w:tcPr>
          <w:p>
            <w:r>
              <w:rPr>
                <w:rFonts w:ascii="Times New Roman" w:hAnsi="Times New Roman"/>
                <w:sz w:val="22"/>
              </w:rPr>
              <w:t>tri_GCG</w:t>
            </w:r>
          </w:p>
        </w:tc>
        <w:tc>
          <w:tcPr>
            <w:tcW w:type="dxa" w:w="2340"/>
          </w:tcPr>
          <w:p>
            <w:r>
              <w:rPr>
                <w:rFonts w:ascii="Times New Roman" w:hAnsi="Times New Roman"/>
                <w:sz w:val="22"/>
              </w:rPr>
              <w:t>0.099</w:t>
            </w:r>
          </w:p>
        </w:tc>
        <w:tc>
          <w:tcPr>
            <w:tcW w:type="dxa" w:w="2340"/>
          </w:tcPr>
          <w:p>
            <w:r>
              <w:rPr>
                <w:rFonts w:ascii="Times New Roman" w:hAnsi="Times New Roman"/>
                <w:sz w:val="22"/>
              </w:rPr>
              <w:t>CpG island proxy; methylation signature</w:t>
            </w:r>
          </w:p>
        </w:tc>
      </w:tr>
      <w:tr>
        <w:tc>
          <w:tcPr>
            <w:tcW w:type="dxa" w:w="2340"/>
          </w:tcPr>
          <w:p>
            <w:r>
              <w:rPr>
                <w:rFonts w:ascii="Times New Roman" w:hAnsi="Times New Roman"/>
                <w:sz w:val="22"/>
              </w:rPr>
              <w:t>3</w:t>
            </w:r>
          </w:p>
        </w:tc>
        <w:tc>
          <w:tcPr>
            <w:tcW w:type="dxa" w:w="2340"/>
          </w:tcPr>
          <w:p>
            <w:r>
              <w:rPr>
                <w:rFonts w:ascii="Times New Roman" w:hAnsi="Times New Roman"/>
                <w:sz w:val="22"/>
              </w:rPr>
              <w:t>at_content</w:t>
            </w:r>
          </w:p>
        </w:tc>
        <w:tc>
          <w:tcPr>
            <w:tcW w:type="dxa" w:w="2340"/>
          </w:tcPr>
          <w:p>
            <w:r>
              <w:rPr>
                <w:rFonts w:ascii="Times New Roman" w:hAnsi="Times New Roman"/>
                <w:sz w:val="22"/>
              </w:rPr>
              <w:t>0.076</w:t>
            </w:r>
          </w:p>
        </w:tc>
        <w:tc>
          <w:tcPr>
            <w:tcW w:type="dxa" w:w="2340"/>
          </w:tcPr>
          <w:p>
            <w:r>
              <w:rPr>
                <w:rFonts w:ascii="Times New Roman" w:hAnsi="Times New Roman"/>
                <w:sz w:val="22"/>
              </w:rPr>
              <w:t>Overall base composition</w:t>
            </w:r>
          </w:p>
        </w:tc>
      </w:tr>
      <w:tr>
        <w:tc>
          <w:tcPr>
            <w:tcW w:type="dxa" w:w="2340"/>
          </w:tcPr>
          <w:p>
            <w:r>
              <w:rPr>
                <w:rFonts w:ascii="Times New Roman" w:hAnsi="Times New Roman"/>
                <w:sz w:val="22"/>
              </w:rPr>
              <w:t>4</w:t>
            </w:r>
          </w:p>
        </w:tc>
        <w:tc>
          <w:tcPr>
            <w:tcW w:type="dxa" w:w="2340"/>
          </w:tcPr>
          <w:p>
            <w:r>
              <w:rPr>
                <w:rFonts w:ascii="Times New Roman" w:hAnsi="Times New Roman"/>
                <w:sz w:val="22"/>
              </w:rPr>
              <w:t>gc_content</w:t>
            </w:r>
          </w:p>
        </w:tc>
        <w:tc>
          <w:tcPr>
            <w:tcW w:type="dxa" w:w="2340"/>
          </w:tcPr>
          <w:p>
            <w:r>
              <w:rPr>
                <w:rFonts w:ascii="Times New Roman" w:hAnsi="Times New Roman"/>
                <w:sz w:val="22"/>
              </w:rPr>
              <w:t>0.053</w:t>
            </w:r>
          </w:p>
        </w:tc>
        <w:tc>
          <w:tcPr>
            <w:tcW w:type="dxa" w:w="2340"/>
          </w:tcPr>
          <w:p>
            <w:r>
              <w:rPr>
                <w:rFonts w:ascii="Times New Roman" w:hAnsi="Times New Roman"/>
                <w:sz w:val="22"/>
              </w:rPr>
              <w:t>GC%; backbone vs. accessory content</w:t>
            </w:r>
          </w:p>
        </w:tc>
      </w:tr>
      <w:tr>
        <w:tc>
          <w:tcPr>
            <w:tcW w:type="dxa" w:w="2340"/>
          </w:tcPr>
          <w:p>
            <w:r>
              <w:rPr>
                <w:rFonts w:ascii="Times New Roman" w:hAnsi="Times New Roman"/>
                <w:sz w:val="22"/>
              </w:rPr>
              <w:t>5</w:t>
            </w:r>
          </w:p>
        </w:tc>
        <w:tc>
          <w:tcPr>
            <w:tcW w:type="dxa" w:w="2340"/>
          </w:tcPr>
          <w:p>
            <w:r>
              <w:rPr>
                <w:rFonts w:ascii="Times New Roman" w:hAnsi="Times New Roman"/>
                <w:sz w:val="22"/>
              </w:rPr>
              <w:t>di_AA</w:t>
            </w:r>
          </w:p>
        </w:tc>
        <w:tc>
          <w:tcPr>
            <w:tcW w:type="dxa" w:w="2340"/>
          </w:tcPr>
          <w:p>
            <w:r>
              <w:rPr>
                <w:rFonts w:ascii="Times New Roman" w:hAnsi="Times New Roman"/>
                <w:sz w:val="22"/>
              </w:rPr>
              <w:t>0.050</w:t>
            </w:r>
          </w:p>
        </w:tc>
        <w:tc>
          <w:tcPr>
            <w:tcW w:type="dxa" w:w="2340"/>
          </w:tcPr>
          <w:p>
            <w:r>
              <w:rPr>
                <w:rFonts w:ascii="Times New Roman" w:hAnsi="Times New Roman"/>
                <w:sz w:val="22"/>
              </w:rPr>
              <w:t>Poly-A tracts; regulatory elements</w:t>
            </w:r>
          </w:p>
        </w:tc>
      </w:tr>
    </w:tbl>
    <w:p/>
    <w:p>
      <w:pPr>
        <w:pStyle w:val="Heading2"/>
      </w:pPr>
      <w:r>
        <w:rPr>
          <w:rFonts w:ascii="Times New Roman" w:hAnsi="Times New Roman"/>
          <w:sz w:val="32"/>
        </w:rPr>
        <w:t>D. KNN Inc-group classifier performance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2F5496"/>
          </w:tcPr>
          <w:p>
            <w:pPr>
              <w:jc w:val="center"/>
            </w:pPr>
            <w:r>
              <w:rPr>
                <w:rFonts w:ascii="Times New Roman" w:hAnsi="Times New Roman"/>
                <w:b/>
                <w:color w:val="FFFFFF"/>
                <w:sz w:val="22"/>
              </w:rPr>
              <w:t>Metric</w:t>
            </w:r>
          </w:p>
        </w:tc>
        <w:tc>
          <w:tcPr>
            <w:tcW w:type="dxa" w:w="4680"/>
            <w:shd w:val="clear" w:color="auto" w:fill="2F5496"/>
          </w:tcPr>
          <w:p>
            <w:pPr>
              <w:jc w:val="center"/>
            </w:pPr>
            <w:r>
              <w:rPr>
                <w:rFonts w:ascii="Times New Roman" w:hAnsi="Times New Roman"/>
                <w:b/>
                <w:color w:val="FFFFFF"/>
                <w:sz w:val="22"/>
              </w:rPr>
              <w:t>Value</w:t>
            </w:r>
          </w:p>
        </w:tc>
      </w:tr>
      <w:tr>
        <w:tc>
          <w:tcPr>
            <w:tcW w:type="dxa" w:w="4680"/>
          </w:tcPr>
          <w:p>
            <w:r>
              <w:rPr>
                <w:rFonts w:ascii="Times New Roman" w:hAnsi="Times New Roman"/>
                <w:sz w:val="22"/>
              </w:rPr>
              <w:t>Algorithm</w:t>
            </w:r>
          </w:p>
        </w:tc>
        <w:tc>
          <w:tcPr>
            <w:tcW w:type="dxa" w:w="4680"/>
          </w:tcPr>
          <w:p>
            <w:r>
              <w:rPr>
                <w:rFonts w:ascii="Times New Roman" w:hAnsi="Times New Roman"/>
                <w:sz w:val="22"/>
              </w:rPr>
              <w:t>K-nearest neighbours</w:t>
            </w:r>
          </w:p>
        </w:tc>
      </w:tr>
      <w:tr>
        <w:tc>
          <w:tcPr>
            <w:tcW w:type="dxa" w:w="4680"/>
          </w:tcPr>
          <w:p>
            <w:r>
              <w:rPr>
                <w:rFonts w:ascii="Times New Roman" w:hAnsi="Times New Roman"/>
                <w:sz w:val="22"/>
              </w:rPr>
              <w:t>k</w:t>
            </w:r>
          </w:p>
        </w:tc>
        <w:tc>
          <w:tcPr>
            <w:tcW w:type="dxa" w:w="4680"/>
          </w:tcPr>
          <w:p>
            <w:r>
              <w:rPr>
                <w:rFonts w:ascii="Times New Roman" w:hAnsi="Times New Roman"/>
                <w:sz w:val="22"/>
              </w:rPr>
              <w:t>5</w:t>
            </w:r>
          </w:p>
        </w:tc>
      </w:tr>
      <w:tr>
        <w:tc>
          <w:tcPr>
            <w:tcW w:type="dxa" w:w="4680"/>
          </w:tcPr>
          <w:p>
            <w:r>
              <w:rPr>
                <w:rFonts w:ascii="Times New Roman" w:hAnsi="Times New Roman"/>
                <w:sz w:val="22"/>
              </w:rPr>
              <w:t>Distance metric</w:t>
            </w:r>
          </w:p>
        </w:tc>
        <w:tc>
          <w:tcPr>
            <w:tcW w:type="dxa" w:w="4680"/>
          </w:tcPr>
          <w:p>
            <w:r>
              <w:rPr>
                <w:rFonts w:ascii="Times New Roman" w:hAnsi="Times New Roman"/>
                <w:sz w:val="22"/>
              </w:rPr>
              <w:t>Cosine</w:t>
            </w:r>
          </w:p>
        </w:tc>
      </w:tr>
      <w:tr>
        <w:tc>
          <w:tcPr>
            <w:tcW w:type="dxa" w:w="4680"/>
          </w:tcPr>
          <w:p>
            <w:r>
              <w:rPr>
                <w:rFonts w:ascii="Times New Roman" w:hAnsi="Times New Roman"/>
                <w:sz w:val="22"/>
              </w:rPr>
              <w:t>Weighting</w:t>
            </w:r>
          </w:p>
        </w:tc>
        <w:tc>
          <w:tcPr>
            <w:tcW w:type="dxa" w:w="4680"/>
          </w:tcPr>
          <w:p>
            <w:r>
              <w:rPr>
                <w:rFonts w:ascii="Times New Roman" w:hAnsi="Times New Roman"/>
                <w:sz w:val="22"/>
              </w:rPr>
              <w:t>Distance-weighted</w:t>
            </w:r>
          </w:p>
        </w:tc>
      </w:tr>
      <w:tr>
        <w:tc>
          <w:tcPr>
            <w:tcW w:type="dxa" w:w="4680"/>
          </w:tcPr>
          <w:p>
            <w:r>
              <w:rPr>
                <w:rFonts w:ascii="Times New Roman" w:hAnsi="Times New Roman"/>
                <w:sz w:val="22"/>
              </w:rPr>
              <w:t>Feature space</w:t>
            </w:r>
          </w:p>
        </w:tc>
        <w:tc>
          <w:tcPr>
            <w:tcW w:type="dxa" w:w="4680"/>
          </w:tcPr>
          <w:p>
            <w:r>
              <w:rPr>
                <w:rFonts w:ascii="Times New Roman" w:hAnsi="Times New Roman"/>
                <w:sz w:val="22"/>
              </w:rPr>
              <w:t>256 tetranucleotide frequencies</w:t>
            </w:r>
          </w:p>
        </w:tc>
      </w:tr>
      <w:tr>
        <w:tc>
          <w:tcPr>
            <w:tcW w:type="dxa" w:w="4680"/>
          </w:tcPr>
          <w:p>
            <w:r>
              <w:rPr>
                <w:rFonts w:ascii="Times New Roman" w:hAnsi="Times New Roman"/>
                <w:sz w:val="22"/>
              </w:rPr>
              <w:t>Training samples</w:t>
            </w:r>
          </w:p>
        </w:tc>
        <w:tc>
          <w:tcPr>
            <w:tcW w:type="dxa" w:w="4680"/>
          </w:tcPr>
          <w:p>
            <w:r>
              <w:rPr>
                <w:rFonts w:ascii="Times New Roman" w:hAnsi="Times New Roman"/>
                <w:sz w:val="22"/>
              </w:rPr>
              <w:t>8,077 (8,056 unique)</w:t>
            </w:r>
          </w:p>
        </w:tc>
      </w:tr>
      <w:tr>
        <w:tc>
          <w:tcPr>
            <w:tcW w:type="dxa" w:w="4680"/>
          </w:tcPr>
          <w:p>
            <w:r>
              <w:rPr>
                <w:rFonts w:ascii="Times New Roman" w:hAnsi="Times New Roman"/>
                <w:sz w:val="22"/>
              </w:rPr>
              <w:t>Groups</w:t>
            </w:r>
          </w:p>
        </w:tc>
        <w:tc>
          <w:tcPr>
            <w:tcW w:type="dxa" w:w="4680"/>
          </w:tcPr>
          <w:p>
            <w:r>
              <w:rPr>
                <w:rFonts w:ascii="Times New Roman" w:hAnsi="Times New Roman"/>
                <w:sz w:val="22"/>
              </w:rPr>
              <w:t>28</w:t>
            </w:r>
          </w:p>
        </w:tc>
      </w:tr>
      <w:tr>
        <w:tc>
          <w:tcPr>
            <w:tcW w:type="dxa" w:w="4680"/>
          </w:tcPr>
          <w:p>
            <w:r>
              <w:rPr>
                <w:rFonts w:ascii="Times New Roman" w:hAnsi="Times New Roman"/>
                <w:sz w:val="22"/>
              </w:rPr>
              <w:t>Cross-validation</w:t>
            </w:r>
          </w:p>
        </w:tc>
        <w:tc>
          <w:tcPr>
            <w:tcW w:type="dxa" w:w="4680"/>
          </w:tcPr>
          <w:p>
            <w:r>
              <w:rPr>
                <w:rFonts w:ascii="Times New Roman" w:hAnsi="Times New Roman"/>
                <w:sz w:val="22"/>
              </w:rPr>
              <w:t>5-fold</w:t>
            </w:r>
          </w:p>
        </w:tc>
      </w:tr>
      <w:tr>
        <w:tc>
          <w:tcPr>
            <w:tcW w:type="dxa" w:w="4680"/>
          </w:tcPr>
          <w:p>
            <w:r>
              <w:rPr>
                <w:rFonts w:ascii="Times New Roman" w:hAnsi="Times New Roman"/>
                <w:sz w:val="22"/>
              </w:rPr>
              <w:t>Overall accuracy</w:t>
            </w:r>
          </w:p>
        </w:tc>
        <w:tc>
          <w:tcPr>
            <w:tcW w:type="dxa" w:w="4680"/>
          </w:tcPr>
          <w:p>
            <w:r>
              <w:rPr>
                <w:rFonts w:ascii="Times New Roman" w:hAnsi="Times New Roman"/>
                <w:sz w:val="22"/>
              </w:rPr>
              <w:t>**91.1%**</w:t>
            </w:r>
          </w:p>
        </w:tc>
      </w:tr>
      <w:tr>
        <w:tc>
          <w:tcPr>
            <w:tcW w:type="dxa" w:w="4680"/>
          </w:tcPr>
          <w:p>
            <w:r>
              <w:rPr>
                <w:rFonts w:ascii="Times New Roman" w:hAnsi="Times New Roman"/>
                <w:sz w:val="22"/>
              </w:rPr>
              <w:t>Classification rate (reference DB)</w:t>
            </w:r>
          </w:p>
        </w:tc>
        <w:tc>
          <w:tcPr>
            <w:tcW w:type="dxa" w:w="4680"/>
          </w:tcPr>
          <w:p>
            <w:r>
              <w:rPr>
                <w:rFonts w:ascii="Times New Roman" w:hAnsi="Times New Roman"/>
                <w:sz w:val="22"/>
              </w:rPr>
              <w:t>97.3% (69,140 / 71,249)</w:t>
            </w:r>
          </w:p>
        </w:tc>
      </w:tr>
      <w:tr>
        <w:tc>
          <w:tcPr>
            <w:tcW w:type="dxa" w:w="4680"/>
          </w:tcPr>
          <w:p>
            <w:r>
              <w:rPr>
                <w:rFonts w:ascii="Times New Roman" w:hAnsi="Times New Roman"/>
                <w:sz w:val="22"/>
              </w:rPr>
              <w:t>Unknown/Novel (&lt; 40% confidence)</w:t>
            </w:r>
          </w:p>
        </w:tc>
        <w:tc>
          <w:tcPr>
            <w:tcW w:type="dxa" w:w="4680"/>
          </w:tcPr>
          <w:p>
            <w:r>
              <w:rPr>
                <w:rFonts w:ascii="Times New Roman" w:hAnsi="Times New Roman"/>
                <w:sz w:val="22"/>
              </w:rPr>
              <w:t>2,109 (2.7%)</w:t>
            </w:r>
          </w:p>
        </w:tc>
      </w:tr>
    </w:tbl>
    <w:p/>
    <w:p>
      <w:pPr>
        <w:pStyle w:val="Heading3"/>
      </w:pPr>
      <w:r>
        <w:rPr>
          <w:rFonts w:ascii="Times New Roman" w:hAnsi="Times New Roman"/>
          <w:sz w:val="28"/>
        </w:rPr>
        <w:t>Confidence-stratified accuracy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F5496"/>
          </w:tcPr>
          <w:p>
            <w:pPr>
              <w:jc w:val="center"/>
            </w:pPr>
            <w:r>
              <w:rPr>
                <w:rFonts w:ascii="Times New Roman" w:hAnsi="Times New Roman"/>
                <w:b/>
                <w:color w:val="FFFFFF"/>
                <w:sz w:val="22"/>
              </w:rPr>
              <w:t>Confidence threshold</w:t>
            </w:r>
          </w:p>
        </w:tc>
        <w:tc>
          <w:tcPr>
            <w:tcW w:type="dxa" w:w="3120"/>
            <w:shd w:val="clear" w:color="auto" w:fill="2F5496"/>
          </w:tcPr>
          <w:p>
            <w:pPr>
              <w:jc w:val="center"/>
            </w:pPr>
            <w:r>
              <w:rPr>
                <w:rFonts w:ascii="Times New Roman" w:hAnsi="Times New Roman"/>
                <w:b/>
                <w:color w:val="FFFFFF"/>
                <w:sz w:val="22"/>
              </w:rPr>
              <w:t>% of reference sequences</w:t>
            </w:r>
          </w:p>
        </w:tc>
        <w:tc>
          <w:tcPr>
            <w:tcW w:type="dxa" w:w="3120"/>
            <w:shd w:val="clear" w:color="auto" w:fill="2F5496"/>
          </w:tcPr>
          <w:p>
            <w:pPr>
              <w:jc w:val="center"/>
            </w:pPr>
            <w:r>
              <w:rPr>
                <w:rFonts w:ascii="Times New Roman" w:hAnsi="Times New Roman"/>
                <w:b/>
                <w:color w:val="FFFFFF"/>
                <w:sz w:val="22"/>
              </w:rPr>
              <w:t>Estimated accuracy</w:t>
            </w:r>
          </w:p>
        </w:tc>
      </w:tr>
      <w:tr>
        <w:tc>
          <w:tcPr>
            <w:tcW w:type="dxa" w:w="3120"/>
          </w:tcPr>
          <w:p>
            <w:r>
              <w:rPr>
                <w:rFonts w:ascii="Times New Roman" w:hAnsi="Times New Roman"/>
                <w:sz w:val="22"/>
              </w:rPr>
              <w:t>&gt;= 95%</w:t>
            </w:r>
          </w:p>
        </w:tc>
        <w:tc>
          <w:tcPr>
            <w:tcW w:type="dxa" w:w="3120"/>
          </w:tcPr>
          <w:p>
            <w:r>
              <w:rPr>
                <w:rFonts w:ascii="Times New Roman" w:hAnsi="Times New Roman"/>
                <w:sz w:val="22"/>
              </w:rPr>
              <w:t>43.3%</w:t>
            </w:r>
          </w:p>
        </w:tc>
        <w:tc>
          <w:tcPr>
            <w:tcW w:type="dxa" w:w="3120"/>
          </w:tcPr>
          <w:p>
            <w:r>
              <w:rPr>
                <w:rFonts w:ascii="Times New Roman" w:hAnsi="Times New Roman"/>
                <w:sz w:val="22"/>
              </w:rPr>
              <w:t>96.6%</w:t>
            </w:r>
          </w:p>
        </w:tc>
      </w:tr>
      <w:tr>
        <w:tc>
          <w:tcPr>
            <w:tcW w:type="dxa" w:w="3120"/>
          </w:tcPr>
          <w:p>
            <w:r>
              <w:rPr>
                <w:rFonts w:ascii="Times New Roman" w:hAnsi="Times New Roman"/>
                <w:sz w:val="22"/>
              </w:rPr>
              <w:t>&gt;= 80%</w:t>
            </w:r>
          </w:p>
        </w:tc>
        <w:tc>
          <w:tcPr>
            <w:tcW w:type="dxa" w:w="3120"/>
          </w:tcPr>
          <w:p>
            <w:r>
              <w:rPr>
                <w:rFonts w:ascii="Times New Roman" w:hAnsi="Times New Roman"/>
                <w:sz w:val="22"/>
              </w:rPr>
              <w:t>57.0%</w:t>
            </w:r>
          </w:p>
        </w:tc>
        <w:tc>
          <w:tcPr>
            <w:tcW w:type="dxa" w:w="3120"/>
          </w:tcPr>
          <w:p>
            <w:r>
              <w:rPr>
                <w:rFonts w:ascii="Times New Roman" w:hAnsi="Times New Roman"/>
                <w:sz w:val="22"/>
              </w:rPr>
              <w:t>&gt;= 86.3%</w:t>
            </w:r>
          </w:p>
        </w:tc>
      </w:tr>
      <w:tr>
        <w:tc>
          <w:tcPr>
            <w:tcW w:type="dxa" w:w="3120"/>
          </w:tcPr>
          <w:p>
            <w:r>
              <w:rPr>
                <w:rFonts w:ascii="Times New Roman" w:hAnsi="Times New Roman"/>
                <w:sz w:val="22"/>
              </w:rPr>
              <w:t>&lt; 40% (excluded)</w:t>
            </w:r>
          </w:p>
        </w:tc>
        <w:tc>
          <w:tcPr>
            <w:tcW w:type="dxa" w:w="3120"/>
          </w:tcPr>
          <w:p>
            <w:r>
              <w:rPr>
                <w:rFonts w:ascii="Times New Roman" w:hAnsi="Times New Roman"/>
                <w:sz w:val="22"/>
              </w:rPr>
              <w:t>3.3%</w:t>
            </w:r>
          </w:p>
        </w:tc>
        <w:tc>
          <w:tcPr>
            <w:tcW w:type="dxa" w:w="3120"/>
          </w:tcPr>
          <w:p>
            <w:r>
              <w:rPr>
                <w:rFonts w:ascii="Times New Roman" w:hAnsi="Times New Roman"/>
                <w:sz w:val="22"/>
              </w:rPr>
              <w:t>--</w:t>
            </w:r>
          </w:p>
        </w:tc>
      </w:tr>
    </w:tbl>
    <w:p/>
    <w:p>
      <w:pPr>
        <w:pStyle w:val="Heading2"/>
      </w:pPr>
      <w:r>
        <w:rPr>
          <w:rFonts w:ascii="Times New Roman" w:hAnsi="Times New Roman"/>
          <w:sz w:val="32"/>
        </w:rPr>
        <w:t>E. Scalability benchmarks (Apple M-series laptop, 16--32 GB RAM)</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2F5496"/>
          </w:tcPr>
          <w:p>
            <w:pPr>
              <w:jc w:val="center"/>
            </w:pPr>
            <w:r>
              <w:rPr>
                <w:rFonts w:ascii="Times New Roman" w:hAnsi="Times New Roman"/>
                <w:b/>
                <w:color w:val="FFFFFF"/>
                <w:sz w:val="22"/>
              </w:rPr>
              <w:t>Metric</w:t>
            </w:r>
          </w:p>
        </w:tc>
        <w:tc>
          <w:tcPr>
            <w:tcW w:type="dxa" w:w="4680"/>
            <w:shd w:val="clear" w:color="auto" w:fill="2F5496"/>
          </w:tcPr>
          <w:p>
            <w:pPr>
              <w:jc w:val="center"/>
            </w:pPr>
            <w:r>
              <w:rPr>
                <w:rFonts w:ascii="Times New Roman" w:hAnsi="Times New Roman"/>
                <w:b/>
                <w:color w:val="FFFFFF"/>
                <w:sz w:val="22"/>
              </w:rPr>
              <w:t>Value</w:t>
            </w:r>
          </w:p>
        </w:tc>
      </w:tr>
      <w:tr>
        <w:tc>
          <w:tcPr>
            <w:tcW w:type="dxa" w:w="4680"/>
          </w:tcPr>
          <w:p>
            <w:r>
              <w:rPr>
                <w:rFonts w:ascii="Times New Roman" w:hAnsi="Times New Roman"/>
                <w:sz w:val="22"/>
              </w:rPr>
              <w:t>Total sequences processed</w:t>
            </w:r>
          </w:p>
        </w:tc>
        <w:tc>
          <w:tcPr>
            <w:tcW w:type="dxa" w:w="4680"/>
          </w:tcPr>
          <w:p>
            <w:r>
              <w:rPr>
                <w:rFonts w:ascii="Times New Roman" w:hAnsi="Times New Roman"/>
                <w:sz w:val="22"/>
              </w:rPr>
              <w:t>79,305</w:t>
            </w:r>
          </w:p>
        </w:tc>
      </w:tr>
      <w:tr>
        <w:tc>
          <w:tcPr>
            <w:tcW w:type="dxa" w:w="4680"/>
          </w:tcPr>
          <w:p>
            <w:r>
              <w:rPr>
                <w:rFonts w:ascii="Times New Roman" w:hAnsi="Times New Roman"/>
                <w:sz w:val="22"/>
              </w:rPr>
              <w:t>Total runtime</w:t>
            </w:r>
          </w:p>
        </w:tc>
        <w:tc>
          <w:tcPr>
            <w:tcW w:type="dxa" w:w="4680"/>
          </w:tcPr>
          <w:p>
            <w:r>
              <w:rPr>
                <w:rFonts w:ascii="Times New Roman" w:hAnsi="Times New Roman"/>
                <w:sz w:val="22"/>
              </w:rPr>
              <w:t>&lt; 30 minutes</w:t>
            </w:r>
          </w:p>
        </w:tc>
      </w:tr>
      <w:tr>
        <w:tc>
          <w:tcPr>
            <w:tcW w:type="dxa" w:w="4680"/>
          </w:tcPr>
          <w:p>
            <w:r>
              <w:rPr>
                <w:rFonts w:ascii="Times New Roman" w:hAnsi="Times New Roman"/>
                <w:sz w:val="22"/>
              </w:rPr>
              <w:t>Phase 1 (4-mer vectors, 71,249 seqs)</w:t>
            </w:r>
          </w:p>
        </w:tc>
        <w:tc>
          <w:tcPr>
            <w:tcW w:type="dxa" w:w="4680"/>
          </w:tcPr>
          <w:p>
            <w:r>
              <w:rPr>
                <w:rFonts w:ascii="Times New Roman" w:hAnsi="Times New Roman"/>
                <w:sz w:val="22"/>
              </w:rPr>
              <w:t>23.5 min (~52 seq/sec)</w:t>
            </w:r>
          </w:p>
        </w:tc>
      </w:tr>
      <w:tr>
        <w:tc>
          <w:tcPr>
            <w:tcW w:type="dxa" w:w="4680"/>
          </w:tcPr>
          <w:p>
            <w:r>
              <w:rPr>
                <w:rFonts w:ascii="Times New Roman" w:hAnsi="Times New Roman"/>
                <w:sz w:val="22"/>
              </w:rPr>
              <w:t>Phase 2 (KNN classification)</w:t>
            </w:r>
          </w:p>
        </w:tc>
        <w:tc>
          <w:tcPr>
            <w:tcW w:type="dxa" w:w="4680"/>
          </w:tcPr>
          <w:p>
            <w:r>
              <w:rPr>
                <w:rFonts w:ascii="Times New Roman" w:hAnsi="Times New Roman"/>
                <w:sz w:val="22"/>
              </w:rPr>
              <w:t>7 sec (~10,272 seq/sec)</w:t>
            </w:r>
          </w:p>
        </w:tc>
      </w:tr>
      <w:tr>
        <w:tc>
          <w:tcPr>
            <w:tcW w:type="dxa" w:w="4680"/>
          </w:tcPr>
          <w:p>
            <w:r>
              <w:rPr>
                <w:rFonts w:ascii="Times New Roman" w:hAnsi="Times New Roman"/>
                <w:sz w:val="22"/>
              </w:rPr>
              <w:t>Phase 3 (per-group clustering, 28 groups)</w:t>
            </w:r>
          </w:p>
        </w:tc>
        <w:tc>
          <w:tcPr>
            <w:tcW w:type="dxa" w:w="4680"/>
          </w:tcPr>
          <w:p>
            <w:r>
              <w:rPr>
                <w:rFonts w:ascii="Times New Roman" w:hAnsi="Times New Roman"/>
                <w:sz w:val="22"/>
              </w:rPr>
              <w:t>4.2 min</w:t>
            </w:r>
          </w:p>
        </w:tc>
      </w:tr>
      <w:tr>
        <w:tc>
          <w:tcPr>
            <w:tcW w:type="dxa" w:w="4680"/>
          </w:tcPr>
          <w:p>
            <w:r>
              <w:rPr>
                <w:rFonts w:ascii="Times New Roman" w:hAnsi="Times New Roman"/>
                <w:sz w:val="22"/>
              </w:rPr>
              <w:t>Phase 4 (output)</w:t>
            </w:r>
          </w:p>
        </w:tc>
        <w:tc>
          <w:tcPr>
            <w:tcW w:type="dxa" w:w="4680"/>
          </w:tcPr>
          <w:p>
            <w:r>
              <w:rPr>
                <w:rFonts w:ascii="Times New Roman" w:hAnsi="Times New Roman"/>
                <w:sz w:val="22"/>
              </w:rPr>
              <w:t>&lt; 1 sec</w:t>
            </w:r>
          </w:p>
        </w:tc>
      </w:tr>
      <w:tr>
        <w:tc>
          <w:tcPr>
            <w:tcW w:type="dxa" w:w="4680"/>
          </w:tcPr>
          <w:p>
            <w:r>
              <w:rPr>
                <w:rFonts w:ascii="Times New Roman" w:hAnsi="Times New Roman"/>
                <w:sz w:val="22"/>
              </w:rPr>
              <w:t>Maximum group memory (IncFII, 34,036 seqs)</w:t>
            </w:r>
          </w:p>
        </w:tc>
        <w:tc>
          <w:tcPr>
            <w:tcW w:type="dxa" w:w="4680"/>
          </w:tcPr>
          <w:p>
            <w:r>
              <w:rPr>
                <w:rFonts w:ascii="Times New Roman" w:hAnsi="Times New Roman"/>
                <w:sz w:val="22"/>
              </w:rPr>
              <w:t>**2.3 GB**</w:t>
            </w:r>
          </w:p>
        </w:tc>
      </w:tr>
      <w:tr>
        <w:tc>
          <w:tcPr>
            <w:tcW w:type="dxa" w:w="4680"/>
          </w:tcPr>
          <w:p>
            <w:r>
              <w:rPr>
                <w:rFonts w:ascii="Times New Roman" w:hAnsi="Times New Roman"/>
                <w:sz w:val="22"/>
              </w:rPr>
              <w:t>Global clustering memory (avoided)</w:t>
            </w:r>
          </w:p>
        </w:tc>
        <w:tc>
          <w:tcPr>
            <w:tcW w:type="dxa" w:w="4680"/>
          </w:tcPr>
          <w:p>
            <w:r>
              <w:rPr>
                <w:rFonts w:ascii="Times New Roman" w:hAnsi="Times New Roman"/>
                <w:sz w:val="22"/>
              </w:rPr>
              <w:t>~24 GB</w:t>
            </w:r>
          </w:p>
        </w:tc>
      </w:tr>
      <w:tr>
        <w:tc>
          <w:tcPr>
            <w:tcW w:type="dxa" w:w="4680"/>
          </w:tcPr>
          <w:p>
            <w:r>
              <w:rPr>
                <w:rFonts w:ascii="Times New Roman" w:hAnsi="Times New Roman"/>
                <w:sz w:val="22"/>
              </w:rPr>
              <w:t>Memory reduction factor</w:t>
            </w:r>
          </w:p>
        </w:tc>
        <w:tc>
          <w:tcPr>
            <w:tcW w:type="dxa" w:w="4680"/>
          </w:tcPr>
          <w:p>
            <w:r>
              <w:rPr>
                <w:rFonts w:ascii="Times New Roman" w:hAnsi="Times New Roman"/>
                <w:sz w:val="22"/>
              </w:rPr>
              <w:t>**10.4x**</w:t>
            </w:r>
          </w:p>
        </w:tc>
      </w:tr>
      <w:tr>
        <w:tc>
          <w:tcPr>
            <w:tcW w:type="dxa" w:w="4680"/>
          </w:tcPr>
          <w:p>
            <w:r>
              <w:rPr>
                <w:rFonts w:ascii="Times New Roman" w:hAnsi="Times New Roman"/>
                <w:sz w:val="22"/>
              </w:rPr>
              <w:t>Unique pLIN codes resolved</w:t>
            </w:r>
          </w:p>
        </w:tc>
        <w:tc>
          <w:tcPr>
            <w:tcW w:type="dxa" w:w="4680"/>
          </w:tcPr>
          <w:p>
            <w:r>
              <w:rPr>
                <w:rFonts w:ascii="Times New Roman" w:hAnsi="Times New Roman"/>
                <w:sz w:val="22"/>
              </w:rPr>
              <w:t>57,886</w:t>
            </w:r>
          </w:p>
        </w:tc>
      </w:tr>
      <w:tr>
        <w:tc>
          <w:tcPr>
            <w:tcW w:type="dxa" w:w="4680"/>
          </w:tcPr>
          <w:p>
            <w:r>
              <w:rPr>
                <w:rFonts w:ascii="Times New Roman" w:hAnsi="Times New Roman"/>
                <w:sz w:val="22"/>
              </w:rPr>
              <w:t>Fold increase over training only</w:t>
            </w:r>
          </w:p>
        </w:tc>
        <w:tc>
          <w:tcPr>
            <w:tcW w:type="dxa" w:w="4680"/>
          </w:tcPr>
          <w:p>
            <w:r>
              <w:rPr>
                <w:rFonts w:ascii="Times New Roman" w:hAnsi="Times New Roman"/>
                <w:sz w:val="22"/>
              </w:rPr>
              <w:t>13.5x</w:t>
            </w:r>
          </w:p>
        </w:tc>
      </w:tr>
    </w:tbl>
    <w:p/>
    <w:p>
      <w:pPr>
        <w:pStyle w:val="Heading2"/>
      </w:pPr>
      <w:r>
        <w:rPr>
          <w:rFonts w:ascii="Times New Roman" w:hAnsi="Times New Roman"/>
          <w:sz w:val="32"/>
        </w:rPr>
        <w:t>F. Outbreak cross-validation (74 plasmids, 27 published studies, 13 countries)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2F5496"/>
          </w:tcPr>
          <w:p>
            <w:pPr>
              <w:jc w:val="center"/>
            </w:pPr>
            <w:r>
              <w:rPr>
                <w:rFonts w:ascii="Times New Roman" w:hAnsi="Times New Roman"/>
                <w:b/>
                <w:color w:val="FFFFFF"/>
                <w:sz w:val="22"/>
              </w:rPr>
              <w:t>Validation criterion</w:t>
            </w:r>
          </w:p>
        </w:tc>
        <w:tc>
          <w:tcPr>
            <w:tcW w:type="dxa" w:w="4680"/>
            <w:shd w:val="clear" w:color="auto" w:fill="2F5496"/>
          </w:tcPr>
          <w:p>
            <w:pPr>
              <w:jc w:val="center"/>
            </w:pPr>
            <w:r>
              <w:rPr>
                <w:rFonts w:ascii="Times New Roman" w:hAnsi="Times New Roman"/>
                <w:b/>
                <w:color w:val="FFFFFF"/>
                <w:sz w:val="22"/>
              </w:rPr>
              <w:t>Result</w:t>
            </w:r>
          </w:p>
        </w:tc>
      </w:tr>
      <w:tr>
        <w:tc>
          <w:tcPr>
            <w:tcW w:type="dxa" w:w="4680"/>
          </w:tcPr>
          <w:p>
            <w:r>
              <w:rPr>
                <w:rFonts w:ascii="Times New Roman" w:hAnsi="Times New Roman"/>
                <w:sz w:val="22"/>
              </w:rPr>
              <w:t>Total outbreak plasmids tested</w:t>
            </w:r>
          </w:p>
        </w:tc>
        <w:tc>
          <w:tcPr>
            <w:tcW w:type="dxa" w:w="4680"/>
          </w:tcPr>
          <w:p>
            <w:r>
              <w:rPr>
                <w:rFonts w:ascii="Times New Roman" w:hAnsi="Times New Roman"/>
                <w:sz w:val="22"/>
              </w:rPr>
              <w:t>74</w:t>
            </w:r>
          </w:p>
        </w:tc>
      </w:tr>
      <w:tr>
        <w:tc>
          <w:tcPr>
            <w:tcW w:type="dxa" w:w="4680"/>
          </w:tcPr>
          <w:p>
            <w:r>
              <w:rPr>
                <w:rFonts w:ascii="Times New Roman" w:hAnsi="Times New Roman"/>
                <w:sz w:val="22"/>
              </w:rPr>
              <w:t>Independent published studies</w:t>
            </w:r>
          </w:p>
        </w:tc>
        <w:tc>
          <w:tcPr>
            <w:tcW w:type="dxa" w:w="4680"/>
          </w:tcPr>
          <w:p>
            <w:r>
              <w:rPr>
                <w:rFonts w:ascii="Times New Roman" w:hAnsi="Times New Roman"/>
                <w:sz w:val="22"/>
              </w:rPr>
              <w:t>27</w:t>
            </w:r>
          </w:p>
        </w:tc>
      </w:tr>
      <w:tr>
        <w:tc>
          <w:tcPr>
            <w:tcW w:type="dxa" w:w="4680"/>
          </w:tcPr>
          <w:p>
            <w:r>
              <w:rPr>
                <w:rFonts w:ascii="Times New Roman" w:hAnsi="Times New Roman"/>
                <w:sz w:val="22"/>
              </w:rPr>
              <w:t>Countries represented</w:t>
            </w:r>
          </w:p>
        </w:tc>
        <w:tc>
          <w:tcPr>
            <w:tcW w:type="dxa" w:w="4680"/>
          </w:tcPr>
          <w:p>
            <w:r>
              <w:rPr>
                <w:rFonts w:ascii="Times New Roman" w:hAnsi="Times New Roman"/>
                <w:sz w:val="22"/>
              </w:rPr>
              <w:t>13 (4 continents)</w:t>
            </w:r>
          </w:p>
        </w:tc>
      </w:tr>
      <w:tr>
        <w:tc>
          <w:tcPr>
            <w:tcW w:type="dxa" w:w="4680"/>
          </w:tcPr>
          <w:p>
            <w:r>
              <w:rPr>
                <w:rFonts w:ascii="Times New Roman" w:hAnsi="Times New Roman"/>
                <w:sz w:val="22"/>
              </w:rPr>
              <w:t>Resistance mechanisms tested</w:t>
            </w:r>
          </w:p>
        </w:tc>
        <w:tc>
          <w:tcPr>
            <w:tcW w:type="dxa" w:w="4680"/>
          </w:tcPr>
          <w:p>
            <w:r>
              <w:rPr>
                <w:rFonts w:ascii="Times New Roman" w:hAnsi="Times New Roman"/>
                <w:sz w:val="22"/>
              </w:rPr>
              <w:t>7 (KPC, NDM, OXA-48, VIM, IMP, mcr, CTX-M)</w:t>
            </w:r>
          </w:p>
        </w:tc>
      </w:tr>
      <w:tr>
        <w:tc>
          <w:tcPr>
            <w:tcW w:type="dxa" w:w="4680"/>
          </w:tcPr>
          <w:p>
            <w:r>
              <w:rPr>
                <w:rFonts w:ascii="Times New Roman" w:hAnsi="Times New Roman"/>
                <w:sz w:val="22"/>
              </w:rPr>
              <w:t>Unique pLIN codes assigned</w:t>
            </w:r>
          </w:p>
        </w:tc>
        <w:tc>
          <w:tcPr>
            <w:tcW w:type="dxa" w:w="4680"/>
          </w:tcPr>
          <w:p>
            <w:r>
              <w:rPr>
                <w:rFonts w:ascii="Times New Roman" w:hAnsi="Times New Roman"/>
                <w:sz w:val="22"/>
              </w:rPr>
              <w:t>42</w:t>
            </w:r>
          </w:p>
        </w:tc>
      </w:tr>
      <w:tr>
        <w:tc>
          <w:tcPr>
            <w:tcW w:type="dxa" w:w="4680"/>
          </w:tcPr>
          <w:p>
            <w:r>
              <w:rPr>
                <w:rFonts w:ascii="Times New Roman" w:hAnsi="Times New Roman"/>
                <w:sz w:val="22"/>
              </w:rPr>
              <w:t>High-confidence classifications (&gt;=60%)</w:t>
            </w:r>
          </w:p>
        </w:tc>
        <w:tc>
          <w:tcPr>
            <w:tcW w:type="dxa" w:w="4680"/>
          </w:tcPr>
          <w:p>
            <w:r>
              <w:rPr>
                <w:rFonts w:ascii="Times New Roman" w:hAnsi="Times New Roman"/>
                <w:sz w:val="22"/>
              </w:rPr>
              <w:t>63/74 (85.1%)</w:t>
            </w:r>
          </w:p>
        </w:tc>
      </w:tr>
      <w:tr>
        <w:tc>
          <w:tcPr>
            <w:tcW w:type="dxa" w:w="4680"/>
          </w:tcPr>
          <w:p>
            <w:r>
              <w:rPr>
                <w:rFonts w:ascii="Times New Roman" w:hAnsi="Times New Roman"/>
                <w:sz w:val="22"/>
              </w:rPr>
              <w:t>Known high-risk lineage matches</w:t>
            </w:r>
          </w:p>
        </w:tc>
        <w:tc>
          <w:tcPr>
            <w:tcW w:type="dxa" w:w="4680"/>
          </w:tcPr>
          <w:p>
            <w:r>
              <w:rPr>
                <w:rFonts w:ascii="Times New Roman" w:hAnsi="Times New Roman"/>
                <w:sz w:val="22"/>
              </w:rPr>
              <w:t>3 (pLIN 671 [KPC-2], pLIN 860 [MDR hub], pLIN 1688 [OXA-48])</w:t>
            </w:r>
          </w:p>
        </w:tc>
      </w:tr>
      <w:tr>
        <w:tc>
          <w:tcPr>
            <w:tcW w:type="dxa" w:w="4680"/>
          </w:tcPr>
          <w:p>
            <w:r>
              <w:rPr>
                <w:rFonts w:ascii="Times New Roman" w:hAnsi="Times New Roman"/>
                <w:sz w:val="22"/>
              </w:rPr>
              <w:t>Intra-study outbreak clusters</w:t>
            </w:r>
          </w:p>
        </w:tc>
        <w:tc>
          <w:tcPr>
            <w:tcW w:type="dxa" w:w="4680"/>
          </w:tcPr>
          <w:p>
            <w:r>
              <w:rPr>
                <w:rFonts w:ascii="Times New Roman" w:hAnsi="Times New Roman"/>
                <w:sz w:val="22"/>
              </w:rPr>
              <w:t>9</w:t>
            </w:r>
          </w:p>
        </w:tc>
      </w:tr>
      <w:tr>
        <w:tc>
          <w:tcPr>
            <w:tcW w:type="dxa" w:w="4680"/>
          </w:tcPr>
          <w:p>
            <w:r>
              <w:rPr>
                <w:rFonts w:ascii="Times New Roman" w:hAnsi="Times New Roman"/>
                <w:sz w:val="22"/>
              </w:rPr>
              <w:t>Cross-continent code matches</w:t>
            </w:r>
          </w:p>
        </w:tc>
        <w:tc>
          <w:tcPr>
            <w:tcW w:type="dxa" w:w="4680"/>
          </w:tcPr>
          <w:p>
            <w:r>
              <w:rPr>
                <w:rFonts w:ascii="Times New Roman" w:hAnsi="Times New Roman"/>
                <w:sz w:val="22"/>
              </w:rPr>
              <w:t>Yes (OXA-48: 3 countries; mcr-1: 3 countries)</w:t>
            </w:r>
          </w:p>
        </w:tc>
      </w:tr>
      <w:tr>
        <w:tc>
          <w:tcPr>
            <w:tcW w:type="dxa" w:w="4680"/>
          </w:tcPr>
          <w:p>
            <w:r>
              <w:rPr>
                <w:rFonts w:ascii="Times New Roman" w:hAnsi="Times New Roman"/>
                <w:sz w:val="22"/>
              </w:rPr>
              <w:t>Mean nearest-neighbour distance</w:t>
            </w:r>
          </w:p>
        </w:tc>
        <w:tc>
          <w:tcPr>
            <w:tcW w:type="dxa" w:w="4680"/>
          </w:tcPr>
          <w:p>
            <w:r>
              <w:rPr>
                <w:rFonts w:ascii="Times New Roman" w:hAnsi="Times New Roman"/>
                <w:sz w:val="22"/>
              </w:rPr>
              <w:t>0.0062</w:t>
            </w:r>
          </w:p>
        </w:tc>
      </w:tr>
    </w:tbl>
    <w:p/>
    <w:p>
      <w:pPr>
        <w:pStyle w:val="Heading3"/>
      </w:pPr>
      <w:r>
        <w:rPr>
          <w:rFonts w:ascii="Times New Roman" w:hAnsi="Times New Roman"/>
          <w:sz w:val="28"/>
        </w:rPr>
        <w:t>Individual study results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F5496"/>
          </w:tcPr>
          <w:p>
            <w:pPr>
              <w:jc w:val="center"/>
            </w:pPr>
            <w:r>
              <w:rPr>
                <w:rFonts w:ascii="Times New Roman" w:hAnsi="Times New Roman"/>
                <w:b/>
                <w:color w:val="FFFFFF"/>
                <w:sz w:val="22"/>
              </w:rPr>
              <w:t>Study</w:t>
            </w:r>
          </w:p>
        </w:tc>
        <w:tc>
          <w:tcPr>
            <w:tcW w:type="dxa" w:w="1337"/>
            <w:shd w:val="clear" w:color="auto" w:fill="2F5496"/>
          </w:tcPr>
          <w:p>
            <w:pPr>
              <w:jc w:val="center"/>
            </w:pPr>
            <w:r>
              <w:rPr>
                <w:rFonts w:ascii="Times New Roman" w:hAnsi="Times New Roman"/>
                <w:b/>
                <w:color w:val="FFFFFF"/>
                <w:sz w:val="22"/>
              </w:rPr>
              <w:t>Accession</w:t>
            </w:r>
          </w:p>
        </w:tc>
        <w:tc>
          <w:tcPr>
            <w:tcW w:type="dxa" w:w="1337"/>
            <w:shd w:val="clear" w:color="auto" w:fill="2F5496"/>
          </w:tcPr>
          <w:p>
            <w:pPr>
              <w:jc w:val="center"/>
            </w:pPr>
            <w:r>
              <w:rPr>
                <w:rFonts w:ascii="Times New Roman" w:hAnsi="Times New Roman"/>
                <w:b/>
                <w:color w:val="FFFFFF"/>
                <w:sz w:val="22"/>
              </w:rPr>
              <w:t>Assigned pLIN</w:t>
            </w:r>
          </w:p>
        </w:tc>
        <w:tc>
          <w:tcPr>
            <w:tcW w:type="dxa" w:w="1337"/>
            <w:shd w:val="clear" w:color="auto" w:fill="2F5496"/>
          </w:tcPr>
          <w:p>
            <w:pPr>
              <w:jc w:val="center"/>
            </w:pPr>
            <w:r>
              <w:rPr>
                <w:rFonts w:ascii="Times New Roman" w:hAnsi="Times New Roman"/>
                <w:b/>
                <w:color w:val="FFFFFF"/>
                <w:sz w:val="22"/>
              </w:rPr>
              <w:t>Inc type</w:t>
            </w:r>
          </w:p>
        </w:tc>
        <w:tc>
          <w:tcPr>
            <w:tcW w:type="dxa" w:w="1337"/>
            <w:shd w:val="clear" w:color="auto" w:fill="2F5496"/>
          </w:tcPr>
          <w:p>
            <w:pPr>
              <w:jc w:val="center"/>
            </w:pPr>
            <w:r>
              <w:rPr>
                <w:rFonts w:ascii="Times New Roman" w:hAnsi="Times New Roman"/>
                <w:b/>
                <w:color w:val="FFFFFF"/>
                <w:sz w:val="22"/>
              </w:rPr>
              <w:t>Confidence</w:t>
            </w:r>
          </w:p>
        </w:tc>
        <w:tc>
          <w:tcPr>
            <w:tcW w:type="dxa" w:w="1337"/>
            <w:shd w:val="clear" w:color="auto" w:fill="2F5496"/>
          </w:tcPr>
          <w:p>
            <w:pPr>
              <w:jc w:val="center"/>
            </w:pPr>
            <w:r>
              <w:rPr>
                <w:rFonts w:ascii="Times New Roman" w:hAnsi="Times New Roman"/>
                <w:b/>
                <w:color w:val="FFFFFF"/>
                <w:sz w:val="22"/>
              </w:rPr>
              <w:t>NN distance</w:t>
            </w:r>
          </w:p>
        </w:tc>
        <w:tc>
          <w:tcPr>
            <w:tcW w:type="dxa" w:w="1337"/>
            <w:shd w:val="clear" w:color="auto" w:fill="2F5496"/>
          </w:tcPr>
          <w:p>
            <w:pPr>
              <w:jc w:val="center"/>
            </w:pPr>
            <w:r>
              <w:rPr>
                <w:rFonts w:ascii="Times New Roman" w:hAnsi="Times New Roman"/>
                <w:b/>
                <w:color w:val="FFFFFF"/>
                <w:sz w:val="22"/>
              </w:rPr>
              <w:t>Match</w:t>
            </w:r>
          </w:p>
        </w:tc>
      </w:tr>
      <w:tr>
        <w:tc>
          <w:tcPr>
            <w:tcW w:type="dxa" w:w="1337"/>
          </w:tcPr>
          <w:p>
            <w:r>
              <w:rPr>
                <w:rFonts w:ascii="Times New Roman" w:hAnsi="Times New Roman"/>
                <w:sz w:val="22"/>
              </w:rPr>
              <w:t>Yao 2023 [17]</w:t>
            </w:r>
          </w:p>
        </w:tc>
        <w:tc>
          <w:tcPr>
            <w:tcW w:type="dxa" w:w="1337"/>
          </w:tcPr>
          <w:p>
            <w:r>
              <w:rPr>
                <w:rFonts w:ascii="Times New Roman" w:hAnsi="Times New Roman"/>
                <w:sz w:val="22"/>
              </w:rPr>
              <w:t>CP104944</w:t>
            </w:r>
          </w:p>
        </w:tc>
        <w:tc>
          <w:tcPr>
            <w:tcW w:type="dxa" w:w="1337"/>
          </w:tcPr>
          <w:p>
            <w:r>
              <w:rPr>
                <w:rFonts w:ascii="Times New Roman" w:hAnsi="Times New Roman"/>
                <w:sz w:val="22"/>
              </w:rPr>
              <w:t>1.1.2.15.48.671</w:t>
            </w:r>
          </w:p>
        </w:tc>
        <w:tc>
          <w:tcPr>
            <w:tcW w:type="dxa" w:w="1337"/>
          </w:tcPr>
          <w:p>
            <w:r>
              <w:rPr>
                <w:rFonts w:ascii="Times New Roman" w:hAnsi="Times New Roman"/>
                <w:sz w:val="22"/>
              </w:rPr>
              <w:t>IncN</w:t>
            </w:r>
          </w:p>
        </w:tc>
        <w:tc>
          <w:tcPr>
            <w:tcW w:type="dxa" w:w="1337"/>
          </w:tcPr>
          <w:p>
            <w:r>
              <w:rPr>
                <w:rFonts w:ascii="Times New Roman" w:hAnsi="Times New Roman"/>
                <w:sz w:val="22"/>
              </w:rPr>
              <w:t>100%</w:t>
            </w:r>
          </w:p>
        </w:tc>
        <w:tc>
          <w:tcPr>
            <w:tcW w:type="dxa" w:w="1337"/>
          </w:tcPr>
          <w:p>
            <w:r>
              <w:rPr>
                <w:rFonts w:ascii="Times New Roman" w:hAnsi="Times New Roman"/>
                <w:sz w:val="22"/>
              </w:rPr>
              <w:t>0.0000</w:t>
            </w:r>
          </w:p>
        </w:tc>
        <w:tc>
          <w:tcPr>
            <w:tcW w:type="dxa" w:w="1337"/>
          </w:tcPr>
          <w:p>
            <w:r>
              <w:rPr>
                <w:rFonts w:ascii="Times New Roman" w:hAnsi="Times New Roman"/>
                <w:sz w:val="22"/>
              </w:rPr>
              <w:t>Known KPC-2 lineage</w:t>
            </w:r>
          </w:p>
        </w:tc>
      </w:tr>
      <w:tr>
        <w:tc>
          <w:tcPr>
            <w:tcW w:type="dxa" w:w="1337"/>
          </w:tcPr>
          <w:p>
            <w:r>
              <w:rPr>
                <w:rFonts w:ascii="Times New Roman" w:hAnsi="Times New Roman"/>
                <w:sz w:val="22"/>
              </w:rPr>
              <w:t>Weber 2019 [18]</w:t>
            </w:r>
          </w:p>
        </w:tc>
        <w:tc>
          <w:tcPr>
            <w:tcW w:type="dxa" w:w="1337"/>
          </w:tcPr>
          <w:p>
            <w:r>
              <w:rPr>
                <w:rFonts w:ascii="Times New Roman" w:hAnsi="Times New Roman"/>
                <w:sz w:val="22"/>
              </w:rPr>
              <w:t>12 plasmids</w:t>
            </w:r>
          </w:p>
        </w:tc>
        <w:tc>
          <w:tcPr>
            <w:tcW w:type="dxa" w:w="1337"/>
          </w:tcPr>
          <w:p>
            <w:r>
              <w:rPr>
                <w:rFonts w:ascii="Times New Roman" w:hAnsi="Times New Roman"/>
                <w:sz w:val="22"/>
              </w:rPr>
              <w:t>9 unique L6, 1 L3 cluster</w:t>
            </w:r>
          </w:p>
        </w:tc>
        <w:tc>
          <w:tcPr>
            <w:tcW w:type="dxa" w:w="1337"/>
          </w:tcPr>
          <w:p>
            <w:r>
              <w:rPr>
                <w:rFonts w:ascii="Times New Roman" w:hAnsi="Times New Roman"/>
                <w:sz w:val="22"/>
              </w:rPr>
              <w:t>IncN/IncAC2/IncC/IncFII</w:t>
            </w:r>
          </w:p>
        </w:tc>
        <w:tc>
          <w:tcPr>
            <w:tcW w:type="dxa" w:w="1337"/>
          </w:tcPr>
          <w:p>
            <w:r>
              <w:rPr>
                <w:rFonts w:ascii="Times New Roman" w:hAnsi="Times New Roman"/>
                <w:sz w:val="22"/>
              </w:rPr>
              <w:t>41--100%</w:t>
            </w:r>
          </w:p>
        </w:tc>
        <w:tc>
          <w:tcPr>
            <w:tcW w:type="dxa" w:w="1337"/>
          </w:tcPr>
          <w:p>
            <w:r>
              <w:rPr>
                <w:rFonts w:ascii="Times New Roman" w:hAnsi="Times New Roman"/>
                <w:sz w:val="22"/>
              </w:rPr>
              <w:t>0.0000--0.0039</w:t>
            </w:r>
          </w:p>
        </w:tc>
        <w:tc>
          <w:tcPr>
            <w:tcW w:type="dxa" w:w="1337"/>
          </w:tcPr>
          <w:p>
            <w:r>
              <w:rPr>
                <w:rFonts w:ascii="Times New Roman" w:hAnsi="Times New Roman"/>
                <w:sz w:val="22"/>
              </w:rPr>
              <w:t>Correct hierarchical grouping</w:t>
            </w:r>
          </w:p>
        </w:tc>
      </w:tr>
      <w:tr>
        <w:tc>
          <w:tcPr>
            <w:tcW w:type="dxa" w:w="1337"/>
          </w:tcPr>
          <w:p>
            <w:r>
              <w:rPr>
                <w:rFonts w:ascii="Times New Roman" w:hAnsi="Times New Roman"/>
                <w:sz w:val="22"/>
              </w:rPr>
              <w:t>Marimuthu 2022 [19]</w:t>
            </w:r>
          </w:p>
        </w:tc>
        <w:tc>
          <w:tcPr>
            <w:tcW w:type="dxa" w:w="1337"/>
          </w:tcPr>
          <w:p>
            <w:r>
              <w:rPr>
                <w:rFonts w:ascii="Times New Roman" w:hAnsi="Times New Roman"/>
                <w:sz w:val="22"/>
              </w:rPr>
              <w:t>MN542377</w:t>
            </w:r>
          </w:p>
        </w:tc>
        <w:tc>
          <w:tcPr>
            <w:tcW w:type="dxa" w:w="1337"/>
          </w:tcPr>
          <w:p>
            <w:r>
              <w:rPr>
                <w:rFonts w:ascii="Times New Roman" w:hAnsi="Times New Roman"/>
                <w:sz w:val="22"/>
              </w:rPr>
              <w:t>1.1.2.15.48.2455</w:t>
            </w:r>
          </w:p>
        </w:tc>
        <w:tc>
          <w:tcPr>
            <w:tcW w:type="dxa" w:w="1337"/>
          </w:tcPr>
          <w:p>
            <w:r>
              <w:rPr>
                <w:rFonts w:ascii="Times New Roman" w:hAnsi="Times New Roman"/>
                <w:sz w:val="22"/>
              </w:rPr>
              <w:t>IncN</w:t>
            </w:r>
          </w:p>
        </w:tc>
        <w:tc>
          <w:tcPr>
            <w:tcW w:type="dxa" w:w="1337"/>
          </w:tcPr>
          <w:p>
            <w:r>
              <w:rPr>
                <w:rFonts w:ascii="Times New Roman" w:hAnsi="Times New Roman"/>
                <w:sz w:val="22"/>
              </w:rPr>
              <w:t>60.9%</w:t>
            </w:r>
          </w:p>
        </w:tc>
        <w:tc>
          <w:tcPr>
            <w:tcW w:type="dxa" w:w="1337"/>
          </w:tcPr>
          <w:p>
            <w:r>
              <w:rPr>
                <w:rFonts w:ascii="Times New Roman" w:hAnsi="Times New Roman"/>
                <w:sz w:val="22"/>
              </w:rPr>
              <w:t>0.0058</w:t>
            </w:r>
          </w:p>
        </w:tc>
        <w:tc>
          <w:tcPr>
            <w:tcW w:type="dxa" w:w="1337"/>
          </w:tcPr>
          <w:p>
            <w:r>
              <w:rPr>
                <w:rFonts w:ascii="Times New Roman" w:hAnsi="Times New Roman"/>
                <w:sz w:val="22"/>
              </w:rPr>
              <w:t>Novel variant, correct neighbourhood</w:t>
            </w:r>
          </w:p>
        </w:tc>
      </w:tr>
      <w:tr>
        <w:tc>
          <w:tcPr>
            <w:tcW w:type="dxa" w:w="1337"/>
          </w:tcPr>
          <w:p>
            <w:r>
              <w:rPr>
                <w:rFonts w:ascii="Times New Roman" w:hAnsi="Times New Roman"/>
                <w:sz w:val="22"/>
              </w:rPr>
              <w:t>Roberts 2020 [20]</w:t>
            </w:r>
          </w:p>
        </w:tc>
        <w:tc>
          <w:tcPr>
            <w:tcW w:type="dxa" w:w="1337"/>
          </w:tcPr>
          <w:p>
            <w:r>
              <w:rPr>
                <w:rFonts w:ascii="Times New Roman" w:hAnsi="Times New Roman"/>
                <w:sz w:val="22"/>
              </w:rPr>
              <w:t>CP022533</w:t>
            </w:r>
          </w:p>
        </w:tc>
        <w:tc>
          <w:tcPr>
            <w:tcW w:type="dxa" w:w="1337"/>
          </w:tcPr>
          <w:p>
            <w:r>
              <w:rPr>
                <w:rFonts w:ascii="Times New Roman" w:hAnsi="Times New Roman"/>
                <w:sz w:val="22"/>
              </w:rPr>
              <w:t>1.1.2.15.48.860</w:t>
            </w:r>
          </w:p>
        </w:tc>
        <w:tc>
          <w:tcPr>
            <w:tcW w:type="dxa" w:w="1337"/>
          </w:tcPr>
          <w:p>
            <w:r>
              <w:rPr>
                <w:rFonts w:ascii="Times New Roman" w:hAnsi="Times New Roman"/>
                <w:sz w:val="22"/>
              </w:rPr>
              <w:t>IncHI2</w:t>
            </w:r>
          </w:p>
        </w:tc>
        <w:tc>
          <w:tcPr>
            <w:tcW w:type="dxa" w:w="1337"/>
          </w:tcPr>
          <w:p>
            <w:r>
              <w:rPr>
                <w:rFonts w:ascii="Times New Roman" w:hAnsi="Times New Roman"/>
                <w:sz w:val="22"/>
              </w:rPr>
              <w:t>100%</w:t>
            </w:r>
          </w:p>
        </w:tc>
        <w:tc>
          <w:tcPr>
            <w:tcW w:type="dxa" w:w="1337"/>
          </w:tcPr>
          <w:p>
            <w:r>
              <w:rPr>
                <w:rFonts w:ascii="Times New Roman" w:hAnsi="Times New Roman"/>
                <w:sz w:val="22"/>
              </w:rPr>
              <w:t>0.0004</w:t>
            </w:r>
          </w:p>
        </w:tc>
        <w:tc>
          <w:tcPr>
            <w:tcW w:type="dxa" w:w="1337"/>
          </w:tcPr>
          <w:p>
            <w:r>
              <w:rPr>
                <w:rFonts w:ascii="Times New Roman" w:hAnsi="Times New Roman"/>
                <w:sz w:val="22"/>
              </w:rPr>
              <w:t>Known MDR hub lineage</w:t>
            </w:r>
          </w:p>
        </w:tc>
      </w:tr>
    </w:tbl>
    <w:p/>
    <w:p>
      <w:pPr>
        <w:pStyle w:val="Heading2"/>
      </w:pPr>
      <w:r>
        <w:rPr>
          <w:rFonts w:ascii="Times New Roman" w:hAnsi="Times New Roman"/>
          <w:sz w:val="32"/>
        </w:rPr>
        <w:t>G. AMR integration summary (AMRFinderPlus v4.2.5, n = 6,998 Gram-negative plasmids, 20 Inc groups)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2F5496"/>
          </w:tcPr>
          <w:p>
            <w:pPr>
              <w:jc w:val="center"/>
            </w:pPr>
            <w:r>
              <w:rPr>
                <w:rFonts w:ascii="Times New Roman" w:hAnsi="Times New Roman"/>
                <w:b/>
                <w:color w:val="FFFFFF"/>
                <w:sz w:val="22"/>
              </w:rPr>
              <w:t>Metric</w:t>
            </w:r>
          </w:p>
        </w:tc>
        <w:tc>
          <w:tcPr>
            <w:tcW w:type="dxa" w:w="4680"/>
            <w:shd w:val="clear" w:color="auto" w:fill="2F5496"/>
          </w:tcPr>
          <w:p>
            <w:pPr>
              <w:jc w:val="center"/>
            </w:pPr>
            <w:r>
              <w:rPr>
                <w:rFonts w:ascii="Times New Roman" w:hAnsi="Times New Roman"/>
                <w:b/>
                <w:color w:val="FFFFFF"/>
                <w:sz w:val="22"/>
              </w:rPr>
              <w:t>Value</w:t>
            </w:r>
          </w:p>
        </w:tc>
      </w:tr>
      <w:tr>
        <w:tc>
          <w:tcPr>
            <w:tcW w:type="dxa" w:w="4680"/>
          </w:tcPr>
          <w:p>
            <w:r>
              <w:rPr>
                <w:rFonts w:ascii="Times New Roman" w:hAnsi="Times New Roman"/>
                <w:sz w:val="22"/>
              </w:rPr>
              <w:t>Total gene detections</w:t>
            </w:r>
          </w:p>
        </w:tc>
        <w:tc>
          <w:tcPr>
            <w:tcW w:type="dxa" w:w="4680"/>
          </w:tcPr>
          <w:p>
            <w:r>
              <w:rPr>
                <w:rFonts w:ascii="Times New Roman" w:hAnsi="Times New Roman"/>
                <w:sz w:val="22"/>
              </w:rPr>
              <w:t>64,891</w:t>
            </w:r>
          </w:p>
        </w:tc>
      </w:tr>
      <w:tr>
        <w:tc>
          <w:tcPr>
            <w:tcW w:type="dxa" w:w="4680"/>
          </w:tcPr>
          <w:p>
            <w:r>
              <w:rPr>
                <w:rFonts w:ascii="Times New Roman" w:hAnsi="Times New Roman"/>
                <w:sz w:val="22"/>
              </w:rPr>
              <w:t>AMR gene detections</w:t>
            </w:r>
          </w:p>
        </w:tc>
        <w:tc>
          <w:tcPr>
            <w:tcW w:type="dxa" w:w="4680"/>
          </w:tcPr>
          <w:p>
            <w:r>
              <w:rPr>
                <w:rFonts w:ascii="Times New Roman" w:hAnsi="Times New Roman"/>
                <w:sz w:val="22"/>
              </w:rPr>
              <w:t>29,583</w:t>
            </w:r>
          </w:p>
        </w:tc>
      </w:tr>
      <w:tr>
        <w:tc>
          <w:tcPr>
            <w:tcW w:type="dxa" w:w="4680"/>
          </w:tcPr>
          <w:p>
            <w:r>
              <w:rPr>
                <w:rFonts w:ascii="Times New Roman" w:hAnsi="Times New Roman"/>
                <w:sz w:val="22"/>
              </w:rPr>
              <w:t>Virulence factor detections</w:t>
            </w:r>
          </w:p>
        </w:tc>
        <w:tc>
          <w:tcPr>
            <w:tcW w:type="dxa" w:w="4680"/>
          </w:tcPr>
          <w:p>
            <w:r>
              <w:rPr>
                <w:rFonts w:ascii="Times New Roman" w:hAnsi="Times New Roman"/>
                <w:sz w:val="22"/>
              </w:rPr>
              <w:t>6,286</w:t>
            </w:r>
          </w:p>
        </w:tc>
      </w:tr>
      <w:tr>
        <w:tc>
          <w:tcPr>
            <w:tcW w:type="dxa" w:w="4680"/>
          </w:tcPr>
          <w:p>
            <w:r>
              <w:rPr>
                <w:rFonts w:ascii="Times New Roman" w:hAnsi="Times New Roman"/>
                <w:sz w:val="22"/>
              </w:rPr>
              <w:t>Stress response detections</w:t>
            </w:r>
          </w:p>
        </w:tc>
        <w:tc>
          <w:tcPr>
            <w:tcW w:type="dxa" w:w="4680"/>
          </w:tcPr>
          <w:p>
            <w:r>
              <w:rPr>
                <w:rFonts w:ascii="Times New Roman" w:hAnsi="Times New Roman"/>
                <w:sz w:val="22"/>
              </w:rPr>
              <w:t>29,022</w:t>
            </w:r>
          </w:p>
        </w:tc>
      </w:tr>
      <w:tr>
        <w:tc>
          <w:tcPr>
            <w:tcW w:type="dxa" w:w="4680"/>
          </w:tcPr>
          <w:p>
            <w:r>
              <w:rPr>
                <w:rFonts w:ascii="Times New Roman" w:hAnsi="Times New Roman"/>
                <w:sz w:val="22"/>
              </w:rPr>
              <w:t>Plasmids with any hit</w:t>
            </w:r>
          </w:p>
        </w:tc>
        <w:tc>
          <w:tcPr>
            <w:tcW w:type="dxa" w:w="4680"/>
          </w:tcPr>
          <w:p>
            <w:r>
              <w:rPr>
                <w:rFonts w:ascii="Times New Roman" w:hAnsi="Times New Roman"/>
                <w:sz w:val="22"/>
              </w:rPr>
              <w:t>5,816 / 6,998 (83.1%)</w:t>
            </w:r>
          </w:p>
        </w:tc>
      </w:tr>
      <w:tr>
        <w:tc>
          <w:tcPr>
            <w:tcW w:type="dxa" w:w="4680"/>
          </w:tcPr>
          <w:p>
            <w:r>
              <w:rPr>
                <w:rFonts w:ascii="Times New Roman" w:hAnsi="Times New Roman"/>
                <w:sz w:val="22"/>
              </w:rPr>
              <w:t>Plasmids with AMR genes</w:t>
            </w:r>
          </w:p>
        </w:tc>
        <w:tc>
          <w:tcPr>
            <w:tcW w:type="dxa" w:w="4680"/>
          </w:tcPr>
          <w:p>
            <w:r>
              <w:rPr>
                <w:rFonts w:ascii="Times New Roman" w:hAnsi="Times New Roman"/>
                <w:sz w:val="22"/>
              </w:rPr>
              <w:t>4,657 / 6,998 (66.5%)</w:t>
            </w:r>
          </w:p>
        </w:tc>
      </w:tr>
      <w:tr>
        <w:tc>
          <w:tcPr>
            <w:tcW w:type="dxa" w:w="4680"/>
          </w:tcPr>
          <w:p>
            <w:r>
              <w:rPr>
                <w:rFonts w:ascii="Times New Roman" w:hAnsi="Times New Roman"/>
                <w:sz w:val="22"/>
              </w:rPr>
              <w:t>Carbapenemase detections</w:t>
            </w:r>
          </w:p>
        </w:tc>
        <w:tc>
          <w:tcPr>
            <w:tcW w:type="dxa" w:w="4680"/>
          </w:tcPr>
          <w:p>
            <w:r>
              <w:rPr>
                <w:rFonts w:ascii="Times New Roman" w:hAnsi="Times New Roman"/>
                <w:sz w:val="22"/>
              </w:rPr>
              <w:t>1,635</w:t>
            </w:r>
          </w:p>
        </w:tc>
      </w:tr>
      <w:tr>
        <w:tc>
          <w:tcPr>
            <w:tcW w:type="dxa" w:w="4680"/>
          </w:tcPr>
          <w:p>
            <w:r>
              <w:rPr>
                <w:rFonts w:ascii="Times New Roman" w:hAnsi="Times New Roman"/>
                <w:sz w:val="22"/>
              </w:rPr>
              <w:t>ESBL detections</w:t>
            </w:r>
          </w:p>
        </w:tc>
        <w:tc>
          <w:tcPr>
            <w:tcW w:type="dxa" w:w="4680"/>
          </w:tcPr>
          <w:p>
            <w:r>
              <w:rPr>
                <w:rFonts w:ascii="Times New Roman" w:hAnsi="Times New Roman"/>
                <w:sz w:val="22"/>
              </w:rPr>
              <w:t>1,804</w:t>
            </w:r>
          </w:p>
        </w:tc>
      </w:tr>
      <w:tr>
        <w:tc>
          <w:tcPr>
            <w:tcW w:type="dxa" w:w="4680"/>
          </w:tcPr>
          <w:p>
            <w:r>
              <w:rPr>
                <w:rFonts w:ascii="Times New Roman" w:hAnsi="Times New Roman"/>
                <w:sz w:val="22"/>
              </w:rPr>
              <w:t>Colistin resistance (mcr) detections</w:t>
            </w:r>
          </w:p>
        </w:tc>
        <w:tc>
          <w:tcPr>
            <w:tcW w:type="dxa" w:w="4680"/>
          </w:tcPr>
          <w:p>
            <w:r>
              <w:rPr>
                <w:rFonts w:ascii="Times New Roman" w:hAnsi="Times New Roman"/>
                <w:sz w:val="22"/>
              </w:rPr>
              <w:t>204</w:t>
            </w:r>
          </w:p>
        </w:tc>
      </w:tr>
      <w:tr>
        <w:tc>
          <w:tcPr>
            <w:tcW w:type="dxa" w:w="4680"/>
          </w:tcPr>
          <w:p>
            <w:r>
              <w:rPr>
                <w:rFonts w:ascii="Times New Roman" w:hAnsi="Times New Roman"/>
                <w:sz w:val="22"/>
              </w:rPr>
              <w:t>PMQR detections</w:t>
            </w:r>
          </w:p>
        </w:tc>
        <w:tc>
          <w:tcPr>
            <w:tcW w:type="dxa" w:w="4680"/>
          </w:tcPr>
          <w:p>
            <w:r>
              <w:rPr>
                <w:rFonts w:ascii="Times New Roman" w:hAnsi="Times New Roman"/>
                <w:sz w:val="22"/>
              </w:rPr>
              <w:t>2,315</w:t>
            </w:r>
          </w:p>
        </w:tc>
      </w:tr>
    </w:tbl>
    <w:p/>
    <w:p>
      <w:pPr>
        <w:pStyle w:val="Heading3"/>
      </w:pPr>
      <w:r>
        <w:rPr>
          <w:rFonts w:ascii="Times New Roman" w:hAnsi="Times New Roman"/>
          <w:sz w:val="28"/>
        </w:rPr>
        <w:t>High-risk pLIN lineages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F5496"/>
          </w:tcPr>
          <w:p>
            <w:pPr>
              <w:jc w:val="center"/>
            </w:pPr>
            <w:r>
              <w:rPr>
                <w:rFonts w:ascii="Times New Roman" w:hAnsi="Times New Roman"/>
                <w:b/>
                <w:color w:val="FFFFFF"/>
                <w:sz w:val="22"/>
              </w:rPr>
              <w:t>pLIN code</w:t>
            </w:r>
          </w:p>
        </w:tc>
        <w:tc>
          <w:tcPr>
            <w:tcW w:type="dxa" w:w="1872"/>
            <w:shd w:val="clear" w:color="auto" w:fill="2F5496"/>
          </w:tcPr>
          <w:p>
            <w:pPr>
              <w:jc w:val="center"/>
            </w:pPr>
            <w:r>
              <w:rPr>
                <w:rFonts w:ascii="Times New Roman" w:hAnsi="Times New Roman"/>
                <w:b/>
                <w:color w:val="FFFFFF"/>
                <w:sz w:val="22"/>
              </w:rPr>
              <w:t>Inc type(s)</w:t>
            </w:r>
          </w:p>
        </w:tc>
        <w:tc>
          <w:tcPr>
            <w:tcW w:type="dxa" w:w="1872"/>
            <w:shd w:val="clear" w:color="auto" w:fill="2F5496"/>
          </w:tcPr>
          <w:p>
            <w:pPr>
              <w:jc w:val="center"/>
            </w:pPr>
            <w:r>
              <w:rPr>
                <w:rFonts w:ascii="Times New Roman" w:hAnsi="Times New Roman"/>
                <w:b/>
                <w:color w:val="FFFFFF"/>
                <w:sz w:val="22"/>
              </w:rPr>
              <w:t>n</w:t>
            </w:r>
          </w:p>
        </w:tc>
        <w:tc>
          <w:tcPr>
            <w:tcW w:type="dxa" w:w="1872"/>
            <w:shd w:val="clear" w:color="auto" w:fill="2F5496"/>
          </w:tcPr>
          <w:p>
            <w:pPr>
              <w:jc w:val="center"/>
            </w:pPr>
            <w:r>
              <w:rPr>
                <w:rFonts w:ascii="Times New Roman" w:hAnsi="Times New Roman"/>
                <w:b/>
                <w:color w:val="FFFFFF"/>
                <w:sz w:val="22"/>
              </w:rPr>
              <w:t>Mean AMR genes</w:t>
            </w:r>
          </w:p>
        </w:tc>
        <w:tc>
          <w:tcPr>
            <w:tcW w:type="dxa" w:w="1872"/>
            <w:shd w:val="clear" w:color="auto" w:fill="2F5496"/>
          </w:tcPr>
          <w:p>
            <w:pPr>
              <w:jc w:val="center"/>
            </w:pPr>
            <w:r>
              <w:rPr>
                <w:rFonts w:ascii="Times New Roman" w:hAnsi="Times New Roman"/>
                <w:b/>
                <w:color w:val="FFFFFF"/>
                <w:sz w:val="22"/>
              </w:rPr>
              <w:t>Key determinants</w:t>
            </w:r>
          </w:p>
        </w:tc>
      </w:tr>
      <w:tr>
        <w:tc>
          <w:tcPr>
            <w:tcW w:type="dxa" w:w="1872"/>
          </w:tcPr>
          <w:p>
            <w:r>
              <w:rPr>
                <w:rFonts w:ascii="Times New Roman" w:hAnsi="Times New Roman"/>
                <w:sz w:val="22"/>
              </w:rPr>
              <w:t>671</w:t>
            </w:r>
          </w:p>
        </w:tc>
        <w:tc>
          <w:tcPr>
            <w:tcW w:type="dxa" w:w="1872"/>
          </w:tcPr>
          <w:p>
            <w:r>
              <w:rPr>
                <w:rFonts w:ascii="Times New Roman" w:hAnsi="Times New Roman"/>
                <w:sz w:val="22"/>
              </w:rPr>
              <w:t>IncN</w:t>
            </w:r>
          </w:p>
        </w:tc>
        <w:tc>
          <w:tcPr>
            <w:tcW w:type="dxa" w:w="1872"/>
          </w:tcPr>
          <w:p>
            <w:r>
              <w:rPr>
                <w:rFonts w:ascii="Times New Roman" w:hAnsi="Times New Roman"/>
                <w:sz w:val="22"/>
              </w:rPr>
              <w:t>90</w:t>
            </w:r>
          </w:p>
        </w:tc>
        <w:tc>
          <w:tcPr>
            <w:tcW w:type="dxa" w:w="1872"/>
          </w:tcPr>
          <w:p>
            <w:r>
              <w:rPr>
                <w:rFonts w:ascii="Times New Roman" w:hAnsi="Times New Roman"/>
                <w:sz w:val="22"/>
              </w:rPr>
              <w:t>13.2</w:t>
            </w:r>
          </w:p>
        </w:tc>
        <w:tc>
          <w:tcPr>
            <w:tcW w:type="dxa" w:w="1872"/>
          </w:tcPr>
          <w:p>
            <w:r>
              <w:rPr>
                <w:rFonts w:ascii="Times New Roman" w:hAnsi="Times New Roman"/>
                <w:sz w:val="22"/>
              </w:rPr>
              <w:t>blaKPC-2 (100%), blaTEM-1 (100%), aph(3'')-Ib (98%)</w:t>
            </w:r>
          </w:p>
        </w:tc>
      </w:tr>
      <w:tr>
        <w:tc>
          <w:tcPr>
            <w:tcW w:type="dxa" w:w="1872"/>
          </w:tcPr>
          <w:p>
            <w:r>
              <w:rPr>
                <w:rFonts w:ascii="Times New Roman" w:hAnsi="Times New Roman"/>
                <w:sz w:val="22"/>
              </w:rPr>
              <w:t>860</w:t>
            </w:r>
          </w:p>
        </w:tc>
        <w:tc>
          <w:tcPr>
            <w:tcW w:type="dxa" w:w="1872"/>
          </w:tcPr>
          <w:p>
            <w:r>
              <w:rPr>
                <w:rFonts w:ascii="Times New Roman" w:hAnsi="Times New Roman"/>
                <w:sz w:val="22"/>
              </w:rPr>
              <w:t>IncN/IncHI2/IncFII/IncHI1/IncX1</w:t>
            </w:r>
          </w:p>
        </w:tc>
        <w:tc>
          <w:tcPr>
            <w:tcW w:type="dxa" w:w="1872"/>
          </w:tcPr>
          <w:p>
            <w:r>
              <w:rPr>
                <w:rFonts w:ascii="Times New Roman" w:hAnsi="Times New Roman"/>
                <w:sz w:val="22"/>
              </w:rPr>
              <w:t>142</w:t>
            </w:r>
          </w:p>
        </w:tc>
        <w:tc>
          <w:tcPr>
            <w:tcW w:type="dxa" w:w="1872"/>
          </w:tcPr>
          <w:p>
            <w:r>
              <w:rPr>
                <w:rFonts w:ascii="Times New Roman" w:hAnsi="Times New Roman"/>
                <w:sz w:val="22"/>
              </w:rPr>
              <w:t>14.4</w:t>
            </w:r>
          </w:p>
        </w:tc>
        <w:tc>
          <w:tcPr>
            <w:tcW w:type="dxa" w:w="1872"/>
          </w:tcPr>
          <w:p>
            <w:r>
              <w:rPr>
                <w:rFonts w:ascii="Times New Roman" w:hAnsi="Times New Roman"/>
                <w:sz w:val="22"/>
              </w:rPr>
              <w:t>sul1 (61%), floR (56%), mcr-1.1 (37%), 44.4% mcr total</w:t>
            </w:r>
          </w:p>
        </w:tc>
      </w:tr>
      <w:tr>
        <w:tc>
          <w:tcPr>
            <w:tcW w:type="dxa" w:w="1872"/>
          </w:tcPr>
          <w:p>
            <w:r>
              <w:rPr>
                <w:rFonts w:ascii="Times New Roman" w:hAnsi="Times New Roman"/>
                <w:sz w:val="22"/>
              </w:rPr>
              <w:t>1432</w:t>
            </w:r>
          </w:p>
        </w:tc>
        <w:tc>
          <w:tcPr>
            <w:tcW w:type="dxa" w:w="1872"/>
          </w:tcPr>
          <w:p>
            <w:r>
              <w:rPr>
                <w:rFonts w:ascii="Times New Roman" w:hAnsi="Times New Roman"/>
                <w:sz w:val="22"/>
              </w:rPr>
              <w:t>IncFII</w:t>
            </w:r>
          </w:p>
        </w:tc>
        <w:tc>
          <w:tcPr>
            <w:tcW w:type="dxa" w:w="1872"/>
          </w:tcPr>
          <w:p>
            <w:r>
              <w:rPr>
                <w:rFonts w:ascii="Times New Roman" w:hAnsi="Times New Roman"/>
                <w:sz w:val="22"/>
              </w:rPr>
              <w:t>21</w:t>
            </w:r>
          </w:p>
        </w:tc>
        <w:tc>
          <w:tcPr>
            <w:tcW w:type="dxa" w:w="1872"/>
          </w:tcPr>
          <w:p>
            <w:r>
              <w:rPr>
                <w:rFonts w:ascii="Times New Roman" w:hAnsi="Times New Roman"/>
                <w:sz w:val="22"/>
              </w:rPr>
              <w:t>17.1</w:t>
            </w:r>
          </w:p>
        </w:tc>
        <w:tc>
          <w:tcPr>
            <w:tcW w:type="dxa" w:w="1872"/>
          </w:tcPr>
          <w:p>
            <w:r>
              <w:rPr>
                <w:rFonts w:ascii="Times New Roman" w:hAnsi="Times New Roman"/>
                <w:sz w:val="22"/>
              </w:rPr>
              <w:t>blaNDM-5 (71%), blaTEM-1 (95%), sul1 (100%)</w:t>
            </w:r>
          </w:p>
        </w:tc>
      </w:tr>
    </w:tbl>
    <w:p/>
    <w:p>
      <w:pPr>
        <w:spacing w:after="120" w:before="0" w:line="480" w:lineRule="auto"/>
      </w:pPr>
      <w:r>
        <w:rPr>
          <w:rFonts w:ascii="Times New Roman" w:hAnsi="Times New Roman"/>
          <w:b/>
          <w:i w:val="0"/>
          <w:sz w:val="24"/>
        </w:rPr>
        <w:t>Abbreviations:</w:t>
      </w:r>
      <w:r>
        <w:rPr>
          <w:rFonts w:ascii="Times New Roman" w:hAnsi="Times New Roman"/>
          <w:b w:val="0"/>
          <w:i w:val="0"/>
          <w:sz w:val="24"/>
        </w:rPr>
        <w:t xml:space="preserve"> AMR, antimicrobial resistance; CV, cross-validation; D, Simpson's Index of Diversity; DB, database; ESBL, extended-spectrum beta-lactamase; KNN, K-nearest neighbours; MDR, multidrug-resistant; NN, nearest neighbour; PMQR, plasmid-mediated quinolone resistance; SD, standard deviation; TPE, tree-structured Parzen estimator.</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