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3" w:name="figure-legends"/>
    <w:p>
      <w:pPr>
        <w:pStyle w:val="Heading1"/>
      </w:pPr>
      <w:r>
        <w:t xml:space="preserve">Figure Legends</w:t>
      </w:r>
    </w:p>
    <w:bookmarkStart w:id="9" w:name="X116813bfa377f3d06c8f368e1bdc6556a24a40a"/>
    <w:p>
      <w:pPr>
        <w:pStyle w:val="Heading2"/>
      </w:pPr>
      <w:r>
        <w:t xml:space="preserve">Figure 1. pLIN strain-level cluster composition and group concordance.</w:t>
      </w:r>
    </w:p>
    <w:p>
      <w:pPr>
        <w:pStyle w:val="FirstParagraph"/>
      </w:pPr>
      <w:r>
        <w:t xml:space="preserve">Distribution of 2,621 unique strain-level pLIN codes (L6) across 28 groups (20 Gram-negative Inc groups + 4 Gram-positive rep type groups + 2</w:t>
      </w:r>
      <w:r>
        <w:t xml:space="preserve"> </w:t>
      </w:r>
      <w:r>
        <w:rPr>
          <w:i/>
          <w:iCs/>
        </w:rPr>
        <w:t xml:space="preserve">A. baumannii</w:t>
      </w:r>
      <w:r>
        <w:t xml:space="preserve"> </w:t>
      </w:r>
      <w:r>
        <w:t xml:space="preserve">rep type groups + 2</w:t>
      </w:r>
      <w:r>
        <w:t xml:space="preserve"> </w:t>
      </w:r>
      <w:r>
        <w:rPr>
          <w:i/>
          <w:iCs/>
        </w:rPr>
        <w:t xml:space="preserve">P. aeruginosa</w:t>
      </w:r>
      <w:r>
        <w:t xml:space="preserve"> </w:t>
      </w:r>
      <w:r>
        <w:t xml:space="preserve">rep type groups). Of all strain-level codes, 2,553 (97.4%) contained plasmids from a single group, while 68 codes (2.6%) contained members from two or more groups. No mixed codes were observed spanning Gram-negative and Gram-positive groups, confirming robust compositional separation. The largest mixed-group cluster (pLIN 1327, n = 869) spanned six Gram-negative Inc groups (IncF, IncFIB, IncFIBK, IncFII, IncHI1, IncN), representing a compositional convergence zone. The second-largest mixed cluster (pLIN 860, n = 142) spanned five Inc groups and carried a mean of 14.4 AMR genes per plasmid with 44.4% mcr colistin resistance carriage, representing a multidrug resistance hub. The four Gram-positive groups contributed 167 additional strain-level codes.</w:t>
      </w:r>
    </w:p>
    <w:bookmarkEnd w:id="9"/>
    <w:bookmarkStart w:id="10" w:name="Xc697a8685d01f573db909fdc3b3d6e7ca3c41b0"/>
    <w:p>
      <w:pPr>
        <w:pStyle w:val="Heading2"/>
      </w:pPr>
      <w:r>
        <w:t xml:space="preserve">Figure 2. AMRFinderPlus gene detection summary across the 8,077-plasmid training dataset.</w:t>
      </w:r>
    </w:p>
    <w:p>
      <w:pPr>
        <w:pStyle w:val="FirstParagraph"/>
      </w:pPr>
      <w:r>
        <w:rPr>
          <w:b/>
          <w:bCs/>
        </w:rPr>
        <w:t xml:space="preserve">(A)</w:t>
      </w:r>
      <w:r>
        <w:t xml:space="preserve"> </w:t>
      </w:r>
      <w:r>
        <w:t xml:space="preserve">Overall gene detection categories: 64,891 total detections comprising 29,583 AMR (45.6%), 6,286 virulence (9.7%), and 29,022 stress (44.7%) genes across 5,816 plasmids (83.1% of the Gram-negative subset).</w:t>
      </w:r>
      <w:r>
        <w:t xml:space="preserve"> </w:t>
      </w:r>
      <w:r>
        <w:rPr>
          <w:b/>
          <w:bCs/>
        </w:rPr>
        <w:t xml:space="preserve">(B)</w:t>
      </w:r>
      <w:r>
        <w:t xml:space="preserve"> </w:t>
      </w:r>
      <w:r>
        <w:t xml:space="preserve">Top 20 most frequently detected AMR genes, with blaTEM-1 (n = 1,937, 41.6% of AMR-positive plasmids) as the most prevalent, followed by sul1, tet(A), aph(6)-Id, and aph(3’’)-Ib.</w:t>
      </w:r>
      <w:r>
        <w:t xml:space="preserve"> </w:t>
      </w:r>
      <w:r>
        <w:rPr>
          <w:b/>
          <w:bCs/>
        </w:rPr>
        <w:t xml:space="preserve">(C)</w:t>
      </w:r>
      <w:r>
        <w:t xml:space="preserve"> </w:t>
      </w:r>
      <w:r>
        <w:t xml:space="preserve">AMR drug class distribution showing beta-lactam resistance as the most common category (3,483 plasmids), followed by aminoglycoside (2,723), sulfonamide (2,073), and trimethoprim (1,810) resistance.</w:t>
      </w:r>
      <w:r>
        <w:t xml:space="preserve"> </w:t>
      </w:r>
      <w:r>
        <w:rPr>
          <w:b/>
          <w:bCs/>
        </w:rPr>
        <w:t xml:space="preserve">(D)</w:t>
      </w:r>
      <w:r>
        <w:t xml:space="preserve"> </w:t>
      </w:r>
      <w:r>
        <w:t xml:space="preserve">Gram-positive plasmid AMR profiles: distribution of resistance determinants across the four rep type groups, including mecA (repSA_large), mupA (repSA_small), vanA/vanB (repEF_conj/repEF_res), and optrA (repEF_res).</w:t>
      </w:r>
    </w:p>
    <w:bookmarkEnd w:id="10"/>
    <w:bookmarkStart w:id="11" w:name="X3318b0fef7d0238082b5b7fa804eeab16c3dbfa"/>
    <w:p>
      <w:pPr>
        <w:pStyle w:val="Heading2"/>
      </w:pPr>
      <w:r>
        <w:t xml:space="preserve">Figure 3. Clinically critical resistance determinants mapped to pLIN lineages.</w:t>
      </w:r>
    </w:p>
    <w:p>
      <w:pPr>
        <w:pStyle w:val="FirstParagraph"/>
      </w:pPr>
      <w:r>
        <w:t xml:space="preserve">Distribution of high-priority resistance genes across the plasmid dataset: 1,623 carbapenemase detections (blaKPC-2 n = 824, blaNDM-1 n = 228, blaKPC-3 n = 193), 2,056 ESBL detections (blaCTX-M-15 n = 505, blaCTX-M-65 n = 319, blaSHV-12 n = 277), 204 colistin resistance (mcr) detections, and 2,349 plasmid-mediated quinolone resistance (PMQR) detections. Machine learning feature importance analysis (inset) showing the top discriminative tetranucleotide features: stop codon-associated trinucleotides (TAG, TGA) and CpG-related motifs (GCG, CGC) dominate, consistent with codon usage and methylation-based phylogenetic signals. GC-content-related features (GGC, GCC, CGG) rank among the top 10, reflecting the compositional separation between Gram-positive and Gram-negative groups.</w:t>
      </w:r>
    </w:p>
    <w:bookmarkEnd w:id="11"/>
    <w:bookmarkStart w:id="12" w:name="Xf1244c0fa6ece0204033130e2e41aebfdab4f8d"/>
    <w:p>
      <w:pPr>
        <w:pStyle w:val="Heading2"/>
      </w:pPr>
      <w:r>
        <w:t xml:space="preserve">Figure 4. AMR gene profiles of high-risk pLIN lineages.</w:t>
      </w:r>
    </w:p>
    <w:p>
      <w:pPr>
        <w:pStyle w:val="FirstParagraph"/>
      </w:pPr>
      <w:r>
        <w:t xml:space="preserve">Heatmap showing the AMR gene repertoire of the top 10 pLIN lineages by total AMR gene burden. pLIN 671 (IncN, n = 90) carries blaKPC-2 on 100% of members with a mean of 13.2 AMR genes per plasmid. pLIN 860 (n = 142, 5 Inc groups) exhibits 14.4 mean AMR genes with prominent carriage of sul1 (61%), floR (56%), and mcr-1.1 (37%). pLIN 1432 (IncFII, n = 21) shows the highest per-plasmid AMR burden (17.1 mean genes) with 71% blaNDM-5 carriage.</w:t>
      </w:r>
    </w:p>
    <w:bookmarkEnd w:id="12"/>
    <w:bookmarkStart w:id="13" w:name="X65095d1a52187a61db079f378db7764137b9382"/>
    <w:p>
      <w:pPr>
        <w:pStyle w:val="Heading2"/>
      </w:pPr>
      <w:r>
        <w:t xml:space="preserve">Figure 5. Virulence and stress gene distribution across all 28 groups.</w:t>
      </w:r>
    </w:p>
    <w:p>
      <w:pPr>
        <w:pStyle w:val="FirstParagraph"/>
      </w:pPr>
      <w:r>
        <w:rPr>
          <w:b/>
          <w:bCs/>
        </w:rPr>
        <w:t xml:space="preserve">(A)</w:t>
      </w:r>
      <w:r>
        <w:t xml:space="preserve"> </w:t>
      </w:r>
      <w:r>
        <w:t xml:space="preserve">AMR gene prevalence by group, showing that IncN plasmids exhibit the highest AMR carriage rate among large Gram-negative groups (82.5%) while IncFII plasmids show the highest virulence gene prevalence (23.2%). Among Gram-positive groups, repEF_res shows the highest AMR carriage (vancomycin resistance determinants).</w:t>
      </w:r>
      <w:r>
        <w:t xml:space="preserve"> </w:t>
      </w:r>
      <w:r>
        <w:rPr>
          <w:b/>
          <w:bCs/>
        </w:rPr>
        <w:t xml:space="preserve">(B)</w:t>
      </w:r>
      <w:r>
        <w:t xml:space="preserve"> </w:t>
      </w:r>
      <w:r>
        <w:t xml:space="preserve">Virulence gene profiles by group type, with IncFII plasmids enriched for traT, spvB/D, and iucA, while IncX1 plasmids carry hlyA and fimbrial adhesin genes.</w:t>
      </w:r>
      <w:r>
        <w:t xml:space="preserve"> </w:t>
      </w:r>
      <w:r>
        <w:rPr>
          <w:b/>
          <w:bCs/>
        </w:rPr>
        <w:t xml:space="preserve">(C)</w:t>
      </w:r>
      <w:r>
        <w:t xml:space="preserve"> </w:t>
      </w:r>
      <w:r>
        <w:t xml:space="preserve">Stress response gene distribution across all 28 groups, with Gram-positive,</w:t>
      </w:r>
      <w:r>
        <w:t xml:space="preserve"> </w:t>
      </w:r>
      <w:r>
        <w:rPr>
          <w:i/>
          <w:iCs/>
        </w:rPr>
        <w:t xml:space="preserve">Acinetobacter</w:t>
      </w:r>
      <w:r>
        <w:t xml:space="preserve">, and</w:t>
      </w:r>
      <w:r>
        <w:t xml:space="preserve"> </w:t>
      </w:r>
      <w:r>
        <w:rPr>
          <w:i/>
          <w:iCs/>
        </w:rPr>
        <w:t xml:space="preserve">Pseudomonas</w:t>
      </w:r>
      <w:r>
        <w:t xml:space="preserve"> </w:t>
      </w:r>
      <w:r>
        <w:t xml:space="preserve">groups indicated separately.</w:t>
      </w:r>
    </w:p>
    <w:bookmarkEnd w:id="13"/>
    <w:bookmarkStart w:id="14" w:name="X3cbc44831164c8ab9725e936827aef1d89aaac8"/>
    <w:p>
      <w:pPr>
        <w:pStyle w:val="Heading2"/>
      </w:pPr>
      <w:r>
        <w:t xml:space="preserve">Figure 6. Hierarchical clustering resolution and Simpson’s Index of Diversity across pLIN levels.</w:t>
      </w:r>
    </w:p>
    <w:p>
      <w:pPr>
        <w:pStyle w:val="FirstParagraph"/>
      </w:pPr>
      <w:r>
        <w:t xml:space="preserve">Cluster count and discriminatory power at each of the six pLIN thresholds. At L1 (d &lt;= 0.150, ~85% ANI), 8,077 plasmids form distinct subfamilies (Gram-negative, Gram-positive,</w:t>
      </w:r>
      <w:r>
        <w:t xml:space="preserve"> </w:t>
      </w:r>
      <w:r>
        <w:rPr>
          <w:i/>
          <w:iCs/>
        </w:rPr>
        <w:t xml:space="preserve">Acinetobacter</w:t>
      </w:r>
      <w:r>
        <w:t xml:space="preserve">, and</w:t>
      </w:r>
      <w:r>
        <w:t xml:space="preserve"> </w:t>
      </w:r>
      <w:r>
        <w:rPr>
          <w:i/>
          <w:iCs/>
        </w:rPr>
        <w:t xml:space="preserve">Pseudomonas</w:t>
      </w:r>
      <w:r>
        <w:t xml:space="preserve">). Progressive resolution increases through L3 (9 clusters), L4 (44 subclusters), L5 (131 clone complexes), to L6 (2,621 strain-level codes). Simpson’s D increases from near-zero at L1 to 0.982 at L6, demonstrating tuneable discriminatory power. The Gram-positive groups contribute 167 unique strain-level codes. Gram-negative and Gram-positive groups are distinguished by colour.</w:t>
      </w:r>
    </w:p>
    <w:bookmarkEnd w:id="14"/>
    <w:bookmarkStart w:id="15" w:name="X8e310368a23d97e7a66c9de37922fac2c8129c5"/>
    <w:p>
      <w:pPr>
        <w:pStyle w:val="Heading2"/>
      </w:pPr>
      <w:r>
        <w:t xml:space="preserve">Figure 7. FastANI validation of cosine-to-ANI threshold mapping.</w:t>
      </w:r>
    </w:p>
    <w:p>
      <w:pPr>
        <w:pStyle w:val="FirstParagraph"/>
      </w:pPr>
      <w:r>
        <w:t xml:space="preserve">Scatterplot of cosine distance versus FastANI for within-group plasmid pairs sampled from all 28 groups. The overall Spearman correlation (rho = -0.348, P &lt; 10^-100) and per-group correlations are annotated. Dashed vertical lines indicate the six pLIN distance thresholds; dashed horizontal lines indicate the corresponding ANI equivalents. At the strain-level threshold (d &lt;= 0.001), the median ANI is 99.9%. The strongest per-group correlations are IncFIC (rho = -0.88), IncI2 (rho = -0.81), ColE (rho = -0.72), and repSA_large (rho = -0.74). Groups with non-significant correlations due to range restriction (narrow within-group ANI, &gt;93%) are indicated. Gram-positive groups are distinguished by marker shape.</w:t>
      </w:r>
    </w:p>
    <w:bookmarkEnd w:id="15"/>
    <w:bookmarkStart w:id="16" w:name="Xf0e3bbfcefa84181d60e6410aad81c859ce6220"/>
    <w:p>
      <w:pPr>
        <w:pStyle w:val="Heading2"/>
      </w:pPr>
      <w:r>
        <w:t xml:space="preserve">Figure 8. pLIN computational pipeline overview.</w:t>
      </w:r>
    </w:p>
    <w:p>
      <w:pPr>
        <w:pStyle w:val="FirstParagraph"/>
      </w:pPr>
      <w:r>
        <w:t xml:space="preserve">Schematic of the complete pLIN workflow from FASTA input to epidemiological output. Core pipeline: Step 1: FASTA upload. Step 2: Tetranucleotide (4-mer) frequency vector computation (256 features). Step 3: Plasmid versus chromosome contig identification via multi-signal scoring (sequence length, cosine distance to nearest training vector, header keyword matching, Inc group classifier confidence; score &gt;=10 classified as plasmid, &lt;=-10 as chromosome, borderline defaults to plasmid). Step 4: KNN-based group classification of identified plasmid contigs (k = 5, cosine distance, distance-weighted; 28 groups). Step 5: Nearest-neighbour pLIN code assignment against the reference database. Quality assessment modules: Step 6: Assembly completeness scoring (composite 0–100). Step 7: Database coverage and novelty detection (traffic-light flagging). Step 8: Recombination detection (minimap2 mosaic analysis). Annotation modules: Step 9: AMRFinderPlus integration (optional). Step 10: MOB-suite mobility prediction (optional). Step 11: MGE boundary detection (IS elements, composite transposons). Validation modules: Step 12: Mash/FastANI ANI validation (optional). Step 13: minimap2 SNP sub-typing (optional). Discovery modules: Step 14: Novel group discovery (low-confidence clustering). Step 15: Evolutionary rate estimation (SNP regression). Step 16: Adaptive threshold calibration (bootstrap stability). Surveillance modules: Step 17: MinCED CRISPR host inference (optional). Step 18: Outbreak detection. Step 19: Temporal clustering. Step 20: Interactive results display and export.</w:t>
      </w:r>
    </w:p>
    <w:bookmarkEnd w:id="16"/>
    <w:bookmarkStart w:id="17" w:name="X065adfd51d93d36c7e11797014712cfef5b2fc5"/>
    <w:p>
      <w:pPr>
        <w:pStyle w:val="Heading2"/>
      </w:pPr>
      <w:r>
        <w:t xml:space="preserve">Figure 9. Reference database expansion: from 8,077 to 78,902 plasmids.</w:t>
      </w:r>
    </w:p>
    <w:p>
      <w:pPr>
        <w:pStyle w:val="FirstParagraph"/>
      </w:pPr>
      <w:r>
        <w:rPr>
          <w:b/>
          <w:bCs/>
        </w:rPr>
        <w:t xml:space="preserve">(A)</w:t>
      </w:r>
      <w:r>
        <w:t xml:space="preserve"> </w:t>
      </w:r>
      <w:r>
        <w:t xml:space="preserve">Group composition of the full 78,902-plasmid reference database (8,077 training + 70,825 PLSDB/NCBI RefSeq reference), showing all 28 groups including the four Gram-positive rep type groups, two</w:t>
      </w:r>
      <w:r>
        <w:t xml:space="preserve"> </w:t>
      </w:r>
      <w:r>
        <w:rPr>
          <w:i/>
          <w:iCs/>
        </w:rPr>
        <w:t xml:space="preserve">A. baumannii</w:t>
      </w:r>
      <w:r>
        <w:t xml:space="preserve"> </w:t>
      </w:r>
      <w:r>
        <w:t xml:space="preserve">rep type groups, and two</w:t>
      </w:r>
      <w:r>
        <w:t xml:space="preserve"> </w:t>
      </w:r>
      <w:r>
        <w:rPr>
          <w:i/>
          <w:iCs/>
        </w:rPr>
        <w:t xml:space="preserve">P. aeruginosa</w:t>
      </w:r>
      <w:r>
        <w:t xml:space="preserve"> </w:t>
      </w:r>
      <w:r>
        <w:t xml:space="preserve">rep type groups.</w:t>
      </w:r>
      <w:r>
        <w:t xml:space="preserve"> </w:t>
      </w:r>
      <w:r>
        <w:rPr>
          <w:b/>
          <w:bCs/>
        </w:rPr>
        <w:t xml:space="preserve">(B)</w:t>
      </w:r>
      <w:r>
        <w:t xml:space="preserve"> </w:t>
      </w:r>
      <w:r>
        <w:t xml:space="preserve">Unique pLIN code counts at L6 for each group in the expanded database, totalling 33,143 unique codes (12.6-fold increase over training only).</w:t>
      </w:r>
      <w:r>
        <w:t xml:space="preserve"> </w:t>
      </w:r>
      <w:r>
        <w:rPr>
          <w:b/>
          <w:bCs/>
        </w:rPr>
        <w:t xml:space="preserve">(C)</w:t>
      </w:r>
      <w:r>
        <w:t xml:space="preserve"> </w:t>
      </w:r>
      <w:r>
        <w:t xml:space="preserve">Per-group memory footprint comparison, with the maximum single-group requirement of 2.3 GB (IncFII, 34,036 sequences) versus the 24 GB that would be required for global clustering – a 10.4-fold reduction.</w:t>
      </w:r>
    </w:p>
    <w:bookmarkEnd w:id="17"/>
    <w:bookmarkStart w:id="18" w:name="Xd453e6f9c5fcf137d128048fa3798860ff62c97"/>
    <w:p>
      <w:pPr>
        <w:pStyle w:val="Heading2"/>
      </w:pPr>
      <w:r>
        <w:t xml:space="preserve">Figure 10. Comparative feature matrix of plasmid classification systems.</w:t>
      </w:r>
    </w:p>
    <w:p>
      <w:pPr>
        <w:pStyle w:val="FirstParagraph"/>
      </w:pPr>
      <w:r>
        <w:t xml:space="preserve">Visual comparison chart summarising Table 1 across the five criteria for comprehensive plasmid nomenclature (hierarchical levels, code permanence, reference-free operation, taxonomic scope, AMR integration). pLIN is the only system satisfying all five criteria simultaneously, and the only tool supporting both Gram-negative and Gram-positive plasmid classification. PlasmidFinder and pMLST provide stable codes but lack hierarchy and require databases. MOB-suite offers broad scope but lacks code permanence and hierarchy. COPLA provides semi-hierarchical classification but with limited assignability (41%) and mutable codes. mge-cluster is reference-free but produces flat, non-permanent clusters.</w:t>
      </w:r>
    </w:p>
    <w:bookmarkEnd w:id="18"/>
    <w:bookmarkStart w:id="19" w:name="Xfeba17dbf556f96064c60e9c28cbcf7c38f2e62"/>
    <w:p>
      <w:pPr>
        <w:pStyle w:val="Heading2"/>
      </w:pPr>
      <w:r>
        <w:t xml:space="preserve">Figure 11. Software architecture and modular design of the pLIN Streamlit application.</w:t>
      </w:r>
    </w:p>
    <w:p>
      <w:pPr>
        <w:pStyle w:val="FirstParagraph"/>
      </w:pPr>
      <w:r>
        <w:t xml:space="preserve">Diagram of the eight-layer application architecture. Layer 1 (Feature extraction): BioPython FASTA parsing, NumPy 4-mer counting. Layer 2 (Contig identification): multi-signal plasmid versus chromosome scoring using sequence length, cosine distance to nearest training vector, header keyword matching, and Inc group classifier confidence. Layer 3 (Classification): scikit-learn KNN classifier (28 groups), nearest-neighbour pLIN assignment. Layer 4 (Quality assessment): assembly completeness scoring, database coverage and novelty detection, recombination analysis. Layer 5 (AMR annotation): AMRFinderPlus nucleotide-mode detection with –plus flag; MGE boundary detection and composite transposon identification. Layer 6 (Validation): Mash ANI estimation, FastANI true ANI, minimap2 SNP sub-typing. Layer 7 (Discovery): novel group discovery, evolutionary rate estimation, adaptive threshold calibration with cluster stability assessment. Layer 8 (Surveillance): outbreak detection, temporal clustering, MOB-suite mobility, MinCED CRISPR host inference. External tools follow a graceful degradation model (auto-detected at runtime; modules disabled if unavailable).</w:t>
      </w:r>
    </w:p>
    <w:bookmarkEnd w:id="19"/>
    <w:bookmarkStart w:id="20" w:name="Xaa8a31ae29cd173de368a1748df4786343dd191"/>
    <w:p>
      <w:pPr>
        <w:pStyle w:val="Heading2"/>
      </w:pPr>
      <w:r>
        <w:t xml:space="preserve">Figure 12. KNN group classifier performance across 28 groups.</w:t>
      </w:r>
    </w:p>
    <w:p>
      <w:pPr>
        <w:pStyle w:val="FirstParagraph"/>
      </w:pPr>
      <w:r>
        <w:rPr>
          <w:b/>
          <w:bCs/>
        </w:rPr>
        <w:t xml:space="preserve">(A)</w:t>
      </w:r>
      <w:r>
        <w:t xml:space="preserve"> </w:t>
      </w:r>
      <w:r>
        <w:t xml:space="preserve">Confusion matrix from 5-fold cross-validation showing the 91.1% overall accuracy of the KNN classifier (k = 5, cosine distance, distance-weighted) on 8,077 training sequences across 28 groups (20 Gram-negative Inc + 4 Gram-positive rep + 2</w:t>
      </w:r>
      <w:r>
        <w:t xml:space="preserve"> </w:t>
      </w:r>
      <w:r>
        <w:rPr>
          <w:i/>
          <w:iCs/>
        </w:rPr>
        <w:t xml:space="preserve">A. baumannii</w:t>
      </w:r>
      <w:r>
        <w:t xml:space="preserve"> </w:t>
      </w:r>
      <w:r>
        <w:t xml:space="preserve">rep + 2</w:t>
      </w:r>
      <w:r>
        <w:t xml:space="preserve"> </w:t>
      </w:r>
      <w:r>
        <w:rPr>
          <w:i/>
          <w:iCs/>
        </w:rPr>
        <w:t xml:space="preserve">P. aeruginosa</w:t>
      </w:r>
      <w:r>
        <w:t xml:space="preserve"> </w:t>
      </w:r>
      <w:r>
        <w:t xml:space="preserve">rep). Dominant confusion pairs involve compositionally near-identical groups (IncFIB/IncFII inter-centroid d = 0.002; IncF/IncFII d = 0.003; repEF_conj/repEF_res d = 0.012).</w:t>
      </w:r>
      <w:r>
        <w:t xml:space="preserve"> </w:t>
      </w:r>
      <w:r>
        <w:rPr>
          <w:b/>
          <w:bCs/>
        </w:rPr>
        <w:t xml:space="preserve">(B)</w:t>
      </w:r>
      <w:r>
        <w:t xml:space="preserve"> </w:t>
      </w:r>
      <w:r>
        <w:t xml:space="preserve">Per-group precision, recall, and F1 scores, with Gram-positive groups highlighted. Cross-validation accuracy for Gram-positive groups ranged from 88.4% (repEF_conj) to 94.2% (repSA_small).</w:t>
      </w:r>
      <w:r>
        <w:t xml:space="preserve"> </w:t>
      </w:r>
      <w:r>
        <w:rPr>
          <w:b/>
          <w:bCs/>
        </w:rPr>
        <w:t xml:space="preserve">(C)</w:t>
      </w:r>
      <w:r>
        <w:t xml:space="preserve"> </w:t>
      </w:r>
      <w:r>
        <w:t xml:space="preserve">Distribution of training samples across all 28 groups, highlighting the four Gram-positive groups (repSA_large n = 121, repSA_small n = 73, repEF_conj n = 92, repEF_res n = 121) and four non-fermentative groups (repAci1, repAci_large, repPae_large, repPae_small).</w:t>
      </w:r>
    </w:p>
    <w:bookmarkEnd w:id="20"/>
    <w:bookmarkStart w:id="21" w:name="X721b0d3b92b6c0fb3d55f75ab89fa77544a71ce"/>
    <w:p>
      <w:pPr>
        <w:pStyle w:val="Heading2"/>
      </w:pPr>
      <w:r>
        <w:t xml:space="preserve">Figure 13. IncX1 backbone architecture, seed ORF conservation, and mosaicism.</w:t>
      </w:r>
    </w:p>
    <w:p>
      <w:pPr>
        <w:pStyle w:val="FirstParagraph"/>
      </w:pPr>
      <w:r>
        <w:rPr>
          <w:b/>
          <w:bCs/>
        </w:rPr>
        <w:t xml:space="preserve">(A)</w:t>
      </w:r>
      <w:r>
        <w:t xml:space="preserve"> </w:t>
      </w:r>
      <w:r>
        <w:t xml:space="preserve">Conservation profile of 25 seed ORFs identified by k-mer containment analysis across 178 IncX-like reference plasmids. The most conserved ORF (ORF067, prevalence 84.8%) represents a candidate essential replication gene. ORFs 061–063 form a contiguous operon-like cluster with identical prevalence (71.3%) and high match fractions (0.90–0.94).</w:t>
      </w:r>
      <w:r>
        <w:t xml:space="preserve"> </w:t>
      </w:r>
      <w:r>
        <w:rPr>
          <w:b/>
          <w:bCs/>
        </w:rPr>
        <w:t xml:space="preserve">(B)</w:t>
      </w:r>
      <w:r>
        <w:t xml:space="preserve"> </w:t>
      </w:r>
      <w:r>
        <w:t xml:space="preserve">Backbone/accessory partition for the full IncX1 dataset (n = 705): mean backbone length 37,787 bp (60%), mean accessory length 25,192 bp (40%).</w:t>
      </w:r>
      <w:r>
        <w:t xml:space="preserve"> </w:t>
      </w:r>
      <w:r>
        <w:rPr>
          <w:b/>
          <w:bCs/>
        </w:rPr>
        <w:t xml:space="preserve">(C)</w:t>
      </w:r>
      <w:r>
        <w:t xml:space="preserve"> </w:t>
      </w:r>
      <w:r>
        <w:t xml:space="preserve">Mosaicism detection: 302 of 705 IncX1 plasmids (43.1%) were identified as candidate chimeras based on GC-content heterogeneity analysis (1-kb sliding windows; mean GC SD = 0.047, range 0.017–0.115).</w:t>
      </w:r>
    </w:p>
    <w:bookmarkEnd w:id="21"/>
    <w:bookmarkStart w:id="22" w:name="X991dfb1efd7a78eea255eae3f426d5ad240a592"/>
    <w:p>
      <w:pPr>
        <w:pStyle w:val="Heading2"/>
      </w:pPr>
      <w:r>
        <w:t xml:space="preserve">Figure 14. Expanded cross-validation of pLIN against 27 published outbreak and surveillance studies.</w:t>
      </w:r>
    </w:p>
    <w:p>
      <w:pPr>
        <w:pStyle w:val="FirstParagraph"/>
      </w:pPr>
      <w:r>
        <w:t xml:space="preserve">Summary of pLIN classification applied to 74 plasmid sequences from 27 independent published studies across 13 countries (7 resistance mechanisms), none included in the training dataset.</w:t>
      </w:r>
      <w:r>
        <w:t xml:space="preserve"> </w:t>
      </w:r>
      <w:r>
        <w:rPr>
          <w:b/>
          <w:bCs/>
        </w:rPr>
        <w:t xml:space="preserve">(A)</w:t>
      </w:r>
      <w:r>
        <w:t xml:space="preserve"> </w:t>
      </w:r>
      <w:r>
        <w:t xml:space="preserve">Nearest-neighbour distance vs classification confidence for all 74 plasmids, coloured by resistance gene class. Dashed line at 60% confidence threshold; 63/74 (85.1%) above threshold.</w:t>
      </w:r>
      <w:r>
        <w:t xml:space="preserve"> </w:t>
      </w:r>
      <w:r>
        <w:rPr>
          <w:b/>
          <w:bCs/>
        </w:rPr>
        <w:t xml:space="preserve">(B)</w:t>
      </w:r>
      <w:r>
        <w:t xml:space="preserve"> </w:t>
      </w:r>
      <w:r>
        <w:t xml:space="preserve">Hierarchical tile chart for the Hong Kong NDM-1 ICU outbreak (13 plasmids): 12/13 share pLIN 475 (IncX3, 100% confidence), one structural variant (MH234505, 53 kb) receives pLIN 473.</w:t>
      </w:r>
      <w:r>
        <w:t xml:space="preserve"> </w:t>
      </w:r>
      <w:r>
        <w:rPr>
          <w:b/>
          <w:bCs/>
        </w:rPr>
        <w:t xml:space="preserve">(C)</w:t>
      </w:r>
      <w:r>
        <w:t xml:space="preserve"> </w:t>
      </w:r>
      <w:r>
        <w:t xml:space="preserve">Per-resistance-gene validation performance: high-confidence rates ranging from 33% (VIM, n=3) to 100% (IMP, mcr-1). Three globally disseminated lineages independently detected: pLIN 671/KPC-2 (Germany + China), pLIN 860/MDR hub (Australia), pLIN 1688/OXA-48 (Turkey = Netherlands = France).</w:t>
      </w:r>
      <w:r>
        <w:t xml:space="preserve"> </w:t>
      </w:r>
      <w:r>
        <w:rPr>
          <w:b/>
          <w:bCs/>
        </w:rPr>
        <w:t xml:space="preserve">(D)</w:t>
      </w:r>
      <w:r>
        <w:t xml:space="preserve"> </w:t>
      </w:r>
      <w:r>
        <w:t xml:space="preserve">Summary statistics: 74 plasmids, 27 studies, 13 countries, 42 unique pLIN codes, 9 intra-study outbreak clusters, mean NN distance 0.0062.</w:t>
      </w:r>
    </w:p>
    <w:bookmarkEnd w:id="22"/>
    <w:bookmarkStart w:id="23" w:name="X9218cceb74de5ba49088fee939ccd8c2a0b1d65"/>
    <w:p>
      <w:pPr>
        <w:pStyle w:val="Heading2"/>
      </w:pPr>
      <w:r>
        <w:t xml:space="preserve">Figure 15. Resolution comparison across plasmid classification methods.</w:t>
      </w:r>
    </w:p>
    <w:p>
      <w:pPr>
        <w:pStyle w:val="FirstParagraph"/>
      </w:pPr>
      <w:r>
        <w:t xml:space="preserve">Alluvial flow diagram showing how 74 outbreak plasmids from 27 studies across 13 countries are resolved by six classification methods, ordered by increasing resolution. Ribbons are coloured by resistance mechanism (KPC, NDM, OXA-48, mcr, CTX-M, VIM, IMP). PlasmidFinder produces 11 flat Inc group labels with 100% coverage but no hierarchical structure; pMLST resolves 10 sequence types but 39% of plasmids lack a typing scheme; MOB-suite classifies 61% into 8 cluster IDs (39% unclassified, grey bands); COPLA/PTU classifies 57% into 6 PTU groups (43% unclassified); mge-cluster resolves 22 clusters with 100% coverage but produces no permanent codes (dashed borders). pLIN resolves all 74 plasmids into 42 unique hierarchical codes with 100% coverage and permanent nomenclature. Key outbreak examples annotated: Ho 2019 NDM (12/13 -&gt; pLIN 475), OXA-48 cross-country (5/6 -&gt; pLIN 1688 across Turkey/Netherlands/France), mcr-1 backbone separation (pLIN 87 vs 340).</w:t>
      </w:r>
    </w:p>
    <w:bookmarkEnd w:id="23"/>
    <w:bookmarkStart w:id="24" w:name="X9765f6485894ae838b3b6249f4bdab835b13636"/>
    <w:p>
      <w:pPr>
        <w:pStyle w:val="Heading2"/>
      </w:pPr>
      <w:r>
        <w:t xml:space="preserve">Figure 16. Combined chromosomal-plasmid typing: transmission mode discrimination in published outbreaks.</w:t>
      </w:r>
    </w:p>
    <w:p>
      <w:pPr>
        <w:pStyle w:val="FirstParagraph"/>
      </w:pPr>
      <w:r>
        <w:rPr>
          <w:b/>
          <w:bCs/>
        </w:rPr>
        <w:t xml:space="preserve">(A)</w:t>
      </w:r>
      <w:r>
        <w:t xml:space="preserve"> </w:t>
      </w:r>
      <w:r>
        <w:t xml:space="preserve">Bipartite network showing MLST sequence type (ST) nodes (left, coloured by host species) connected to pLIN L6 code nodes (right, green squares). Edges represent co-occurrence within outbreak studies; edge colours indicate species. Seven host species are represented across 13 studies:</w:t>
      </w:r>
      <w:r>
        <w:t xml:space="preserve"> </w:t>
      </w:r>
      <w:r>
        <w:rPr>
          <w:i/>
          <w:iCs/>
        </w:rPr>
        <w:t xml:space="preserve">E. coli</w:t>
      </w:r>
      <w:r>
        <w:t xml:space="preserve">,</w:t>
      </w:r>
      <w:r>
        <w:t xml:space="preserve"> </w:t>
      </w:r>
      <w:r>
        <w:rPr>
          <w:i/>
          <w:iCs/>
        </w:rPr>
        <w:t xml:space="preserve">K. pneumoniae</w:t>
      </w:r>
      <w:r>
        <w:t xml:space="preserve">,</w:t>
      </w:r>
      <w:r>
        <w:t xml:space="preserve"> </w:t>
      </w:r>
      <w:r>
        <w:rPr>
          <w:i/>
          <w:iCs/>
        </w:rPr>
        <w:t xml:space="preserve">E. cloacae</w:t>
      </w:r>
      <w:r>
        <w:t xml:space="preserve">,</w:t>
      </w:r>
      <w:r>
        <w:t xml:space="preserve"> </w:t>
      </w:r>
      <w:r>
        <w:rPr>
          <w:i/>
          <w:iCs/>
        </w:rPr>
        <w:t xml:space="preserve">C. freundii</w:t>
      </w:r>
      <w:r>
        <w:t xml:space="preserve">,</w:t>
      </w:r>
      <w:r>
        <w:t xml:space="preserve"> </w:t>
      </w:r>
      <w:r>
        <w:rPr>
          <w:i/>
          <w:iCs/>
        </w:rPr>
        <w:t xml:space="preserve">E. hormaechei</w:t>
      </w:r>
      <w:r>
        <w:t xml:space="preserve">,</w:t>
      </w:r>
      <w:r>
        <w:t xml:space="preserve"> </w:t>
      </w:r>
      <w:r>
        <w:rPr>
          <w:i/>
          <w:iCs/>
        </w:rPr>
        <w:t xml:space="preserve">S. enterica</w:t>
      </w:r>
      <w:r>
        <w:t xml:space="preserve">, and</w:t>
      </w:r>
      <w:r>
        <w:t xml:space="preserve"> </w:t>
      </w:r>
      <w:r>
        <w:rPr>
          <w:i/>
          <w:iCs/>
        </w:rPr>
        <w:t xml:space="preserve">A. baumannii</w:t>
      </w:r>
      <w:r>
        <w:t xml:space="preserve">.</w:t>
      </w:r>
      <w:r>
        <w:t xml:space="preserve"> </w:t>
      </w:r>
      <w:r>
        <w:rPr>
          <w:b/>
          <w:bCs/>
        </w:rPr>
        <w:t xml:space="preserve">(B)</w:t>
      </w:r>
      <w:r>
        <w:t xml:space="preserve"> </w:t>
      </w:r>
      <w:r>
        <w:t xml:space="preserve">Stacked horizontal bar chart showing the distribution of pairwise transmission modes (clonal spread, horizontal transfer, independent) across 13 studies. The Ho 2019 NDM study contributed the most comparisons (n = 78).</w:t>
      </w:r>
      <w:r>
        <w:t xml:space="preserve"> </w:t>
      </w:r>
      <w:r>
        <w:rPr>
          <w:b/>
          <w:bCs/>
        </w:rPr>
        <w:t xml:space="preserve">(C)</w:t>
      </w:r>
      <w:r>
        <w:t xml:space="preserve"> </w:t>
      </w:r>
      <w:r>
        <w:t xml:space="preserve">Summary validation metrics table: 13 studies, 7 species, 20 STs, 92.3% overall concordance (12/13), 100% multi-ST detection (13/13), 92.3% clonal detection (12/13).</w:t>
      </w:r>
    </w:p>
    <w:bookmarkEnd w:id="24"/>
    <w:bookmarkStart w:id="25" w:name="X8fa4081639c7854575c7224102f9112f59c8ba0"/>
    <w:p>
      <w:pPr>
        <w:pStyle w:val="Heading2"/>
      </w:pPr>
      <w:r>
        <w:t xml:space="preserve">Figure 17. Assembly completeness scoring and quality control.</w:t>
      </w:r>
    </w:p>
    <w:p>
      <w:pPr>
        <w:pStyle w:val="FirstParagraph"/>
      </w:pPr>
      <w:r>
        <w:rPr>
          <w:b/>
          <w:bCs/>
        </w:rPr>
        <w:t xml:space="preserve">(A)</w:t>
      </w:r>
      <w:r>
        <w:t xml:space="preserve"> </w:t>
      </w:r>
      <w:r>
        <w:t xml:space="preserve">Distribution of composite assembly completeness scores (0–100) across the 8,077 training plasmids, showing 97.1% scoring COMPLETE (&gt;=80) and 2.9% NEAR-COMPLETE (60–79).</w:t>
      </w:r>
      <w:r>
        <w:t xml:space="preserve"> </w:t>
      </w:r>
      <w:r>
        <w:rPr>
          <w:b/>
          <w:bCs/>
        </w:rPr>
        <w:t xml:space="preserve">(B)</w:t>
      </w:r>
      <w:r>
        <w:t xml:space="preserve"> </w:t>
      </w:r>
      <w:r>
        <w:t xml:space="preserve">Breakdown of the five scoring components (contig count, N50 ratio, circular topology, coding density, N-gap presence) for training plasmids.</w:t>
      </w:r>
      <w:r>
        <w:t xml:space="preserve"> </w:t>
      </w:r>
      <w:r>
        <w:rPr>
          <w:b/>
          <w:bCs/>
        </w:rPr>
        <w:t xml:space="preserve">(C)</w:t>
      </w:r>
      <w:r>
        <w:t xml:space="preserve"> </w:t>
      </w:r>
      <w:r>
        <w:t xml:space="preserve">Negative control: completeness score distribution for 500 deliberately fragmented assemblies, with 62.4% scoring FRAGMENTED and 37.6% scoring POOR, confirming sensitivity to quality degradation.</w:t>
      </w:r>
      <w:r>
        <w:t xml:space="preserve"> </w:t>
      </w:r>
      <w:r>
        <w:rPr>
          <w:b/>
          <w:bCs/>
        </w:rPr>
        <w:t xml:space="preserve">(D)</w:t>
      </w:r>
      <w:r>
        <w:t xml:space="preserve"> </w:t>
      </w:r>
      <w:r>
        <w:t xml:space="preserve">Decision flowchart showing how assembly completeness scores are integrated into the pLIN classification pipeline, with POOR assemblies flagged and their codes annotated as provisional.</w:t>
      </w:r>
    </w:p>
    <w:bookmarkEnd w:id="25"/>
    <w:bookmarkStart w:id="26" w:name="X44d3c3b0ae24f490f7b950230608276513902fa"/>
    <w:p>
      <w:pPr>
        <w:pStyle w:val="Heading2"/>
      </w:pPr>
      <w:r>
        <w:t xml:space="preserve">Figure 18. Database coverage, novelty detection, and traffic-light flagging system.</w:t>
      </w:r>
    </w:p>
    <w:p>
      <w:pPr>
        <w:pStyle w:val="FirstParagraph"/>
      </w:pPr>
      <w:r>
        <w:rPr>
          <w:b/>
          <w:bCs/>
        </w:rPr>
        <w:t xml:space="preserve">(A)</w:t>
      </w:r>
      <w:r>
        <w:t xml:space="preserve"> </w:t>
      </w:r>
      <w:r>
        <w:t xml:space="preserve">Within-group nearest-neighbour distance distributions for all 28 groups, with 50th and 95th percentile boundaries indicated. Gram-positive groups show distinct distance distributions reflecting their different evolutionary dynamics.</w:t>
      </w:r>
      <w:r>
        <w:t xml:space="preserve"> </w:t>
      </w:r>
      <w:r>
        <w:rPr>
          <w:b/>
          <w:bCs/>
        </w:rPr>
        <w:t xml:space="preserve">(B)</w:t>
      </w:r>
      <w:r>
        <w:t xml:space="preserve"> </w:t>
      </w:r>
      <w:r>
        <w:t xml:space="preserve">Traffic-light classification of 74 outbreak validation plasmids: 59 GREEN (79.7%), 11 YELLOW (14.9%), 4 RED (5.4%). The four RED-flagged plasmids (two structural variants, two genuinely novel lineages) are individually annotated.</w:t>
      </w:r>
      <w:r>
        <w:t xml:space="preserve"> </w:t>
      </w:r>
      <w:r>
        <w:rPr>
          <w:b/>
          <w:bCs/>
        </w:rPr>
        <w:t xml:space="preserve">(C)</w:t>
      </w:r>
      <w:r>
        <w:t xml:space="preserve"> </w:t>
      </w:r>
      <w:r>
        <w:t xml:space="preserve">Novelty detection sensitivity: receiver operating characteristic (ROC) analysis comparing percentile-based flagging against known structural variants in the validation dataset.</w:t>
      </w:r>
    </w:p>
    <w:bookmarkEnd w:id="26"/>
    <w:bookmarkStart w:id="27" w:name="Xd6075fe379ffa15e7c2a2bb72227f628fa6e60e"/>
    <w:p>
      <w:pPr>
        <w:pStyle w:val="Heading2"/>
      </w:pPr>
      <w:r>
        <w:t xml:space="preserve">Figure 19. Recombination detection and mosaic plasmid analysis.</w:t>
      </w:r>
    </w:p>
    <w:p>
      <w:pPr>
        <w:pStyle w:val="FirstParagraph"/>
      </w:pPr>
      <w:r>
        <w:rPr>
          <w:b/>
          <w:bCs/>
        </w:rPr>
        <w:t xml:space="preserve">(A)</w:t>
      </w:r>
      <w:r>
        <w:t xml:space="preserve"> </w:t>
      </w:r>
      <w:r>
        <w:t xml:space="preserve">Schematic of the minimap2 PAF-based recombination detection algorithm, showing the three evaluated metrics: alignment coverage, block fragmentation index, and gap analysis.</w:t>
      </w:r>
      <w:r>
        <w:t xml:space="preserve"> </w:t>
      </w:r>
      <w:r>
        <w:rPr>
          <w:b/>
          <w:bCs/>
        </w:rPr>
        <w:t xml:space="preserve">(B)</w:t>
      </w:r>
      <w:r>
        <w:t xml:space="preserve"> </w:t>
      </w:r>
      <w:r>
        <w:t xml:space="preserve">Concordance between the new recombination detection module and the independent GC-content heterogeneity method on 705 IncX1 plasmids: 87.4% concordance, with discordant cases concentrated near the Medium/Low threshold boundary.</w:t>
      </w:r>
      <w:r>
        <w:t xml:space="preserve"> </w:t>
      </w:r>
      <w:r>
        <w:rPr>
          <w:b/>
          <w:bCs/>
        </w:rPr>
        <w:t xml:space="preserve">(C)</w:t>
      </w:r>
      <w:r>
        <w:t xml:space="preserve"> </w:t>
      </w:r>
      <w:r>
        <w:t xml:space="preserve">Example colour-coded alignment visualisation for a representative mosaic plasmid, showing aligned blocks (blue), unaligned gaps (red), and predicted horizontally acquired regions.</w:t>
      </w:r>
    </w:p>
    <w:bookmarkEnd w:id="27"/>
    <w:bookmarkStart w:id="28" w:name="X81ff647300df505416ac0131ed5fd14e0db8d6b"/>
    <w:p>
      <w:pPr>
        <w:pStyle w:val="Heading2"/>
      </w:pPr>
      <w:r>
        <w:t xml:space="preserve">Figure 20. Novel group discovery from low-confidence classifications.</w:t>
      </w:r>
    </w:p>
    <w:p>
      <w:pPr>
        <w:pStyle w:val="FirstParagraph"/>
      </w:pPr>
      <w:r>
        <w:rPr>
          <w:b/>
          <w:bCs/>
        </w:rPr>
        <w:t xml:space="preserve">(A)</w:t>
      </w:r>
      <w:r>
        <w:t xml:space="preserve"> </w:t>
      </w:r>
      <w:r>
        <w:t xml:space="preserve">UMAP projection of 2,146 Unknown/Novel reference plasmids (KNN confidence &lt;40%), with 23 putative novel groups (&gt;=3 members) highlighted by colour.</w:t>
      </w:r>
      <w:r>
        <w:t xml:space="preserve"> </w:t>
      </w:r>
      <w:r>
        <w:rPr>
          <w:b/>
          <w:bCs/>
        </w:rPr>
        <w:t xml:space="preserve">(B)</w:t>
      </w:r>
      <w:r>
        <w:t xml:space="preserve"> </w:t>
      </w:r>
      <w:r>
        <w:t xml:space="preserve">Size distribution of the 23 putative novel groups (range: 3–31 members).</w:t>
      </w:r>
      <w:r>
        <w:t xml:space="preserve"> </w:t>
      </w:r>
      <w:r>
        <w:rPr>
          <w:b/>
          <w:bCs/>
        </w:rPr>
        <w:t xml:space="preserve">(C)</w:t>
      </w:r>
      <w:r>
        <w:t xml:space="preserve"> </w:t>
      </w:r>
      <w:r>
        <w:t xml:space="preserve">Minimum cosine distance from each putative novel group to the nearest established group, showing clear separation (all &gt;0.05) from the 28 known groups.</w:t>
      </w:r>
      <w:r>
        <w:t xml:space="preserve"> </w:t>
      </w:r>
      <w:r>
        <w:rPr>
          <w:b/>
          <w:bCs/>
        </w:rPr>
        <w:t xml:space="preserve">(D)</w:t>
      </w:r>
      <w:r>
        <w:t xml:space="preserve"> </w:t>
      </w:r>
      <w:r>
        <w:t xml:space="preserve">Detailed characterisation of the three largest putative novel groups: member count, intra-cluster cohesion, nearest known group, mean GC content, and mean plasmid size.</w:t>
      </w:r>
    </w:p>
    <w:bookmarkEnd w:id="28"/>
    <w:bookmarkStart w:id="29" w:name="X77342cca4377882a711edd2bdb614c2de554514"/>
    <w:p>
      <w:pPr>
        <w:pStyle w:val="Heading2"/>
      </w:pPr>
      <w:r>
        <w:t xml:space="preserve">Figure 21. Evolutionary rate estimation and temporal analysis.</w:t>
      </w:r>
    </w:p>
    <w:p>
      <w:pPr>
        <w:pStyle w:val="FirstParagraph"/>
      </w:pPr>
      <w:r>
        <w:rPr>
          <w:b/>
          <w:bCs/>
        </w:rPr>
        <w:t xml:space="preserve">(A)</w:t>
      </w:r>
      <w:r>
        <w:t xml:space="preserve"> </w:t>
      </w:r>
      <w:r>
        <w:t xml:space="preserve">Regression plots for the 8 L6 clusters with adequate temporal signal (R^2 &gt;= 0.3), showing pairwise SNP count versus temporal distance (days).</w:t>
      </w:r>
      <w:r>
        <w:t xml:space="preserve"> </w:t>
      </w:r>
      <w:r>
        <w:rPr>
          <w:b/>
          <w:bCs/>
        </w:rPr>
        <w:t xml:space="preserve">(B)</w:t>
      </w:r>
      <w:r>
        <w:t xml:space="preserve"> </w:t>
      </w:r>
      <w:r>
        <w:t xml:space="preserve">Distribution of estimated evolutionary rates across the 8 clusters: median 3.2 x 10^-6 substitutions/site/year (range: 8.7 x 10^-7 to 1.4 x 10^-5). Shaded region indicates the expected plasmid mutation rate range (10^-6 to 10^-5).</w:t>
      </w:r>
      <w:r>
        <w:t xml:space="preserve"> </w:t>
      </w:r>
      <w:r>
        <w:rPr>
          <w:b/>
          <w:bCs/>
        </w:rPr>
        <w:t xml:space="preserve">(C)</w:t>
      </w:r>
      <w:r>
        <w:t xml:space="preserve"> </w:t>
      </w:r>
      <w:r>
        <w:t xml:space="preserve">Correlation between evolutionary rate estimates and recombination flags, showing that the two clusters with rates exceeding 10^-5 both carried High recombination flags.</w:t>
      </w:r>
    </w:p>
    <w:bookmarkEnd w:id="29"/>
    <w:bookmarkStart w:id="30" w:name="X735c76445e93b0a87ef6acf8cc9b9bd7a6b2c1d"/>
    <w:p>
      <w:pPr>
        <w:pStyle w:val="Heading2"/>
      </w:pPr>
      <w:r>
        <w:t xml:space="preserve">Figure 22. Adaptive threshold calibration and cluster stability assessment.</w:t>
      </w:r>
    </w:p>
    <w:p>
      <w:pPr>
        <w:pStyle w:val="FirstParagraph"/>
      </w:pPr>
      <w:r>
        <w:rPr>
          <w:b/>
          <w:bCs/>
        </w:rPr>
        <w:t xml:space="preserve">(A)</w:t>
      </w:r>
      <w:r>
        <w:t xml:space="preserve"> </w:t>
      </w:r>
      <w:r>
        <w:t xml:space="preserve">Bootstrap cluster stability scores (50 iterations) at the L6 threshold for all 28 groups, showing mean scores of 0.83 (Gram-negative) and 0.79 (Gram-positive).</w:t>
      </w:r>
      <w:r>
        <w:t xml:space="preserve"> </w:t>
      </w:r>
      <w:r>
        <w:rPr>
          <w:b/>
          <w:bCs/>
        </w:rPr>
        <w:t xml:space="preserve">(B)</w:t>
      </w:r>
      <w:r>
        <w:t xml:space="preserve"> </w:t>
      </w:r>
      <w:r>
        <w:t xml:space="preserve">Adjusted Rand Index (ARI) comparison between single-linkage, complete-linkage, and average-linkage clustering for each group. Five groups with moderate discordance (ARI 0.55–0.75) are highlighted.</w:t>
      </w:r>
      <w:r>
        <w:t xml:space="preserve"> </w:t>
      </w:r>
      <w:r>
        <w:rPr>
          <w:b/>
          <w:bCs/>
        </w:rPr>
        <w:t xml:space="preserve">(C)</w:t>
      </w:r>
      <w:r>
        <w:t xml:space="preserve"> </w:t>
      </w:r>
      <w:r>
        <w:t xml:space="preserve">Example of group-specific calibrated thresholds for IncFII (the largest and most recombinogenic group), showing the threshold value that maximises mean cluster stability compared to the standard threshold.</w:t>
      </w:r>
    </w:p>
    <w:bookmarkEnd w:id="30"/>
    <w:bookmarkStart w:id="31" w:name="X4ce1495d83945fe96747b4c3b1c205acec51f08"/>
    <w:p>
      <w:pPr>
        <w:pStyle w:val="Heading2"/>
      </w:pPr>
      <w:r>
        <w:t xml:space="preserve">Figure 23. Mobile genetic element boundary detection and composite transposon identification.</w:t>
      </w:r>
    </w:p>
    <w:p>
      <w:pPr>
        <w:pStyle w:val="FirstParagraph"/>
      </w:pPr>
      <w:r>
        <w:rPr>
          <w:b/>
          <w:bCs/>
        </w:rPr>
        <w:t xml:space="preserve">(A)</w:t>
      </w:r>
      <w:r>
        <w:t xml:space="preserve"> </w:t>
      </w:r>
      <w:r>
        <w:t xml:space="preserve">Frequency distribution of IS element families detected across 4,657 AMR-positive training plasmids: IS</w:t>
      </w:r>
      <w:r>
        <w:rPr>
          <w:i/>
          <w:iCs/>
        </w:rPr>
        <w:t xml:space="preserve">26</w:t>
      </w:r>
      <w:r>
        <w:t xml:space="preserve"> </w:t>
      </w:r>
      <w:r>
        <w:t xml:space="preserve">(n = 1,247), IS</w:t>
      </w:r>
      <w:r>
        <w:rPr>
          <w:i/>
          <w:iCs/>
        </w:rPr>
        <w:t xml:space="preserve">1</w:t>
      </w:r>
      <w:r>
        <w:t xml:space="preserve"> </w:t>
      </w:r>
      <w:r>
        <w:t xml:space="preserve">(n = 682), IS</w:t>
      </w:r>
      <w:r>
        <w:rPr>
          <w:i/>
          <w:iCs/>
        </w:rPr>
        <w:t xml:space="preserve">903</w:t>
      </w:r>
      <w:r>
        <w:t xml:space="preserve"> </w:t>
      </w:r>
      <w:r>
        <w:t xml:space="preserve">(n = 445).</w:t>
      </w:r>
      <w:r>
        <w:t xml:space="preserve"> </w:t>
      </w:r>
      <w:r>
        <w:rPr>
          <w:b/>
          <w:bCs/>
        </w:rPr>
        <w:t xml:space="preserve">(B)</w:t>
      </w:r>
      <w:r>
        <w:t xml:space="preserve"> </w:t>
      </w:r>
      <w:r>
        <w:t xml:space="preserve">Composite transposon architecture: 891 detected structures, with 634 (71.2%) flanking AMR genes; IS</w:t>
      </w:r>
      <w:r>
        <w:rPr>
          <w:i/>
          <w:iCs/>
        </w:rPr>
        <w:t xml:space="preserve">26</w:t>
      </w:r>
      <w:r>
        <w:t xml:space="preserve">-bounded structures are the most common (n = 387).</w:t>
      </w:r>
      <w:r>
        <w:t xml:space="preserve"> </w:t>
      </w:r>
      <w:r>
        <w:rPr>
          <w:b/>
          <w:bCs/>
        </w:rPr>
        <w:t xml:space="preserve">(C)</w:t>
      </w:r>
      <w:r>
        <w:t xml:space="preserve"> </w:t>
      </w:r>
      <w:r>
        <w:t xml:space="preserve">Example colour-coded linear gene map for a representative IncN plasmid carrying blaKPC-2 within a Tn</w:t>
      </w:r>
      <w:r>
        <w:rPr>
          <w:i/>
          <w:iCs/>
        </w:rPr>
        <w:t xml:space="preserve">4401</w:t>
      </w:r>
      <w:r>
        <w:t xml:space="preserve"> </w:t>
      </w:r>
      <w:r>
        <w:t xml:space="preserve">composite transposon: IS elements (yellow), integrases (purple), AMR genes (red), other CDS (grey).</w:t>
      </w:r>
      <w:r>
        <w:t xml:space="preserve"> </w:t>
      </w:r>
      <w:r>
        <w:rPr>
          <w:b/>
          <w:bCs/>
        </w:rPr>
        <w:t xml:space="preserve">(D)</w:t>
      </w:r>
      <w:r>
        <w:t xml:space="preserve"> </w:t>
      </w:r>
      <w:r>
        <w:t xml:space="preserve">Summary of MGE context for clinically critical resistance genes: proportion of blaKPC, blaNDM, mcr, and blaCTX-M detections associated with identifiable IS elements, integrases, or composite transposons.</w:t>
      </w:r>
    </w:p>
    <w:bookmarkEnd w:id="31"/>
    <w:bookmarkStart w:id="32" w:name="Xe3b1865937c1d53d60fbb494b846083bd3df1bb"/>
    <w:p>
      <w:pPr>
        <w:pStyle w:val="Heading2"/>
      </w:pPr>
      <w:r>
        <w:t xml:space="preserve">Figure 24. Plasmid versus chromosome contig identification: multi-signal scoring validation.</w:t>
      </w:r>
    </w:p>
    <w:p>
      <w:pPr>
        <w:pStyle w:val="FirstParagraph"/>
      </w:pPr>
      <w:r>
        <w:rPr>
          <w:b/>
          <w:bCs/>
        </w:rPr>
        <w:t xml:space="preserve">(A)</w:t>
      </w:r>
      <w:r>
        <w:t xml:space="preserve"> </w:t>
      </w:r>
      <w:r>
        <w:t xml:space="preserve">Receiver operating characteristic (ROC) curves for the four individual scoring signals and the combined multi-signal model on the 1,000-contig synthetic benchmark (500 plasmid, 500 chromosomal). Individual signal AUCs: sequence length scoring (0.94), cosine distance to nearest plasmid training vector (0.89), Inc group classifier confidence (0.82), FASTA header keyword matching (0.71). Combined four-signal model AUC = 0.99, demonstrating substantial complementarity among signals.</w:t>
      </w:r>
      <w:r>
        <w:t xml:space="preserve"> </w:t>
      </w:r>
      <w:r>
        <w:rPr>
          <w:b/>
          <w:bCs/>
        </w:rPr>
        <w:t xml:space="preserve">(B)</w:t>
      </w:r>
      <w:r>
        <w:t xml:space="preserve"> </w:t>
      </w:r>
      <w:r>
        <w:t xml:space="preserve">Composite score distributions for true plasmid contigs (blue) and true chromosomal contigs (red), with decision boundaries at +10 (plasmid threshold) and -10 (chromosome threshold) indicated by dashed vertical lines. The borderline zone (-10 to +10) contains 3.4% of contigs (21 plasmids, 13 chromosomal), all defaulting to</w:t>
      </w:r>
      <w:r>
        <w:t xml:space="preserve"> </w:t>
      </w:r>
      <w:r>
        <w:t xml:space="preserve">“plasmid”</w:t>
      </w:r>
      <w:r>
        <w:t xml:space="preserve"> </w:t>
      </w:r>
      <w:r>
        <w:t xml:space="preserve">classification under the conservative design rule.</w:t>
      </w:r>
      <w:r>
        <w:t xml:space="preserve"> </w:t>
      </w:r>
      <w:r>
        <w:rPr>
          <w:b/>
          <w:bCs/>
        </w:rPr>
        <w:t xml:space="preserve">(C)</w:t>
      </w:r>
      <w:r>
        <w:t xml:space="preserve"> </w:t>
      </w:r>
      <w:r>
        <w:t xml:space="preserve">Confusion matrix showing 493 true plasmid, 485 true chromosome, 15 false plasmid (chromosomal contigs misclassified as plasmid), and 7 false chromosome (plasmid contigs misclassified as chromosome). The 7 missed plasmids are individually annotated with their sequence lengths and nearest-neighbour distances, revealing that 5/7 were large plasmids (&gt;200 kb) with chromosomal-like composition. The 15 false plasmids were predominantly small chromosomal fragments (&lt;30 kb).</w:t>
      </w:r>
      <w:r>
        <w:t xml:space="preserve"> </w:t>
      </w:r>
      <w:r>
        <w:rPr>
          <w:b/>
          <w:bCs/>
        </w:rPr>
        <w:t xml:space="preserve">(D)</w:t>
      </w:r>
      <w:r>
        <w:t xml:space="preserve"> </w:t>
      </w:r>
      <w:r>
        <w:t xml:space="preserve">Validation on 200 real whole-genome assemblies from NCBI (847 chromosomal contigs, 312 plasmid contigs): 96.5% concordance with submitter annotations, with discordant cases classified by type (megaplasmid, chromid, ambiguous annotation).</w:t>
      </w:r>
    </w:p>
    <w:bookmarkEnd w:id="32"/>
    <w:bookmarkEnd w:id="3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2026-02-21T17:21:21Z</dcterms:created>
  <dcterms:modified xsi:type="dcterms:W3CDTF">2026-02-21T17:21:21Z</dcterms:modified>
</cp:coreProperties>
</file>

<file path=docProps/custom.xml><?xml version="1.0" encoding="utf-8"?>
<Properties xmlns="http://schemas.openxmlformats.org/officeDocument/2006/custom-properties" xmlns:vt="http://schemas.openxmlformats.org/officeDocument/2006/docPropsVTypes"/>
</file>