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figure-legends"/>
    <w:p>
      <w:pPr>
        <w:pStyle w:val="Heading1"/>
      </w:pPr>
      <w:r>
        <w:t xml:space="preserve">Figure legends</w:t>
      </w:r>
    </w:p>
    <w:bookmarkStart w:id="9" w:name="Xd70a09ed84e95b463d7098557440252ccf1d76f"/>
    <w:p>
      <w:pPr>
        <w:pStyle w:val="Heading2"/>
      </w:pPr>
      <w:r>
        <w:t xml:space="preserve">Figure 1. Overview of the pLIN classification, analytical modules, and outbreak detection pipeline</w:t>
      </w:r>
    </w:p>
    <w:p>
      <w:pPr>
        <w:pStyle w:val="FirstParagraph"/>
      </w:pPr>
      <w:r>
        <w:t xml:space="preserve">Schematic representation of the pLIN workflow. (A) Input: whole-genome sequencing assemblies or plasmid sequences in FASTA format from both Gram-negative and Gram-positive organisms. (A’) Automated plasmid contig identification: multi-signal scoring system evaluating sequence length, cosine distance to the plasmid training database, FASTA header keywords, and Inc group classification confidence to separate plasmid contigs (score &gt;=10) from chromosomal sequences (score &lt;=-10), with borderline contigs conservatively retained as plasmid. Chromosomal contigs are excluded from downstream analysis with user-overridable reporting. (B) 4-mer frequency vector computation (256 features per sequence) and replicon group classification by KNN (k=5, cosine distance, distance-weighted) across 28 groups (20 Gram-negative Inc groups, 4 Gram-positive rep type groups, 2</w:t>
      </w:r>
      <w:r>
        <w:t xml:space="preserve"> </w:t>
      </w:r>
      <w:r>
        <w:rPr>
          <w:i/>
          <w:iCs/>
        </w:rPr>
        <w:t xml:space="preserve">Acinetobacter baumannii</w:t>
      </w:r>
      <w:r>
        <w:t xml:space="preserve"> </w:t>
      </w:r>
      <w:r>
        <w:t xml:space="preserve">rep type groups, 2</w:t>
      </w:r>
      <w:r>
        <w:t xml:space="preserve"> </w:t>
      </w:r>
      <w:r>
        <w:rPr>
          <w:i/>
          <w:iCs/>
        </w:rPr>
        <w:t xml:space="preserve">Pseudomonas aeruginosa</w:t>
      </w:r>
      <w:r>
        <w:t xml:space="preserve"> </w:t>
      </w:r>
      <w:r>
        <w:t xml:space="preserve">rep type groups). (C) Within-group pairwise cosine distance computation and hierarchical pLIN code assignment at six resolution levels (L1–L6; Table 2). (D) AMR, virulence, and stress gene annotation via AMRFinderPlus v4.2.5. (E) Seven analytical modules: assembly completeness scoring (L3), database novelty detection with traffic-light system (L4), recombination detection via minimap2 alignment analysis (L5), novel replicon group discovery by hierarchical clustering (L6), evolutionary rate estimation (L7), bootstrap cluster stability and adaptive thresholds (L8), and MGE boundary detection with composite transposon identification (L10). (F) Two-tier outbreak detection: basic module (shared L6 code + identical AMR fingerprint) and temporal module (time-windowed clustering with CRITICAL/HIGH/MODERATE risk stratification). (G) Clinical output: integrated report combining pLIN codes, AMR profiles, quality scores, recombination flags, MGE maps, outbreak alerts, and suggested infection control actions. The complete pipeline processes a typical clinical batch in under 30 minutes on standard hardware.</w:t>
      </w:r>
    </w:p>
    <w:bookmarkEnd w:id="9"/>
    <w:bookmarkStart w:id="10" w:name="X8c8203e0c35fca4853b1858342c6dc11846e0f9"/>
    <w:p>
      <w:pPr>
        <w:pStyle w:val="Heading2"/>
      </w:pPr>
      <w:r>
        <w:t xml:space="preserve">Figure 2. Discriminatory power and AMR landscape of pLIN classification</w:t>
      </w:r>
    </w:p>
    <w:p>
      <w:pPr>
        <w:pStyle w:val="Compact"/>
        <w:numPr>
          <w:ilvl w:val="0"/>
          <w:numId w:val="1001"/>
        </w:numPr>
      </w:pPr>
      <w:r>
        <w:t xml:space="preserve">Simpson’s diversity index comparison: pLIN L6 codes (D=0.980) versus Inc/rep typing alone (D=0.527) across 8,077 plasmids in 28 replicon groups. (B) Distribution of unique L6 pLIN codes across 28 replicon groups (20 Gram-negative Inc groups shown in blue tones, 4 Gram-positive rep type groups, 2</w:t>
      </w:r>
      <w:r>
        <w:t xml:space="preserve"> </w:t>
      </w:r>
      <w:r>
        <w:rPr>
          <w:i/>
          <w:iCs/>
        </w:rPr>
        <w:t xml:space="preserve">Acinetobacter</w:t>
      </w:r>
      <w:r>
        <w:t xml:space="preserve"> </w:t>
      </w:r>
      <w:r>
        <w:t xml:space="preserve">rep type groups, and 2</w:t>
      </w:r>
      <w:r>
        <w:t xml:space="preserve"> </w:t>
      </w:r>
      <w:r>
        <w:rPr>
          <w:i/>
          <w:iCs/>
        </w:rPr>
        <w:t xml:space="preserve">Pseudomonas</w:t>
      </w:r>
      <w:r>
        <w:t xml:space="preserve"> </w:t>
      </w:r>
      <w:r>
        <w:t xml:space="preserve">rep type groups shown in red tones), showing the hierarchical structure from L1 (broad families) to L6 (strain-level resolution). (C) AMR gene prevalence across AMR-positive plasmids: bar chart showing the top 10 most prevalent AMR genes, led by blaTEM-1 (41.6%) and sul1 (37.1%). (D) Distribution of clinically critical resistance determinants: carbapenemases (n=1,623; blaKPC-2 n=824, blaNDM-1 n=228), ESBLs (n=2,056; blaCTX-M-15 n=505), PMQR (n=2,349), and mcr (n=204; mcr-1.1 n=83). Inc groups with 100% AMR carriage (IncA, IncAC2, IncC, IncFIC, IncHI2) are highlighted. (E) GC-content distribution comparison between Gram-negative (30–65%) and Gram-positive (25–70%) training plasmids, illustrating the widened validation window.</w:t>
      </w:r>
    </w:p>
    <w:bookmarkEnd w:id="10"/>
    <w:bookmarkStart w:id="11" w:name="Xad51c72434012b7c142cbbf9125d47db43cfdef"/>
    <w:p>
      <w:pPr>
        <w:pStyle w:val="Heading2"/>
      </w:pPr>
      <w:r>
        <w:t xml:space="preserve">Figure 3. Cross-validation of pLIN against published plasmid-mediated outbreaks</w:t>
      </w:r>
    </w:p>
    <w:p>
      <w:pPr>
        <w:pStyle w:val="Compact"/>
        <w:numPr>
          <w:ilvl w:val="0"/>
          <w:numId w:val="1002"/>
        </w:numPr>
      </w:pPr>
      <w:r>
        <w:t xml:space="preserve">Study 1 (Yao et al. 2023): KPC-2 IncN plasmid from a 61-hospital German outbreak assigned pLIN 671, matching the independently identified high-risk lineage in the training dataset (n=90, 100% blaKPC-2 carriage). Dendrogram showing the relationship between the outbreak plasmid (CP104944) and training set members of pLIN 671 at L6 resolution. (B) Study 2 (Weber et al. 2019): Twelve NDM-1 plasmids from a single-hospital polyclonal outbreak resolved into nine unique L6 codes; four plasmids sharing an IncA/C2 backbone grouped under pLIN 492. Hierarchical clustering illustrates backbone grouping (same L6 code) versus within-outbreak diversity (different L6 codes). (C) Study 4 (Roberts et al. 2020): IMP-4 IncHI2 outbreak plasmid (CP022533) from Australia assigned pLIN 860, matching the cross-Inc MDR hub lineage (n=142, 14.4 mean AMR genes, 44.4% mcr carriage). (D) Summary: 17 outbreak plasmids tested, 2 matched known high-risk lineages, 9 assigned novel L6 codes for genuinely novel variants, and 100% Inc classification accuracy among high-confidence predictions (8/8 with confidence &gt;60%).</w:t>
      </w:r>
    </w:p>
    <w:bookmarkEnd w:id="11"/>
    <w:bookmarkStart w:id="12" w:name="X1cbf8aa5b067b194a5aa0b69ae67864f8ad3906"/>
    <w:p>
      <w:pPr>
        <w:pStyle w:val="Heading2"/>
      </w:pPr>
      <w:r>
        <w:t xml:space="preserve">Figure 4. Resolution comparison across plasmid classification methods</w:t>
      </w:r>
    </w:p>
    <w:p>
      <w:pPr>
        <w:pStyle w:val="FirstParagraph"/>
      </w:pPr>
      <w:r>
        <w:t xml:space="preserve">Alluvial flow diagram showing how 74 outbreak plasmids from 27 studies across 13 countries are resolved by six classification methods. Ribbons coloured by resistance mechanism. PlasmidFinder: 11 flat Inc labels (100% coverage); pMLST: 10 sequence types (61% coverage); MOB-suite: 8 cluster IDs (61% coverage); COPLA/PTU: 6 PTU groups (57% coverage); mge-cluster: 22 clusters (no permanent codes); pLIN: 42 unique hierarchical codes (100% coverage). Key annotations: Ho 2019 NDM (12/13 → pLIN 475), OXA-48 cross-country (5/6 → pLIN 1688), mcr-1 separation (pLIN 87 vs 340).</w:t>
      </w:r>
    </w:p>
    <w:bookmarkEnd w:id="12"/>
    <w:bookmarkStart w:id="13" w:name="Xc1b87f78b073301d869912ff7db4e213cdeebdb"/>
    <w:p>
      <w:pPr>
        <w:pStyle w:val="Heading2"/>
      </w:pPr>
      <w:r>
        <w:t xml:space="preserve">Figure 5. Combined chromosomal-plasmid typing: transmission mode discrimination</w:t>
      </w:r>
    </w:p>
    <w:p>
      <w:pPr>
        <w:pStyle w:val="Compact"/>
        <w:numPr>
          <w:ilvl w:val="0"/>
          <w:numId w:val="1003"/>
        </w:numPr>
      </w:pPr>
      <w:r>
        <w:t xml:space="preserve">Bipartite network showing MLST ST nodes (left, coloured by species) connected to pLIN L6 nodes (right). Seven species across 13 studies. (B) Stacked bar chart of transmission modes per study. (C) Validation summary: 13 studies, 7 species, 20 STs, 92.3% concordance (12/13), 100% multi-ST detection, 92.3% clonal detection.</w:t>
      </w:r>
    </w:p>
    <w:bookmarkEnd w:id="13"/>
    <w:bookmarkStart w:id="14" w:name="X1dd5958e9d65e7e71ac81e148b049ed16f9c6cf"/>
    <w:p>
      <w:pPr>
        <w:pStyle w:val="Heading2"/>
      </w:pPr>
      <w:r>
        <w:t xml:space="preserve">Figure 6. Non-Enterobacterales replicon group classification performance</w:t>
      </w:r>
    </w:p>
    <w:p>
      <w:pPr>
        <w:pStyle w:val="Compact"/>
        <w:numPr>
          <w:ilvl w:val="0"/>
          <w:numId w:val="1004"/>
        </w:numPr>
      </w:pPr>
      <w:r>
        <w:t xml:space="preserve">Confusion matrix for the 28-group KNN classifier showing per-group classification accuracy. The four Gram-positive groups (repSA_large, repSA_small, repEF_conj, repEF_res), two</w:t>
      </w:r>
      <w:r>
        <w:t xml:space="preserve"> </w:t>
      </w:r>
      <w:r>
        <w:rPr>
          <w:i/>
          <w:iCs/>
        </w:rPr>
        <w:t xml:space="preserve">Acinetobacter</w:t>
      </w:r>
      <w:r>
        <w:t xml:space="preserve"> </w:t>
      </w:r>
      <w:r>
        <w:t xml:space="preserve">groups (repAci1, repAci_large), and two</w:t>
      </w:r>
      <w:r>
        <w:t xml:space="preserve"> </w:t>
      </w:r>
      <w:r>
        <w:rPr>
          <w:i/>
          <w:iCs/>
        </w:rPr>
        <w:t xml:space="preserve">Pseudomonas</w:t>
      </w:r>
      <w:r>
        <w:t xml:space="preserve"> </w:t>
      </w:r>
      <w:r>
        <w:t xml:space="preserve">groups (repPae_large, repPae_small) are highlighted with dashed borders. Overall accuracy: 91.1% (92.2% Gram-negative, 88.0–93.4% Gram-positive). (B) t-SNE projection of 4-mer frequency vectors for all 8,077 training plasmids, with Gram-negative Inc groups in blue tones and non-Enterobacterales rep type groups in red tones, demonstrating clear separation in compositional space. (C) Per-group training set size and cross-validation accuracy for all 28 groups, ordered by accuracy. (D) Receiver operating characteristic (ROC) curves for the eight non-Enterobacterales groups, with area under curve (AUC) values ranging from 0.95 to 0.98.</w:t>
      </w:r>
    </w:p>
    <w:bookmarkEnd w:id="14"/>
    <w:bookmarkStart w:id="15" w:name="X06e6d115fc275130dcd4dcfb4ebea3a5e1b5a2e"/>
    <w:p>
      <w:pPr>
        <w:pStyle w:val="Heading2"/>
      </w:pPr>
      <w:r>
        <w:t xml:space="preserve">Figure 7. Analytical module outputs: assembly quality, novelty detection, and recombination</w:t>
      </w:r>
    </w:p>
    <w:p>
      <w:pPr>
        <w:pStyle w:val="Compact"/>
        <w:numPr>
          <w:ilvl w:val="0"/>
          <w:numId w:val="1005"/>
        </w:numPr>
      </w:pPr>
      <w:r>
        <w:t xml:space="preserve">Assembly completeness score distribution across 8,077 training plasmids, categorised as COMPLETE (&gt;=80; green), NEAR-COMPLETE (60–79; yellow), FRAGMENTED (40–59; orange), and POOR (&lt;40; red). Box plots show KNN classification confidence stratified by completeness category, demonstrating the correlation between assembly quality and classification reliability. (B) Novelty detection traffic-light distribution for 74 outbreak validation plasmids: GREEN (n=63), YELLOW (n=8), RED (n=3). Scatter plot of nearest-neighbour distance percentile versus classification confidence. (C) Recombination flag distribution across Gram-negative training plasmids by Inc group. IncFII and IncHI2 show the highest prevalence of Medium/High recombination flags. (D) Example minimap2 alignment dotplot for a High-recombination pLIN 860 member, showing fragmented alignment blocks characteristic of mosaic plasmid architecture.</w:t>
      </w:r>
    </w:p>
    <w:bookmarkEnd w:id="15"/>
    <w:bookmarkStart w:id="16" w:name="X6d5b063545007d11073781c30ba28b31c7c4a15"/>
    <w:p>
      <w:pPr>
        <w:pStyle w:val="Heading2"/>
      </w:pPr>
      <w:r>
        <w:t xml:space="preserve">Figure 8. MGE boundary detection and composite transposon architecture</w:t>
      </w:r>
    </w:p>
    <w:p>
      <w:pPr>
        <w:pStyle w:val="Compact"/>
        <w:numPr>
          <w:ilvl w:val="0"/>
          <w:numId w:val="1006"/>
        </w:numPr>
      </w:pPr>
      <w:r>
        <w:t xml:space="preserve">Prevalence of IS element families across 6,998 Gram-negative plasmids. IS26 (n=1,847) and ISEcp1 (n=612) are the most common. (B) Distribution of composite transposons (IS pairs flanking resistance genes) across replicon groups, with IncFII and IncN showing the highest frequencies. (C) Example colour-coded linear gene map of a pLIN 671 member (IncN/blaKPC-2), showing the Tn4401-like composite transposon flanked by IS elements, with resistance genes in red, IS elements in yellow, and other coding sequences in grey. (D) Comparison of composite transposon prevalence between high-risk lineages (pLIN 671: 96.7%; pLIN 860: 82.4%; pLIN 778: 91.2%) and the overall dataset average (16.5%), illustrating the role of transposon-mediated mobilisation in clinically important AMR dissemination.</w:t>
      </w:r>
    </w:p>
    <w:bookmarkEnd w:id="16"/>
    <w:bookmarkStart w:id="17" w:name="X1078b2628d1b9686a308daab5b39f742f553006"/>
    <w:p>
      <w:pPr>
        <w:pStyle w:val="Heading2"/>
      </w:pPr>
      <w:r>
        <w:t xml:space="preserve">Figure 9. Evolutionary rate estimation and cluster stability</w:t>
      </w:r>
    </w:p>
    <w:p>
      <w:pPr>
        <w:pStyle w:val="Compact"/>
        <w:numPr>
          <w:ilvl w:val="0"/>
          <w:numId w:val="1007"/>
        </w:numPr>
      </w:pPr>
      <w:r>
        <w:t xml:space="preserve">SNP accumulation versus time for six dated outbreak clusters with linear regression fits. Substitution rates range from 1.2 x 10^-6 to 8.7 x 10^-6 subs/site/year (grey band indicates expected plasmid rate range of 10^-6 to 10^-5). (B) Bootstrap cluster stability (Adjusted Rand Index) across 50 resampling iterations for each of the 28 replicon groups. Box plots show median ARI of 0.92 (range 0.85–0.97). (C) Comparison of linkage methods (single, complete, average) by ARI against ANI-validated thresholds. Average linkage achieves the highest concordance (ARI=0.94). (D) Effect of group-specific threshold calibration on per-group classification accuracy for under-represented groups (IncI, IncI2, ColE), showing a mean improvement of 1.3 percentage points.</w:t>
      </w:r>
    </w:p>
    <w:bookmarkEnd w:id="17"/>
    <w:bookmarkStart w:id="18" w:name="Xdabdbb389eb844976334ae52a1fefc34ec0ca88"/>
    <w:p>
      <w:pPr>
        <w:pStyle w:val="Heading2"/>
      </w:pPr>
      <w:r>
        <w:t xml:space="preserve">Figure 10. Plasmid contig identification: multi-signal scoring validation</w:t>
      </w:r>
    </w:p>
    <w:p>
      <w:pPr>
        <w:pStyle w:val="Compact"/>
        <w:numPr>
          <w:ilvl w:val="0"/>
          <w:numId w:val="1008"/>
        </w:numPr>
      </w:pPr>
      <w:r>
        <w:t xml:space="preserve">Confusion matrix for the plasmid versus chromosome contig classifier on a mixed test set of 500 sequences (350 known plasmids, 150 chromosomal contigs from Enterobacterales,</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w:t>
      </w:r>
      <w:r>
        <w:t xml:space="preserve">, and</w:t>
      </w:r>
      <w:r>
        <w:t xml:space="preserve"> </w:t>
      </w:r>
      <w:r>
        <w:rPr>
          <w:i/>
          <w:iCs/>
        </w:rPr>
        <w:t xml:space="preserve">Pseudomonas</w:t>
      </w:r>
      <w:r>
        <w:t xml:space="preserve"> </w:t>
      </w:r>
      <w:r>
        <w:t xml:space="preserve">assemblies). Overall accuracy 97.6%, sensitivity 98.9%, specificity 94.7%. (B) Distribution of composite scores for plasmid (blue) and chromosomal (red) sequences, showing clear separation with the classification thresholds (score &gt;=10: plasmid; score &lt;=-10: chromosome; shaded grey: borderline zone defaulting to plasmid). (C) Contribution of each scoring signal to classification: stacked bar chart showing the relative weight of sequence length, cosine distance to nearest training vector, FASTA header keywords, and Inc group confidence for correctly classified plasmids (left) and chromosomes (right). Sequence length and cosine distance contributed the most discriminatory power. (D) Scatter plot of contig length (x-axis, log scale) versus nearest-neighbour cosine distance to the plasmid training database (y-axis) for all 500 test sequences, coloured by true classification (plasmid/chromosome) with misclassified contigs highlighted. Misclassified chromosomal contigs cluster in the &lt;300 kb, low-distance region (mobile element-rich fragments), while misclassified plasmids are large conjugative plasmids (350–480 kb) penalised by the length signal.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2026-02-21T17:21:21Z</dcterms:created>
  <dcterms:modified xsi:type="dcterms:W3CDTF">2026-02-21T17:21:21Z</dcterms:modified>
</cp:coreProperties>
</file>

<file path=docProps/custom.xml><?xml version="1.0" encoding="utf-8"?>
<Properties xmlns="http://schemas.openxmlformats.org/officeDocument/2006/custom-properties" xmlns:vt="http://schemas.openxmlformats.org/officeDocument/2006/docPropsVTypes"/>
</file>