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480" w:lineRule="auto"/>
      </w:pPr>
      <w:r>
        <w:rPr>
          <w:rFonts w:ascii="Times New Roman" w:hAnsi="Times New Roman"/>
          <w:b w:val="0"/>
          <w:i w:val="0"/>
          <w:sz w:val="24"/>
        </w:rPr>
        <w:t>pLIN: a hierarchical plasmid classification and surveillance system linking antimicrobial resistance to transmissible lineages</w:t>
      </w:r>
    </w:p>
    <w:p>
      <w:pPr>
        <w:spacing w:after="120" w:before="0" w:line="480" w:lineRule="auto"/>
      </w:pPr>
      <w:r>
        <w:rPr>
          <w:rFonts w:ascii="Times New Roman" w:hAnsi="Times New Roman"/>
          <w:b w:val="0"/>
          <w:i w:val="0"/>
          <w:sz w:val="24"/>
        </w:rPr>
        <w:t>Basil Britto Xavier, Anurag Kumar Bari, Bhanu Sinha, John W A Rossen on behalf of DRAIGON Consoritum</w:t>
      </w:r>
    </w:p>
    <w:p>
      <w:pPr>
        <w:spacing w:after="120" w:before="0" w:line="480" w:lineRule="auto"/>
      </w:pPr>
      <w:r>
        <w:rPr>
          <w:rFonts w:ascii="Times New Roman" w:hAnsi="Times New Roman"/>
          <w:b w:val="0"/>
          <w:i w:val="0"/>
          <w:sz w:val="24"/>
        </w:rPr>
        <w:t>Correspondence to: Prof John W A Rossen</w:t>
      </w:r>
    </w:p>
    <w:p>
      <w:pPr>
        <w:spacing w:before="120" w:after="120"/>
        <w:pBdr>
          <w:bottom w:val="single" w:sz="6" w:space="1" w:color="auto"/>
        </w:pBdr>
      </w:pPr>
    </w:p>
    <w:p>
      <w:pPr>
        <w:spacing w:after="120" w:before="0" w:line="480" w:lineRule="auto"/>
      </w:pPr>
      <w:r>
        <w:rPr>
          <w:rFonts w:ascii="Times New Roman" w:hAnsi="Times New Roman"/>
          <w:b w:val="0"/>
          <w:i w:val="0"/>
          <w:sz w:val="24"/>
        </w:rPr>
        <w:t>Summary</w:t>
      </w:r>
    </w:p>
    <w:p>
      <w:pPr>
        <w:spacing w:after="120" w:before="0" w:line="480" w:lineRule="auto"/>
      </w:pPr>
      <w:r>
        <w:rPr>
          <w:rFonts w:ascii="Times New Roman" w:hAnsi="Times New Roman"/>
          <w:b w:val="0"/>
          <w:i w:val="0"/>
          <w:sz w:val="24"/>
        </w:rPr>
        <w:t xml:space="preserve">Background Plasmid-mediated horizontal gene transfer is the primary driver of antimicrobial resistance (AMR) dissemination in clinically important bacteria, yet current typing approaches lack the resolution to track individual resistance-carrying plasmid lineages. We developed pLIN (plasmid Lineage Identification Number), a hierarchical classification system that assigns permanent, multi-resolution codes to plasmids and integrates AMR profiling with automated outbreak detection, now encompassing Gram-negative, Gram-positive, and WHO critical priority pathogens including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w:t>
      </w:r>
    </w:p>
    <w:p>
      <w:pPr>
        <w:spacing w:after="120" w:before="0" w:line="480" w:lineRule="auto"/>
      </w:pPr>
      <w:r>
        <w:rPr>
          <w:rFonts w:ascii="Times New Roman" w:hAnsi="Times New Roman"/>
          <w:b w:val="0"/>
          <w:i w:val="0"/>
          <w:sz w:val="24"/>
        </w:rPr>
        <w:t>Methods We constructed a reference database of 8,077 complete plasmid sequences from 28 groups: 20 Gram-negative incompatibility (Inc) groups, 4 Gram-positive rep type groups (</w:t>
      </w:r>
      <w:r>
        <w:rPr>
          <w:rFonts w:ascii="Times New Roman" w:hAnsi="Times New Roman"/>
          <w:b w:val="0"/>
          <w:i/>
          <w:sz w:val="24"/>
        </w:rPr>
        <w:t>Staphylococcus aureus</w:t>
      </w:r>
      <w:r>
        <w:rPr>
          <w:rFonts w:ascii="Times New Roman" w:hAnsi="Times New Roman"/>
          <w:b w:val="0"/>
          <w:i w:val="0"/>
          <w:sz w:val="24"/>
        </w:rPr>
        <w:t xml:space="preserve"> large and small plasmids, </w:t>
      </w:r>
      <w:r>
        <w:rPr>
          <w:rFonts w:ascii="Times New Roman" w:hAnsi="Times New Roman"/>
          <w:b w:val="0"/>
          <w:i/>
          <w:sz w:val="24"/>
        </w:rPr>
        <w:t>Enterococcus</w:t>
      </w:r>
      <w:r>
        <w:rPr>
          <w:rFonts w:ascii="Times New Roman" w:hAnsi="Times New Roman"/>
          <w:b w:val="0"/>
          <w:i w:val="0"/>
          <w:sz w:val="24"/>
        </w:rPr>
        <w:t xml:space="preserve"> conjugative and resistance plasmids),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Tetranucleotide (4-mer) frequency vectors (256 features) were computed for each sequence, and pairwise cosine distances were used for single-linkage hierarchical clustering at six thresholds calibrated against average nucleotide identity (ANI). A k-nearest-neighbour (KNN) classifier (k=5, cosine metric, distance-weighted) was trained for Inc/rep group prediction. An automatic plasmid contig identification module was developed using multi-signal scoring (sequence length, cosine distance to training vectors, header keyword matching, and classifier confidence) to separate plasmid contigs from chromosomal sequences prior to classification. AMR gene annotation was performed with AMRFinderPlus v4.2.5. Seven analytical modules were developed addressing assembly completeness, database coverage, recombination detection, novel group discovery, evolutionary rate estimation, cluster stability, and mobile genetic element (MGE) boundary detection. The framework was validated using FastANI across 4,970 plasmid pairs from the 20 Gram-negative Inc groups and cross-validated against 74 plasmids from 27 published outbreak and surveillance studies spanning seven resistance mechanisms across 13 countries.</w:t>
      </w:r>
    </w:p>
    <w:p>
      <w:pPr>
        <w:spacing w:after="120" w:before="0" w:line="480" w:lineRule="auto"/>
      </w:pPr>
      <w:r>
        <w:rPr>
          <w:rFonts w:ascii="Times New Roman" w:hAnsi="Times New Roman"/>
          <w:b w:val="0"/>
          <w:i w:val="0"/>
          <w:sz w:val="24"/>
        </w:rPr>
        <w:t>Findings pLIN resolved 3,073 unique strain-level codes from 8,077 plasmids, yielding a Simpson's diversity index of 0.985 compared with 0.641 for Inc/rep typing alone (1.54-fold improvement). The KNN classifier achieved 91.1% accuracy across 28 groups (five-fold cross-validation), with Gram-positive per-class accuracies of 88.4--95.9%. Group concordance was 97.8% (3,006/3,073 single-group codes). AMRFinderPlus detected 64,891 gene hits across 5,816 of 6,998 Gram-negative plasmids (83.1%), including 1,635 carbapenemase, 1,804 extended-spectrum beta-lactamase (ESBL), 204 mobile colistin resistance (mcr), and 2,315 plasmid-mediated quinolone resistance (PMQR) determinants. pLIN identified high-risk lineages invisible to conventional typing, including pLIN 671 (IncN; n=90; 100% blaKPC-2 carriage; mean 13.2 AMR genes) and pLIN 860 (five Inc groups; n=142; mean 14.4 AMR genes; 44.4% mcr carriage). The seven analytical modules achieved high validation performance: assembly completeness assessment (94.2% correct categorisation), novelty detection (89.2% concordance with known divergent variants), recombination detection (87.3% sensitivity, 94.1% specificity), novel group discovery (18 putative groups from 2,109 unclassified sequences), evolutionary rate estimation (1.8--8.4 x 10^-6 subs/site/year), cluster stability (mean ARI &gt; 0.85 for 20/28 groups), and MGE boundary detection (94.7% IS element sensitivity). Expansion to 79,305 plasmids yielded 57,886 unique codes with a 97.3% classification rate.</w:t>
      </w:r>
    </w:p>
    <w:p>
      <w:pPr>
        <w:spacing w:after="120" w:before="0" w:line="480" w:lineRule="auto"/>
      </w:pPr>
      <w:r>
        <w:rPr>
          <w:rFonts w:ascii="Times New Roman" w:hAnsi="Times New Roman"/>
          <w:b w:val="0"/>
          <w:i w:val="0"/>
          <w:sz w:val="24"/>
        </w:rPr>
        <w:t xml:space="preserve">Interpretation pLIN provides a comprehensive framework for plasmid classification, AMR surveillance, and outbreak detection that substantially exceeds the discriminatory power of existing approaches. The expansion to Gram-positive organisms,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and the addition of seven analytical modules addressing assembly quality, novelty, recombination, evolutionary dynamics, and MGE architecture transform pLIN from a classification tool into a complete plasmid genomics platform. By linking resistance gene cargo to stable, hierarchical lineage codes, pLIN enables prospective tracking of high-risk plasmid lineages across institutions, regions, and countries.</w:t>
      </w:r>
    </w:p>
    <w:p>
      <w:pPr>
        <w:spacing w:after="120" w:before="0" w:line="480" w:lineRule="auto"/>
      </w:pPr>
      <w:r>
        <w:rPr>
          <w:rFonts w:ascii="Times New Roman" w:hAnsi="Times New Roman"/>
          <w:b w:val="0"/>
          <w:i w:val="0"/>
          <w:sz w:val="24"/>
        </w:rPr>
        <w:t>Funding None.</w:t>
      </w:r>
    </w:p>
    <w:p>
      <w:pPr>
        <w:spacing w:after="120" w:before="0" w:line="480" w:lineRule="auto"/>
      </w:pPr>
      <w:r>
        <w:rPr>
          <w:rFonts w:ascii="Times New Roman" w:hAnsi="Times New Roman"/>
          <w:b w:val="0"/>
          <w:i w:val="0"/>
          <w:sz w:val="24"/>
        </w:rPr>
        <w:t>Research in context</w:t>
      </w:r>
    </w:p>
    <w:p>
      <w:pPr>
        <w:spacing w:after="120" w:before="0" w:line="480" w:lineRule="auto"/>
      </w:pPr>
      <w:r>
        <w:rPr>
          <w:rFonts w:ascii="Times New Roman" w:hAnsi="Times New Roman"/>
          <w:b w:val="0"/>
          <w:i w:val="0"/>
          <w:sz w:val="24"/>
        </w:rPr>
        <w:t>Evidence before this study</w:t>
      </w:r>
    </w:p>
    <w:p>
      <w:pPr>
        <w:spacing w:after="120" w:before="0" w:line="480" w:lineRule="auto"/>
      </w:pPr>
      <w:r>
        <w:rPr>
          <w:rFonts w:ascii="Times New Roman" w:hAnsi="Times New Roman"/>
          <w:b w:val="0"/>
          <w:i w:val="0"/>
          <w:sz w:val="24"/>
        </w:rPr>
        <w:t>We searched PubMed and Google Scholar for articles published up to December 2025, using the terms "plasmid classification", "plasmid typing", "plasmid nomenclature", "plasmid lineage", and "plasmid outbreak detection". Existing tools for plasmid characterisation include PlasmidFinder (replicon-based Inc typing), plasmid multi-locus sequence typing (pMLST), MOB-suite (relaxase-based clustering), COPLA (host-range and mobility classification), and mge-cluster (reference-free k-mer clustering). PlasmidFinder and pMLST provide categorical labels but cannot discriminate between plasmids within the same replicon group. MOB-suite clusters plasmids by relaxase type but reassigns identifiers with each database update, precluding longitudinal surveillance. COPLA classifies plasmids by predicted host range and mobility but does not provide strain-level resolution. mge-cluster offers reference-free clustering but lacks stable nomenclature and does not integrate resistance data. No existing tool combines hierarchical multi-resolution classification, permanent nomenclature, integrated AMR profiling, and automated outbreak detection in a single framework.</w:t>
      </w:r>
    </w:p>
    <w:p>
      <w:pPr>
        <w:spacing w:after="120" w:before="0" w:line="480" w:lineRule="auto"/>
      </w:pPr>
      <w:r>
        <w:rPr>
          <w:rFonts w:ascii="Times New Roman" w:hAnsi="Times New Roman"/>
          <w:b w:val="0"/>
          <w:i w:val="0"/>
          <w:sz w:val="24"/>
        </w:rPr>
        <w:t>Added value of this study</w:t>
      </w:r>
    </w:p>
    <w:p>
      <w:pPr>
        <w:spacing w:after="120" w:before="0" w:line="480" w:lineRule="auto"/>
      </w:pPr>
      <w:r>
        <w:rPr>
          <w:rFonts w:ascii="Times New Roman" w:hAnsi="Times New Roman"/>
          <w:b w:val="0"/>
          <w:i w:val="0"/>
          <w:sz w:val="24"/>
        </w:rPr>
        <w:t xml:space="preserve">We present pLIN, the first system to assign permanent, six-level hierarchical codes to plasmids based on tetranucleotide composition, enabling classification from family level to outbreak-level resolution across Gram-negative, Gram-positive, and WHO critical priority pathogens including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Applied to 8,077 plasmids from 28 groups (20 Gram-negative Inc groups, 4 Gram-positive rep type groups from </w:t>
      </w:r>
      <w:r>
        <w:rPr>
          <w:rFonts w:ascii="Times New Roman" w:hAnsi="Times New Roman"/>
          <w:b w:val="0"/>
          <w:i/>
          <w:sz w:val="24"/>
        </w:rPr>
        <w:t>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2 </w:t>
      </w:r>
      <w:r>
        <w:rPr>
          <w:rFonts w:ascii="Times New Roman" w:hAnsi="Times New Roman"/>
          <w:b w:val="0"/>
          <w:i/>
          <w:sz w:val="24"/>
        </w:rPr>
        <w:t>A. baumannii</w:t>
      </w:r>
      <w:r>
        <w:rPr>
          <w:rFonts w:ascii="Times New Roman" w:hAnsi="Times New Roman"/>
          <w:b w:val="0"/>
          <w:i w:val="0"/>
          <w:sz w:val="24"/>
        </w:rPr>
        <w:t xml:space="preserve"> rep type groups, and 2 </w:t>
      </w:r>
      <w:r>
        <w:rPr>
          <w:rFonts w:ascii="Times New Roman" w:hAnsi="Times New Roman"/>
          <w:b w:val="0"/>
          <w:i/>
          <w:sz w:val="24"/>
        </w:rPr>
        <w:t>P. aeruginosa</w:t>
      </w:r>
      <w:r>
        <w:rPr>
          <w:rFonts w:ascii="Times New Roman" w:hAnsi="Times New Roman"/>
          <w:b w:val="0"/>
          <w:i w:val="0"/>
          <w:sz w:val="24"/>
        </w:rPr>
        <w:t xml:space="preserve"> rep type groups), pLIN achieves a 1.54-fold improvement in discriminatory power over Inc/rep typing alone (Simpson's D 0.985 vs 0.641). Seven analytical modules address assembly quality, database coverage, recombination, novel group discovery, evolutionary dynamics, cluster stability, and MGE architecture. The integrated AMR analysis revealed that 83.1% of plasmids carry resistance determinants, with 1,635 carbapenemase and 204 colistin resistance gene detections. pLIN identified clinically important lineages that are invisible to conventional typing, including a 90-member IncN lineage (pLIN 671) with 100% blaKPC-2 carriage and a 142-member multi-Inc lineage (pLIN 860) carrying multi-drug resistance determinants including mobile colistin resistance. Cross-validation against 74 plasmids from 27 published outbreak and surveillance studies across 13 countries confirmed that pLIN correctly identifies known high-risk lineages from novel isolates and resolves within-outbreak plasmid diversity, with 85.1% high-confidence classifications and 9 intra-study outbreak clusters detected.</w:t>
      </w:r>
    </w:p>
    <w:p>
      <w:pPr>
        <w:spacing w:after="120" w:before="0" w:line="480" w:lineRule="auto"/>
      </w:pPr>
      <w:r>
        <w:rPr>
          <w:rFonts w:ascii="Times New Roman" w:hAnsi="Times New Roman"/>
          <w:b w:val="0"/>
          <w:i w:val="0"/>
          <w:sz w:val="24"/>
        </w:rPr>
        <w:t>Implications of all the available evidence</w:t>
      </w:r>
    </w:p>
    <w:p>
      <w:pPr>
        <w:spacing w:after="120" w:before="0" w:line="480" w:lineRule="auto"/>
      </w:pPr>
      <w:r>
        <w:rPr>
          <w:rFonts w:ascii="Times New Roman" w:hAnsi="Times New Roman"/>
          <w:b w:val="0"/>
          <w:i w:val="0"/>
          <w:sz w:val="24"/>
        </w:rPr>
        <w:t xml:space="preserve">pLIN addresses a critical gap in AMR surveillance by providing a standardised, reproducible method for tracking resistance-carrying plasmid lineages across Gram-negative, Gram-positive, and WHO critical priority pathogens including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The permanent nomenclature enables direct comparison of plasmid lineages across institutions and countries, supporting integration into national and international surveillance networks such as WHO GLASS. The seven analytical modules provide quality control, novelty detection, and mechanistic context that transform pLIN from a classification tool into a comprehensive plasmid genomics platform. The open-source tool runs on standard hardware in under 30 minutes, requiring no specialist bioinformatics expertise, and is immediately deployable in clinical microbiology laboratories.</w:t>
      </w:r>
    </w:p>
    <w:p>
      <w:pPr>
        <w:spacing w:after="120" w:before="0" w:line="480" w:lineRule="auto"/>
      </w:pPr>
      <w:r>
        <w:rPr>
          <w:rFonts w:ascii="Times New Roman" w:hAnsi="Times New Roman"/>
          <w:b w:val="0"/>
          <w:i w:val="0"/>
          <w:sz w:val="24"/>
        </w:rPr>
        <w:t>Introduction</w:t>
      </w:r>
    </w:p>
    <w:p>
      <w:pPr>
        <w:spacing w:after="120" w:before="0" w:line="480" w:lineRule="auto"/>
      </w:pPr>
      <w:r>
        <w:rPr>
          <w:rFonts w:ascii="Times New Roman" w:hAnsi="Times New Roman"/>
          <w:b w:val="0"/>
          <w:i w:val="0"/>
          <w:sz w:val="24"/>
        </w:rPr>
        <w:t>Antimicrobial resistance (AMR) represents one of the most urgent threats to global public health, with an estimated 4.95 million deaths associated with bacterial AMR in 2019.</w:t>
      </w:r>
      <w:r>
        <w:rPr>
          <w:rFonts w:ascii="Times New Roman" w:hAnsi="Times New Roman"/>
          <w:b w:val="0"/>
          <w:i w:val="0"/>
          <w:sz w:val="24"/>
          <w:vertAlign w:val="superscript"/>
        </w:rPr>
        <w:t>1</w:t>
      </w:r>
      <w:r>
        <w:rPr>
          <w:rFonts w:ascii="Times New Roman" w:hAnsi="Times New Roman"/>
          <w:b w:val="0"/>
          <w:i w:val="0"/>
          <w:sz w:val="24"/>
        </w:rPr>
        <w:t xml:space="preserve"> Plasmid-mediated horizontal gene transfer is the principal mechanism by which resistance genes disseminate among clinically important bacteria, including Enterobacterales, </w:t>
      </w:r>
      <w:r>
        <w:rPr>
          <w:rFonts w:ascii="Times New Roman" w:hAnsi="Times New Roman"/>
          <w:b w:val="0"/>
          <w:i/>
          <w:sz w:val="24"/>
        </w:rPr>
        <w:t>Staphylococcus aureus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spp.,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enabling rapid spread of clinically critical determinants including carbapenemases, extended-spectrum beta-lactamases (ESBLs), mobile colistin resistance genes, and vancomycin resistance across bacterial species, hospital wards, and national borders.</w:t>
      </w:r>
      <w:r>
        <w:rPr>
          <w:rFonts w:ascii="Times New Roman" w:hAnsi="Times New Roman"/>
          <w:b w:val="0"/>
          <w:i w:val="0"/>
          <w:sz w:val="24"/>
          <w:vertAlign w:val="superscript"/>
        </w:rPr>
        <w:t>2,3</w:t>
      </w:r>
    </w:p>
    <w:p>
      <w:pPr>
        <w:spacing w:after="120" w:before="0" w:line="480" w:lineRule="auto"/>
      </w:pPr>
      <w:r>
        <w:rPr>
          <w:rFonts w:ascii="Times New Roman" w:hAnsi="Times New Roman"/>
          <w:b w:val="0"/>
          <w:i w:val="0"/>
          <w:sz w:val="24"/>
        </w:rPr>
        <w:t>Despite the central role of plasmids in AMR dissemination, current approaches to plasmid characterisation remain fragmented and lack the resolution needed for effective surveillance. Incompatibility (Inc) group typing using PlasmidFinder</w:t>
      </w:r>
      <w:r>
        <w:rPr>
          <w:rFonts w:ascii="Times New Roman" w:hAnsi="Times New Roman"/>
          <w:b w:val="0"/>
          <w:i w:val="0"/>
          <w:sz w:val="24"/>
          <w:vertAlign w:val="superscript"/>
        </w:rPr>
        <w:t>4</w:t>
      </w:r>
      <w:r>
        <w:rPr>
          <w:rFonts w:ascii="Times New Roman" w:hAnsi="Times New Roman"/>
          <w:b w:val="0"/>
          <w:i w:val="0"/>
          <w:sz w:val="24"/>
        </w:rPr>
        <w:t xml:space="preserve"> provides a categorical label but cannot distinguish between plasmids within the same replicon group -- a label such as "IncN" encompasses more than 1,000 plasmids with vastly different resistance profiles and clinical implications. Plasmid multi-locus sequence typing (pMLST)</w:t>
      </w:r>
      <w:r>
        <w:rPr>
          <w:rFonts w:ascii="Times New Roman" w:hAnsi="Times New Roman"/>
          <w:b w:val="0"/>
          <w:i w:val="0"/>
          <w:sz w:val="24"/>
          <w:vertAlign w:val="superscript"/>
        </w:rPr>
        <w:t>5</w:t>
      </w:r>
      <w:r>
        <w:rPr>
          <w:rFonts w:ascii="Times New Roman" w:hAnsi="Times New Roman"/>
          <w:b w:val="0"/>
          <w:i w:val="0"/>
          <w:sz w:val="24"/>
        </w:rPr>
        <w:t xml:space="preserve"> offers finer resolution for some Inc groups but is unavailable for most plasmid families and does not capture accessory gene content. MOB-suite</w:t>
      </w:r>
      <w:r>
        <w:rPr>
          <w:rFonts w:ascii="Times New Roman" w:hAnsi="Times New Roman"/>
          <w:b w:val="0"/>
          <w:i w:val="0"/>
          <w:sz w:val="24"/>
          <w:vertAlign w:val="superscript"/>
        </w:rPr>
        <w:t>6</w:t>
      </w:r>
      <w:r>
        <w:rPr>
          <w:rFonts w:ascii="Times New Roman" w:hAnsi="Times New Roman"/>
          <w:b w:val="0"/>
          <w:i w:val="0"/>
          <w:sz w:val="24"/>
        </w:rPr>
        <w:t xml:space="preserve"> clusters plasmids by relaxase type and provides a mobility classification, but reassigns cluster identifiers with each database update, precluding longitudinal surveillance comparisons. COPLA</w:t>
      </w:r>
      <w:r>
        <w:rPr>
          <w:rFonts w:ascii="Times New Roman" w:hAnsi="Times New Roman"/>
          <w:b w:val="0"/>
          <w:i w:val="0"/>
          <w:sz w:val="24"/>
          <w:vertAlign w:val="superscript"/>
        </w:rPr>
        <w:t>7</w:t>
      </w:r>
      <w:r>
        <w:rPr>
          <w:rFonts w:ascii="Times New Roman" w:hAnsi="Times New Roman"/>
          <w:b w:val="0"/>
          <w:i w:val="0"/>
          <w:sz w:val="24"/>
        </w:rPr>
        <w:t xml:space="preserve"> classifies plasmids by predicted host range and mobility type but does not provide strain-level discrimination. mge-cluster</w:t>
      </w:r>
      <w:r>
        <w:rPr>
          <w:rFonts w:ascii="Times New Roman" w:hAnsi="Times New Roman"/>
          <w:b w:val="0"/>
          <w:i w:val="0"/>
          <w:sz w:val="24"/>
          <w:vertAlign w:val="superscript"/>
        </w:rPr>
        <w:t>8</w:t>
      </w:r>
      <w:r>
        <w:rPr>
          <w:rFonts w:ascii="Times New Roman" w:hAnsi="Times New Roman"/>
          <w:b w:val="0"/>
          <w:i w:val="0"/>
          <w:sz w:val="24"/>
        </w:rPr>
        <w:t xml:space="preserve"> enables reference-free k-mer clustering but generates transient labels without a permanent nomenclature system. Critically, none of these tools integrate plasmid backbone classification with AMR gene profiling or automated outbreak detection (Table 1).</w:t>
      </w:r>
    </w:p>
    <w:p>
      <w:pPr>
        <w:spacing w:after="120" w:before="0" w:line="480" w:lineRule="auto"/>
      </w:pPr>
      <w:r>
        <w:rPr>
          <w:rFonts w:ascii="Times New Roman" w:hAnsi="Times New Roman"/>
          <w:b w:val="0"/>
          <w:i w:val="0"/>
          <w:sz w:val="24"/>
        </w:rPr>
        <w:t>These limitations have direct consequences for infection control. When a carbapenemase-producing Enterobacterales (CPE) outbreak occurs, clinicians need to determine rapidly whether the resistance gene is being transmitted on a single dominant plasmid lineage or on multiple independent backbones -- information that dictates whether infection control should focus on patient-to-patient transmission or on selective pressure driving independent gene acquisition.</w:t>
      </w:r>
      <w:r>
        <w:rPr>
          <w:rFonts w:ascii="Times New Roman" w:hAnsi="Times New Roman"/>
          <w:b w:val="0"/>
          <w:i w:val="0"/>
          <w:sz w:val="24"/>
          <w:vertAlign w:val="superscript"/>
        </w:rPr>
        <w:t>9,10</w:t>
      </w:r>
      <w:r>
        <w:rPr>
          <w:rFonts w:ascii="Times New Roman" w:hAnsi="Times New Roman"/>
          <w:b w:val="0"/>
          <w:i w:val="0"/>
          <w:sz w:val="24"/>
        </w:rPr>
        <w:t xml:space="preserve"> Current tools cannot answer this question without labour-intensive manual analyses.</w:t>
      </w:r>
    </w:p>
    <w:p>
      <w:pPr>
        <w:spacing w:after="120" w:before="0" w:line="480" w:lineRule="auto"/>
      </w:pPr>
      <w:r>
        <w:rPr>
          <w:rFonts w:ascii="Times New Roman" w:hAnsi="Times New Roman"/>
          <w:b w:val="0"/>
          <w:i w:val="0"/>
          <w:sz w:val="24"/>
        </w:rPr>
        <w:t xml:space="preserve">Here we present pLIN (plasmid Lineage Identification Number), a hierarchical classification system that assigns permanent, six-level codes to plasmid sequences based on tetranucleotide composition. pLIN integrates multiple capabilities in a single open-source framework: (1) multi-resolution classification from plasmid family to outbreak-level strain resolution across Gram-negative, Gram-positive, and WHO critical priority non-fermentative Gram-negative organisms; (2) comprehensive AMR, virulence, and stress-response gene profiling; (3) automated outbreak detection with clinical risk stratification; and (4) seven analytical modules addressing assembly quality assessment, database coverage quantification, recombination detection, novel group discovery, evolutionary rate estimation, cluster stability analysis, and mobile genetic element boundary detection. We demonstrate the system on 8,077 complete plasmid sequences from 28 groups (20 Gram-negative Inc groups, 4 Gram-positive rep type groups from </w:t>
      </w:r>
      <w:r>
        <w:rPr>
          <w:rFonts w:ascii="Times New Roman" w:hAnsi="Times New Roman"/>
          <w:b w:val="0"/>
          <w:i/>
          <w:sz w:val="24"/>
        </w:rPr>
        <w:t>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validate it against 74 plasmids from 27 published outbreak and surveillance studies spanning seven resistance mechanisms across 13 countries, and expand the reference database to 79,305 plasmids.</w:t>
      </w:r>
    </w:p>
    <w:p>
      <w:pPr>
        <w:spacing w:after="120" w:before="0" w:line="480" w:lineRule="auto"/>
      </w:pPr>
      <w:r>
        <w:rPr>
          <w:rFonts w:ascii="Times New Roman" w:hAnsi="Times New Roman"/>
          <w:b w:val="0"/>
          <w:i w:val="0"/>
          <w:sz w:val="24"/>
        </w:rPr>
        <w:t>Methods</w:t>
      </w:r>
    </w:p>
    <w:p>
      <w:pPr>
        <w:spacing w:after="120" w:before="0" w:line="480" w:lineRule="auto"/>
      </w:pPr>
      <w:r>
        <w:rPr>
          <w:rFonts w:ascii="Times New Roman" w:hAnsi="Times New Roman"/>
          <w:b w:val="0"/>
          <w:i w:val="0"/>
          <w:sz w:val="24"/>
        </w:rPr>
        <w:t>Study design and dataset construction</w:t>
      </w:r>
    </w:p>
    <w:p>
      <w:pPr>
        <w:spacing w:after="120" w:before="0" w:line="480" w:lineRule="auto"/>
      </w:pPr>
      <w:r>
        <w:rPr>
          <w:rFonts w:ascii="Times New Roman" w:hAnsi="Times New Roman"/>
          <w:b w:val="0"/>
          <w:i w:val="0"/>
          <w:sz w:val="24"/>
        </w:rPr>
        <w:t>We assembled a training dataset of 8,077 complete plasmid sequences representing 28 groups from PLSDB 2025 (Plasmid Database; https://ccb-microbe.cs.uni-saarland.de/plsdb2025/)</w:t>
      </w:r>
      <w:r>
        <w:rPr>
          <w:rFonts w:ascii="Times New Roman" w:hAnsi="Times New Roman"/>
          <w:b w:val="0"/>
          <w:i w:val="0"/>
          <w:sz w:val="24"/>
          <w:vertAlign w:val="superscript"/>
        </w:rPr>
        <w:t>32</w:t>
      </w:r>
      <w:r>
        <w:rPr>
          <w:rFonts w:ascii="Times New Roman" w:hAnsi="Times New Roman"/>
          <w:b w:val="0"/>
          <w:i w:val="0"/>
          <w:sz w:val="24"/>
        </w:rPr>
        <w:t xml:space="preserve"> and NCBI RefSeq. The initial dataset comprised 6,998 plasmids from 20 Gram-negative incompatibility (Inc) groups, subsequently expanded with four Gram-positive rep type groups: repSA_large (</w:t>
      </w:r>
      <w:r>
        <w:rPr>
          <w:rFonts w:ascii="Times New Roman" w:hAnsi="Times New Roman"/>
          <w:b w:val="0"/>
          <w:i/>
          <w:sz w:val="24"/>
        </w:rPr>
        <w:t>Staphylococcus aureus</w:t>
      </w:r>
      <w:r>
        <w:rPr>
          <w:rFonts w:ascii="Times New Roman" w:hAnsi="Times New Roman"/>
          <w:b w:val="0"/>
          <w:i w:val="0"/>
          <w:sz w:val="24"/>
        </w:rPr>
        <w:t xml:space="preserve"> large plasmids comprising pI258, pSK1, and pSK41 families; n=121), repSA_small (</w:t>
      </w:r>
      <w:r>
        <w:rPr>
          <w:rFonts w:ascii="Times New Roman" w:hAnsi="Times New Roman"/>
          <w:b w:val="0"/>
          <w:i/>
          <w:sz w:val="24"/>
        </w:rPr>
        <w:t>S. aureus</w:t>
      </w:r>
      <w:r>
        <w:rPr>
          <w:rFonts w:ascii="Times New Roman" w:hAnsi="Times New Roman"/>
          <w:b w:val="0"/>
          <w:i w:val="0"/>
          <w:sz w:val="24"/>
        </w:rPr>
        <w:t xml:space="preserve"> small plasmids comprising pT181, SAP, and pWBG749 families; n=73), repEF_conj (</w:t>
      </w:r>
      <w:r>
        <w:rPr>
          <w:rFonts w:ascii="Times New Roman" w:hAnsi="Times New Roman"/>
          <w:b w:val="0"/>
          <w:i/>
          <w:sz w:val="24"/>
        </w:rPr>
        <w:t>Enterococcus</w:t>
      </w:r>
      <w:r>
        <w:rPr>
          <w:rFonts w:ascii="Times New Roman" w:hAnsi="Times New Roman"/>
          <w:b w:val="0"/>
          <w:i w:val="0"/>
          <w:sz w:val="24"/>
        </w:rPr>
        <w:t xml:space="preserve"> conjugative plasmids comprising pAD1 and pCF10 families; n=92), and repEF_res (</w:t>
      </w:r>
      <w:r>
        <w:rPr>
          <w:rFonts w:ascii="Times New Roman" w:hAnsi="Times New Roman"/>
          <w:b w:val="0"/>
          <w:i/>
          <w:sz w:val="24"/>
        </w:rPr>
        <w:t>Enterococcus</w:t>
      </w:r>
      <w:r>
        <w:rPr>
          <w:rFonts w:ascii="Times New Roman" w:hAnsi="Times New Roman"/>
          <w:b w:val="0"/>
          <w:i w:val="0"/>
          <w:sz w:val="24"/>
        </w:rPr>
        <w:t xml:space="preserve"> resistance plasmids comprising pRUM, pRE25, and pHTbeta families; n=100; 121 training samples including 21 multi-replicon plasmids shared with repEF_conj). The dataset was further expanded with four rep type groups covering WHO critical priority pathogens: repAci1 (</w:t>
      </w:r>
      <w:r>
        <w:rPr>
          <w:rFonts w:ascii="Times New Roman" w:hAnsi="Times New Roman"/>
          <w:b w:val="0"/>
          <w:i/>
          <w:sz w:val="24"/>
        </w:rPr>
        <w:t>Acinetobacter baumannii</w:t>
      </w:r>
      <w:r>
        <w:rPr>
          <w:rFonts w:ascii="Times New Roman" w:hAnsi="Times New Roman"/>
          <w:b w:val="0"/>
          <w:i w:val="0"/>
          <w:sz w:val="24"/>
        </w:rPr>
        <w:t xml:space="preserve"> small cryptic plasmids), repAci_large (</w:t>
      </w:r>
      <w:r>
        <w:rPr>
          <w:rFonts w:ascii="Times New Roman" w:hAnsi="Times New Roman"/>
          <w:b w:val="0"/>
          <w:i/>
          <w:sz w:val="24"/>
        </w:rPr>
        <w:t>A. baumannii</w:t>
      </w:r>
      <w:r>
        <w:rPr>
          <w:rFonts w:ascii="Times New Roman" w:hAnsi="Times New Roman"/>
          <w:b w:val="0"/>
          <w:i w:val="0"/>
          <w:sz w:val="24"/>
        </w:rPr>
        <w:t xml:space="preserve"> resistance and conjugative plasmids), repPae_large (</w:t>
      </w:r>
      <w:r>
        <w:rPr>
          <w:rFonts w:ascii="Times New Roman" w:hAnsi="Times New Roman"/>
          <w:b w:val="0"/>
          <w:i/>
          <w:sz w:val="24"/>
        </w:rPr>
        <w:t>Pseudomonas aeruginosa</w:t>
      </w:r>
      <w:r>
        <w:rPr>
          <w:rFonts w:ascii="Times New Roman" w:hAnsi="Times New Roman"/>
          <w:b w:val="0"/>
          <w:i w:val="0"/>
          <w:sz w:val="24"/>
        </w:rPr>
        <w:t xml:space="preserve"> megaplasmids and medium plasmids), and repPae_small (</w:t>
      </w:r>
      <w:r>
        <w:rPr>
          <w:rFonts w:ascii="Times New Roman" w:hAnsi="Times New Roman"/>
          <w:b w:val="0"/>
          <w:i/>
          <w:sz w:val="24"/>
        </w:rPr>
        <w:t>P. aeruginosa</w:t>
      </w:r>
      <w:r>
        <w:rPr>
          <w:rFonts w:ascii="Times New Roman" w:hAnsi="Times New Roman"/>
          <w:b w:val="0"/>
          <w:i w:val="0"/>
          <w:sz w:val="24"/>
        </w:rPr>
        <w:t xml:space="preserve"> small plasmids). Sequences were sourced primarily from PLSDB 2025, which provides a comprehensive, curated collection of bacterial plasmid sequences, supplemented by NCBI RefSeq. Sequences were selected based on the following criteria: (1) deposited as complete, closed circular plasmid sequences; (2) assigned to a recognised Inc or rep type group by PlasmidFinder (identity threshold &gt;=95%, coverage &gt;=60%) or by curated literature annotation for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rep types; and (3) free of obvious assembly artefacts (length &lt;5 kb or &gt;500 kb flagged for manual review). Among the Gram-negative plasmids, the dataset was dominated by three Inc groups: IncFII (n=4,629; 66.1%), IncN (n=1,097; 15.7%), and IncX1 (n=705; 10.1%), reflecting their prevalence in clinical Enterobacterales (Table 3). The GC-content validation window was widened from 30--65% to 25--70% to accommodate the lower GC content characteristic of Gram-positive organisms, particularly staphylococci and enterococci.</w:t>
      </w:r>
    </w:p>
    <w:p>
      <w:pPr>
        <w:spacing w:after="120" w:before="0" w:line="480" w:lineRule="auto"/>
      </w:pPr>
      <w:r>
        <w:rPr>
          <w:rFonts w:ascii="Times New Roman" w:hAnsi="Times New Roman"/>
          <w:b w:val="0"/>
          <w:i w:val="0"/>
          <w:sz w:val="24"/>
        </w:rPr>
        <w:t>Tetranucleotide frequency computation</w:t>
      </w:r>
    </w:p>
    <w:p>
      <w:pPr>
        <w:spacing w:after="120" w:before="0" w:line="480" w:lineRule="auto"/>
      </w:pPr>
      <w:r>
        <w:rPr>
          <w:rFonts w:ascii="Times New Roman" w:hAnsi="Times New Roman"/>
          <w:b w:val="0"/>
          <w:i w:val="0"/>
          <w:sz w:val="24"/>
        </w:rPr>
        <w:t>For each plasmid sequence, we computed the frequencies of all 256 possible tetranucleotide (4-mer) combinations, generating a 256-dimensional composition vector. Each vector was L2-normalised to unit length to remove the effect of plasmid size. This representation captures intrinsic genomic composition signatures that are conserved within plasmid lineages and robust to accessory gene gain or loss events, because the backbone -- which typically constitutes 60% or more of the total plasmid length -- dominates the 4-mer profile.</w:t>
      </w:r>
      <w:r>
        <w:rPr>
          <w:rFonts w:ascii="Times New Roman" w:hAnsi="Times New Roman"/>
          <w:b w:val="0"/>
          <w:i w:val="0"/>
          <w:sz w:val="24"/>
          <w:vertAlign w:val="superscript"/>
        </w:rPr>
        <w:t>11,12</w:t>
      </w:r>
    </w:p>
    <w:p>
      <w:pPr>
        <w:spacing w:after="120" w:before="0" w:line="480" w:lineRule="auto"/>
      </w:pPr>
      <w:r>
        <w:rPr>
          <w:rFonts w:ascii="Times New Roman" w:hAnsi="Times New Roman"/>
          <w:b w:val="0"/>
          <w:i w:val="0"/>
          <w:sz w:val="24"/>
        </w:rPr>
        <w:t>Hierarchical clustering and pLIN code assignment</w:t>
      </w:r>
    </w:p>
    <w:p>
      <w:pPr>
        <w:spacing w:after="120" w:before="0" w:line="480" w:lineRule="auto"/>
      </w:pPr>
      <w:r>
        <w:rPr>
          <w:rFonts w:ascii="Times New Roman" w:hAnsi="Times New Roman"/>
          <w:b w:val="0"/>
          <w:i w:val="0"/>
          <w:sz w:val="24"/>
        </w:rPr>
        <w:t>Pairwise cosine distances were computed between all 4-mer vectors within each Inc group. Single-linkage hierarchical clustering was applied at six distance thresholds, each corresponding to an approximate average nucleotide identity (ANI) boundary (Table 2): L1 (d&lt;=0.150, ~85% ANI, plasmid superfamily), L2 (d&lt;=0.100, ~90% ANI, major lineage), L3 (d&lt;=0.050, ~95% ANI, species-level cluster), L4 (d&lt;=0.020, ~98% ANI, sublineage), L5 (d&lt;=0.010, ~99% ANI, clone complex), and L6 (d&lt;=0.001, ~99.9% ANI, strain/outbreak level). Thresholds were initially calibrated using the nearest-neighbour distance distribution of 178 IncX-like reference plasmids, with the 25th percentile (d=0.001) defining L6, the median (d=0.011) defining L5, and the 95th percentile (d=0.048) defining L3. The resulting six-level hierarchical code (e.g., 1.1.2.15.48.671) provides a permanent identifier: once assigned, a code is never reassigned regardless of future database additions, following the Life Identification Number (LIN) principle.</w:t>
      </w:r>
      <w:r>
        <w:rPr>
          <w:rFonts w:ascii="Times New Roman" w:hAnsi="Times New Roman"/>
          <w:b w:val="0"/>
          <w:i w:val="0"/>
          <w:sz w:val="24"/>
          <w:vertAlign w:val="superscript"/>
        </w:rPr>
        <w:t>13</w:t>
      </w:r>
    </w:p>
    <w:p>
      <w:pPr>
        <w:spacing w:after="120" w:before="0" w:line="480" w:lineRule="auto"/>
      </w:pPr>
      <w:r>
        <w:rPr>
          <w:rFonts w:ascii="Times New Roman" w:hAnsi="Times New Roman"/>
          <w:b w:val="0"/>
          <w:i w:val="0"/>
          <w:sz w:val="24"/>
        </w:rPr>
        <w:t>Inc group classifier</w:t>
      </w:r>
    </w:p>
    <w:p>
      <w:pPr>
        <w:spacing w:after="120" w:before="0" w:line="480" w:lineRule="auto"/>
      </w:pPr>
      <w:r>
        <w:rPr>
          <w:rFonts w:ascii="Times New Roman" w:hAnsi="Times New Roman"/>
          <w:b w:val="0"/>
          <w:i w:val="0"/>
          <w:sz w:val="24"/>
        </w:rPr>
        <w:t xml:space="preserve">A KNN classifier (k=5, cosine distance, distance-weighted voting) was trained on the 256-dimensional 4-mer vectors to predict Inc/rep group membership for novel query sequences. The classifier was trained on all 8,077 sequences across 28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Classification performance was assessed by five-fold stratified cross-validation and independently validated using four additional machine learning algorithms (XGBoost, gradient boosting, random forest, and logistic regression) in a nested cross-validation design (Table 4).</w:t>
      </w:r>
    </w:p>
    <w:p>
      <w:pPr>
        <w:spacing w:after="120" w:before="0" w:line="480" w:lineRule="auto"/>
      </w:pPr>
      <w:r>
        <w:rPr>
          <w:rFonts w:ascii="Times New Roman" w:hAnsi="Times New Roman"/>
          <w:b w:val="0"/>
          <w:i w:val="0"/>
          <w:sz w:val="24"/>
        </w:rPr>
        <w:t>AMR gene annotation</w:t>
      </w:r>
    </w:p>
    <w:p>
      <w:pPr>
        <w:spacing w:after="120" w:before="0" w:line="480" w:lineRule="auto"/>
      </w:pPr>
      <w:r>
        <w:rPr>
          <w:rFonts w:ascii="Times New Roman" w:hAnsi="Times New Roman"/>
          <w:b w:val="0"/>
          <w:i w:val="0"/>
          <w:sz w:val="24"/>
        </w:rPr>
        <w:t>All 8,077 plasmid sequences were screened for AMR, virulence, and stress-response genes using AMRFinderPlus v4.2.5 (database version 2026-01-21.1)</w:t>
      </w:r>
      <w:r>
        <w:rPr>
          <w:rFonts w:ascii="Times New Roman" w:hAnsi="Times New Roman"/>
          <w:b w:val="0"/>
          <w:i w:val="0"/>
          <w:sz w:val="24"/>
          <w:vertAlign w:val="superscript"/>
        </w:rPr>
        <w:t>14</w:t>
      </w:r>
      <w:r>
        <w:rPr>
          <w:rFonts w:ascii="Times New Roman" w:hAnsi="Times New Roman"/>
          <w:b w:val="0"/>
          <w:i w:val="0"/>
          <w:sz w:val="24"/>
        </w:rPr>
        <w:t xml:space="preserve"> with default parameters. Gene detections were aggregated by plasmid, Inc/rep group, and pLIN lineage to generate resistance profiles at each hierarchical level.</w:t>
      </w:r>
    </w:p>
    <w:p>
      <w:pPr>
        <w:spacing w:after="120" w:before="0" w:line="480" w:lineRule="auto"/>
      </w:pPr>
      <w:r>
        <w:rPr>
          <w:rFonts w:ascii="Times New Roman" w:hAnsi="Times New Roman"/>
          <w:b w:val="0"/>
          <w:i w:val="0"/>
          <w:sz w:val="24"/>
        </w:rPr>
        <w:t>FastANI validation</w:t>
      </w:r>
    </w:p>
    <w:p>
      <w:pPr>
        <w:spacing w:after="120" w:before="0" w:line="480" w:lineRule="auto"/>
      </w:pPr>
      <w:r>
        <w:rPr>
          <w:rFonts w:ascii="Times New Roman" w:hAnsi="Times New Roman"/>
          <w:b w:val="0"/>
          <w:i w:val="0"/>
          <w:sz w:val="24"/>
        </w:rPr>
        <w:t>To validate the correspondence between cosine distance thresholds and true sequence similarity, FastANI v1.34 (--fragLen 1000)</w:t>
      </w:r>
      <w:r>
        <w:rPr>
          <w:rFonts w:ascii="Times New Roman" w:hAnsi="Times New Roman"/>
          <w:b w:val="0"/>
          <w:i w:val="0"/>
          <w:sz w:val="24"/>
          <w:vertAlign w:val="superscript"/>
        </w:rPr>
        <w:t>15</w:t>
      </w:r>
      <w:r>
        <w:rPr>
          <w:rFonts w:ascii="Times New Roman" w:hAnsi="Times New Roman"/>
          <w:b w:val="0"/>
          <w:i w:val="0"/>
          <w:sz w:val="24"/>
        </w:rPr>
        <w:t xml:space="preserve"> was computed for 4,970 within-group plasmid pairs sampled from 20 Gram-negative Inc groups (up to 20 randomly sampled plasmids per group, all pairwise comparisons within each group).</w:t>
      </w:r>
    </w:p>
    <w:p>
      <w:pPr>
        <w:spacing w:after="120" w:before="0" w:line="480" w:lineRule="auto"/>
      </w:pPr>
      <w:r>
        <w:rPr>
          <w:rFonts w:ascii="Times New Roman" w:hAnsi="Times New Roman"/>
          <w:b w:val="0"/>
          <w:i w:val="0"/>
          <w:sz w:val="24"/>
        </w:rPr>
        <w:t>Cross-validation against outbreak studies</w:t>
      </w:r>
    </w:p>
    <w:p>
      <w:pPr>
        <w:spacing w:after="120" w:before="0" w:line="480" w:lineRule="auto"/>
      </w:pPr>
      <w:r>
        <w:rPr>
          <w:rFonts w:ascii="Times New Roman" w:hAnsi="Times New Roman"/>
          <w:b w:val="0"/>
          <w:i w:val="0"/>
          <w:sz w:val="24"/>
        </w:rPr>
        <w:t>We tested pLIN against 74 plasmid sequences from 27 independent, published outbreak and surveillance studies spanning seven resistance mechanisms (KPC, NDM, OXA-48, VIM, IMP, mcr, CTX-M), 13 countries across four continents, and multiple Inc types.^16--19,24--30^ None of these sequences were included in the training dataset. Each query sequence was classified using nearest-neighbour assignment against the 8,077-plasmid reference database. To provide quantitative benchmarking, we performed leave-one-out cross-validation (LOOCV) on the 57 outbreak plasmids with available sequence data: each plasmid was independently classified against the training set, and concordance was measured as the proportion receiving the same L6 pLIN code and L3 cluster code as their study-mates.</w:t>
      </w:r>
    </w:p>
    <w:p>
      <w:pPr>
        <w:pStyle w:val="Heading3"/>
      </w:pPr>
      <w:r>
        <w:rPr>
          <w:rFonts w:ascii="Times New Roman" w:hAnsi="Times New Roman"/>
          <w:sz w:val="28"/>
        </w:rPr>
        <w:t>Combined chromosomal-plasmid typing</w:t>
      </w:r>
    </w:p>
    <w:p>
      <w:pPr>
        <w:spacing w:after="120" w:before="0" w:line="480" w:lineRule="auto"/>
      </w:pPr>
      <w:r>
        <w:rPr>
          <w:rFonts w:ascii="Times New Roman" w:hAnsi="Times New Roman"/>
          <w:b w:val="0"/>
          <w:i w:val="0"/>
          <w:sz w:val="24"/>
        </w:rPr>
        <w:t>To evaluate whether pLIN plasmid codes, combined with bacterial chromosomal typing, can discriminate transmission modes in outbreak settings, we integrated multi-locus sequence typing (MLST) data with pLIN assignments. Host species and MLST sequence types (STs) were curated from the original publications for all 74 outbreak plasmids across 13 studies with two or more plasmids and available chromosomal typing data. Pairwise comparisons within each study were classified into four transmission categories: (1) clonal spread (same MLST ST and same pLIN L6 code), indicating vertical co-transmission of both chromosome and plasmid; (2) horizontal plasmid transfer (different MLST STs and same pLIN L6 code), indicating plasmid conjugation across distinct bacterial lineages; (3) same strain, different plasmids (same MLST ST and different pLIN L6 codes), indicating plasmid replacement or independent acquisition within a clonal background; and (4) independent (different MLST STs and different pLIN L6 codes). MLST typing was performed using mlst v2.23 (Torsten Seemann), which implements the PubMLST database schemes.</w:t>
      </w:r>
      <w:r>
        <w:rPr>
          <w:rFonts w:ascii="Times New Roman" w:hAnsi="Times New Roman"/>
          <w:b w:val="0"/>
          <w:i w:val="0"/>
          <w:sz w:val="24"/>
          <w:vertAlign w:val="superscript"/>
        </w:rPr>
        <w:t>31</w:t>
      </w:r>
      <w:r>
        <w:rPr>
          <w:rFonts w:ascii="Times New Roman" w:hAnsi="Times New Roman"/>
          <w:b w:val="0"/>
          <w:i w:val="0"/>
          <w:sz w:val="24"/>
        </w:rPr>
        <w:t xml:space="preserve"> Concordance between detected and published transmission modes was assessed by evaluating two binary features per study: multi-ST diversity detection (whether pLIN + MLST correctly identified the presence of multiple STs) and clonal spread detection (whether at least one same-ST, same-pLIN pair was correctly identified).</w:t>
      </w:r>
    </w:p>
    <w:p>
      <w:pPr>
        <w:spacing w:after="120" w:before="0" w:line="480" w:lineRule="auto"/>
      </w:pPr>
      <w:r>
        <w:rPr>
          <w:rFonts w:ascii="Times New Roman" w:hAnsi="Times New Roman"/>
          <w:b w:val="0"/>
          <w:i w:val="0"/>
          <w:sz w:val="24"/>
        </w:rPr>
        <w:t>Reference database expansion</w:t>
      </w:r>
    </w:p>
    <w:p>
      <w:pPr>
        <w:spacing w:after="120" w:before="0" w:line="480" w:lineRule="auto"/>
      </w:pPr>
      <w:r>
        <w:rPr>
          <w:rFonts w:ascii="Times New Roman" w:hAnsi="Times New Roman"/>
          <w:b w:val="0"/>
          <w:i w:val="0"/>
          <w:sz w:val="24"/>
        </w:rPr>
        <w:t>The pLIN framework was expanded to classify 79,305 plasmid sequences (8,056 unique training plus 71,249 additional plasmids from PLSDB and NCBI RefSeq) using the trained KNN classifier for Inc/rep group prediction followed by within-group nearest-neighbour pLIN code assignment.</w:t>
      </w:r>
    </w:p>
    <w:p>
      <w:pPr>
        <w:spacing w:after="120" w:before="0" w:line="480" w:lineRule="auto"/>
      </w:pPr>
      <w:r>
        <w:rPr>
          <w:rFonts w:ascii="Times New Roman" w:hAnsi="Times New Roman"/>
          <w:b w:val="0"/>
          <w:i w:val="0"/>
          <w:sz w:val="24"/>
        </w:rPr>
        <w:t>Software implementation</w:t>
      </w:r>
    </w:p>
    <w:p>
      <w:pPr>
        <w:spacing w:after="120" w:before="0" w:line="480" w:lineRule="auto"/>
      </w:pPr>
      <w:r>
        <w:rPr>
          <w:rFonts w:ascii="Times New Roman" w:hAnsi="Times New Roman"/>
          <w:b w:val="0"/>
          <w:i w:val="0"/>
          <w:sz w:val="24"/>
        </w:rPr>
        <w:t>pLIN is implemented as an interactive Streamlit web application in Python, integrating BioPython for sequence handling, scikit-learn for machine learning, and AMRFinderPlus for resistance gene detection. The complete pipeline processes a query FASTA file through Inc/rep classification, pLIN assignment, AMR profiling, and optional outbreak detection, generating downloadable reports. Seven additional analytical modules were developed to address previously identified limitations of the framework, as described below.</w:t>
      </w:r>
    </w:p>
    <w:p>
      <w:pPr>
        <w:pStyle w:val="Heading3"/>
      </w:pPr>
      <w:r>
        <w:rPr>
          <w:rFonts w:ascii="Times New Roman" w:hAnsi="Times New Roman"/>
          <w:sz w:val="28"/>
        </w:rPr>
        <w:t>Assembly completeness assessment</w:t>
      </w:r>
    </w:p>
    <w:p>
      <w:pPr>
        <w:spacing w:after="120" w:before="0" w:line="480" w:lineRule="auto"/>
      </w:pPr>
      <w:r>
        <w:rPr>
          <w:rFonts w:ascii="Times New Roman" w:hAnsi="Times New Roman"/>
          <w:b w:val="0"/>
          <w:i w:val="0"/>
          <w:sz w:val="24"/>
        </w:rPr>
        <w:t>A composite scoring system (0--100) was developed to evaluate assembly quality for each input plasmid sequence. Five metrics contribute to the overall score: contig count (penalising fragmented assemblies), N50-to-length ratio (assessing contiguity), circular topology signal (detecting overlapping terminal sequences indicative of complete circular chromosomes), coding density (proportion of sequence encoding open reading frames), and N-gap presence (detecting unresolved regions). Each metric is scaled to a 0--20 sub-score and summed to yield a composite completeness score. Assemblies are categorised as COMPLETE (score &gt;=80), NEAR-COMPLETE (60--79), FRAGMENTED (40--59), or POOR (&lt;40). This module provides users with a quality assessment prior to downstream classification, flagging assemblies where pLIN code assignment may be unreliable.</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To enable direct analysis of mixed assemblies containing both chromosomal and plasmid contigs, an automatic plasmid contig identification module was developed. The module employs a multi-signal scoring system that evaluates four complementary features for each input contig. First, a sequence length score penalises contigs exceeding typical plasmid size ranges (&gt;1 Mb: -50 points; &gt;500 kb: -30 points) and rewards contigs within common plasmid size ranges (&lt;300 kb: +20 points; &lt;20 kb: +10 points). Second, the cosine distance between each contig's 4-mer frequency vector and its nearest neighbour in the plasmid training database is computed, with shorter distances indicating greater similarity to known plasmid sequences. Third, FASTA header keywords are matched against curated lists of plasmid-associated terms (e.g., "plasmid", "unnamed") and chromosome-associated terms (e.g., "chromosome", "genome", "complete genome"), contributing positive or negative scores respectively. Fourth, the Inc/rep group classification confidence score from the KNN classifier is incorporated, with high-confidence plasmid group assignments contributing positively. Contigs receiving a composite score of 10 or above are classified as plasmid, those scoring -10 or below are classified as chromosome, and borderline contigs (score between -10 and 10) default to plasmid to maintain conservative sensitivity for downstream pLIN assignment. The module is activated by default in the application interface and can be toggled by the user.</w:t>
      </w:r>
    </w:p>
    <w:p>
      <w:pPr>
        <w:pStyle w:val="Heading3"/>
      </w:pPr>
      <w:r>
        <w:rPr>
          <w:rFonts w:ascii="Times New Roman" w:hAnsi="Times New Roman"/>
          <w:sz w:val="28"/>
        </w:rPr>
        <w:t>Database coverage and novelty detection</w:t>
      </w:r>
    </w:p>
    <w:p>
      <w:pPr>
        <w:spacing w:after="120" w:before="0" w:line="480" w:lineRule="auto"/>
      </w:pPr>
      <w:r>
        <w:rPr>
          <w:rFonts w:ascii="Times New Roman" w:hAnsi="Times New Roman"/>
          <w:b w:val="0"/>
          <w:i w:val="0"/>
          <w:sz w:val="24"/>
        </w:rPr>
        <w:t>To quantify how well a query plasmid is represented in the reference database, a nearest-neighbour distance percentile is computed within the assigned Inc/rep group training distribution. For each query, the cosine distance to its nearest training neighbour is compared against the empirical distribution of within-group nearest-neighbour distances. A traffic-light system reports coverage: GREEN (distance below the 75th percentile, well-represented), YELLOW (75th--95th percentile, moderately represented), and RED (above the 95th percentile, poorly represented or potentially novel). Plasmids exceeding the L3 distance threshold (d &gt; 0.050) relative to all training sequences are additionally flagged with a novelty indicator, alerting users that the query may represent an Inc/rep group variant or a genuinely novel plasmid type not captured in the current reference database.</w:t>
      </w:r>
    </w:p>
    <w:p>
      <w:pPr>
        <w:pStyle w:val="Heading3"/>
      </w:pPr>
      <w:r>
        <w:rPr>
          <w:rFonts w:ascii="Times New Roman" w:hAnsi="Times New Roman"/>
          <w:sz w:val="28"/>
        </w:rPr>
        <w:t>Recombination detection</w:t>
      </w:r>
    </w:p>
    <w:p>
      <w:pPr>
        <w:spacing w:after="120" w:before="0" w:line="480" w:lineRule="auto"/>
      </w:pPr>
      <w:r>
        <w:rPr>
          <w:rFonts w:ascii="Times New Roman" w:hAnsi="Times New Roman"/>
          <w:b w:val="0"/>
          <w:i w:val="0"/>
          <w:sz w:val="24"/>
        </w:rPr>
        <w:t>Mosaic plasmid structures arising from recombination events between different plasmid backbones are detected through minimap2 (v2.28) pairwise alignment analysis. Each query sequence is aligned against its nearest reference neighbours, and the resulting PAF (Pairwise Alignment Format) output is parsed to extract three metrics: alignment coverage (proportion of query length covered by alignments), block fragmentation index (number of discrete alignment blocks normalised by sequence length), and gap analysis (total length of unaligned regions between alignment blocks). A composite recombination score is computed from these metrics, and plasmids are flagged at four levels: None (uniform alignment with a single reference), Low (minor structural variation), Medium (evidence of segmental exchange), and High (mosaic structure with multiple distinct backbone segments). This module identifies chimeric plasmids where pLIN code assignment may reflect only the dominant backbone segment.</w:t>
      </w:r>
    </w:p>
    <w:p>
      <w:pPr>
        <w:pStyle w:val="Heading3"/>
      </w:pPr>
      <w:r>
        <w:rPr>
          <w:rFonts w:ascii="Times New Roman" w:hAnsi="Times New Roman"/>
          <w:sz w:val="28"/>
        </w:rPr>
        <w:t>Novel Inc group discovery</w:t>
      </w:r>
    </w:p>
    <w:p>
      <w:pPr>
        <w:spacing w:after="120" w:before="0" w:line="480" w:lineRule="auto"/>
      </w:pPr>
      <w:r>
        <w:rPr>
          <w:rFonts w:ascii="Times New Roman" w:hAnsi="Times New Roman"/>
          <w:b w:val="0"/>
          <w:i w:val="0"/>
          <w:sz w:val="24"/>
        </w:rPr>
        <w:t>To identify putative novel Inc/rep groups not represented in the 28-group training set, a hierarchical clustering module analyses plasmids receiving low-confidence classifications (below 40% classifier confidence). These low-confidence sequences are pooled and subjected to agglomerative clustering using cosine distance at the L3 threshold (d = 0.050). Clusters containing three or more members are reported as putative novel Inc/rep groups. For each candidate cluster, the module reports the number of members, the mean intra-cluster distance, and the mean distance to the nearest known Inc/rep group centroid, enabling users to assess whether the cluster represents a genuinely new group or a divergent variant of an existing one.</w:t>
      </w:r>
    </w:p>
    <w:p>
      <w:pPr>
        <w:pStyle w:val="Heading3"/>
      </w:pPr>
      <w:r>
        <w:rPr>
          <w:rFonts w:ascii="Times New Roman" w:hAnsi="Times New Roman"/>
          <w:sz w:val="28"/>
        </w:rPr>
        <w:t>Evolutionary rate estimation</w:t>
      </w:r>
    </w:p>
    <w:p>
      <w:pPr>
        <w:spacing w:after="120" w:before="0" w:line="480" w:lineRule="auto"/>
      </w:pPr>
      <w:r>
        <w:rPr>
          <w:rFonts w:ascii="Times New Roman" w:hAnsi="Times New Roman"/>
          <w:b w:val="0"/>
          <w:i w:val="0"/>
          <w:sz w:val="24"/>
        </w:rPr>
        <w:t>For dated plasmid clusters (sequences with associated isolation date metadata), a linear regression module estimates the rate of SNP accumulation over time. Within each L6 cluster containing three or more dated sequences, pairwise SNP distances are computed and regressed against temporal distance (years between isolation dates). The module reports SNPs per year, substitutions per site per year (normalised by alignment length), R-squared value for the regression, and a comparison against expected plasmid evolutionary rates (10^-6 to 10^-5 substitutions per site per year). Clusters with R-squared values below 0.3 or rates outside the expected range are flagged for manual review, as these may indicate rate heterogeneity, recombination, or incorrect date metadata.</w:t>
      </w:r>
    </w:p>
    <w:p>
      <w:pPr>
        <w:pStyle w:val="Heading3"/>
      </w:pPr>
      <w:r>
        <w:rPr>
          <w:rFonts w:ascii="Times New Roman" w:hAnsi="Times New Roman"/>
          <w:sz w:val="28"/>
        </w:rPr>
        <w:t>Adaptive thresholds and cluster stability</w:t>
      </w:r>
    </w:p>
    <w:p>
      <w:pPr>
        <w:spacing w:after="120" w:before="0" w:line="480" w:lineRule="auto"/>
      </w:pPr>
      <w:r>
        <w:rPr>
          <w:rFonts w:ascii="Times New Roman" w:hAnsi="Times New Roman"/>
          <w:b w:val="0"/>
          <w:i w:val="0"/>
          <w:sz w:val="24"/>
        </w:rPr>
        <w:t>To assess the robustness of pLIN clustering assignments, a bootstrap resampling module performs 50 iterations of resampled clustering for each Inc/rep group. In each iteration, 80% of sequences are randomly sampled and re-clustered; cluster stability is quantified as the proportion of iterations in which each pair of sequences remains co-clustered. The Adjusted Rand Index (ARI) is computed comparing single-linkage, complete-linkage, and average-linkage hierarchical clustering methods across all iterations. Inc/rep-group-specific calibrated thresholds are reported, reflecting the optimal distance cut-off for each group determined by maximising the ARI between the bootstrap consensus and the reference clustering. This module identifies groups where the default thresholds may be suboptimal and provides group-specific recommendations.</w:t>
      </w:r>
    </w:p>
    <w:p>
      <w:pPr>
        <w:pStyle w:val="Heading3"/>
      </w:pPr>
      <w:r>
        <w:rPr>
          <w:rFonts w:ascii="Times New Roman" w:hAnsi="Times New Roman"/>
          <w:sz w:val="28"/>
        </w:rPr>
        <w:t>Mobile genetic element boundary detection</w:t>
      </w:r>
    </w:p>
    <w:p>
      <w:pPr>
        <w:spacing w:after="120" w:before="0" w:line="480" w:lineRule="auto"/>
      </w:pPr>
      <w:r>
        <w:rPr>
          <w:rFonts w:ascii="Times New Roman" w:hAnsi="Times New Roman"/>
          <w:b w:val="0"/>
          <w:i w:val="0"/>
          <w:sz w:val="24"/>
        </w:rPr>
        <w:t>A pattern-based detection module identifies mobile genetic element (MGE) boundaries within plasmid sequences. The module scans for insertion sequence (IS) elements, integrases, and site-specific recombinases using curated Hidden Markov Model (HMM) profiles and sequence motifs. Composite transposon structures are identified by detecting IS element pairs flanking resistance gene cassettes, with configurable maximum inter-IS distance. For each detected MGE, the module reports the element type, coordinates, flanking gene context, and associated resistance genes. Results are visualised as colour-coded linear gene maps where IS elements, integrases, resistance genes, and backbone genes are displayed in distinct colours, enabling rapid visual assessment of the genetic context of resistance determinants.</w:t>
      </w:r>
    </w:p>
    <w:p>
      <w:pPr>
        <w:spacing w:after="120" w:before="0" w:line="480" w:lineRule="auto"/>
      </w:pPr>
      <w:r>
        <w:rPr>
          <w:rFonts w:ascii="Times New Roman" w:hAnsi="Times New Roman"/>
          <w:b w:val="0"/>
          <w:i w:val="0"/>
          <w:sz w:val="24"/>
        </w:rPr>
        <w:t>Role of the funding source</w:t>
      </w:r>
    </w:p>
    <w:p>
      <w:pPr>
        <w:spacing w:after="120" w:before="0" w:line="480" w:lineRule="auto"/>
      </w:pPr>
      <w:r>
        <w:rPr>
          <w:rFonts w:ascii="Times New Roman" w:hAnsi="Times New Roman"/>
          <w:b w:val="0"/>
          <w:i w:val="0"/>
          <w:sz w:val="24"/>
        </w:rPr>
        <w:t>This study received no external funding. All authors had full access to all data and had final responsibility for the decision to submit for publication.</w:t>
      </w:r>
    </w:p>
    <w:p>
      <w:pPr>
        <w:spacing w:after="120" w:before="0" w:line="480" w:lineRule="auto"/>
      </w:pPr>
      <w:r>
        <w:rPr>
          <w:rFonts w:ascii="Times New Roman" w:hAnsi="Times New Roman"/>
          <w:b w:val="0"/>
          <w:i w:val="0"/>
          <w:sz w:val="24"/>
        </w:rPr>
        <w:t>Results</w:t>
      </w:r>
    </w:p>
    <w:p>
      <w:pPr>
        <w:spacing w:after="120" w:before="0" w:line="480" w:lineRule="auto"/>
      </w:pPr>
      <w:r>
        <w:rPr>
          <w:rFonts w:ascii="Times New Roman" w:hAnsi="Times New Roman"/>
          <w:b w:val="0"/>
          <w:i w:val="0"/>
          <w:sz w:val="24"/>
        </w:rPr>
        <w:t>pLIN resolves high-resolution plasmid diversity</w:t>
      </w:r>
    </w:p>
    <w:p>
      <w:pPr>
        <w:spacing w:after="120" w:before="0" w:line="480" w:lineRule="auto"/>
      </w:pPr>
      <w:r>
        <w:rPr>
          <w:rFonts w:ascii="Times New Roman" w:hAnsi="Times New Roman"/>
          <w:b w:val="0"/>
          <w:i w:val="0"/>
          <w:sz w:val="24"/>
        </w:rPr>
        <w:t xml:space="preserve">Hierarchical clustering of 8,077 plasmid sequences across 28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yielded 3,073 unique strain-level (L6) pLIN codes, representing a Simpson's diversity index of 0.985 compared with 0.641 for Inc/rep typing alone -- a 1.54-fold improvement in discriminatory power (Figure 1). Of the 3,073 L6 codes, 2,335 (76.0%) were singletons, indicating substantial plasmid diversity even within individual groups. The largest cluster was pLIN 1327 (n=869, spanning six Inc groups). Group concordance was high: 3,006 of 3,073 L6 codes (97.8%) contained plasmids from a single Inc/rep group, while 67 codes (2.2%) contained plasmids from two or more groups, reflecting compositional similarity between closely related replicon types. The four Gram-positive rep type groups contributed 255 additional L6 codes: repSA_large (72 codes from 121 sequences), repSA_small (52 codes from 73 sequences), repEF_conj (63 codes from 92 sequences), and repEF_res (69 codes from 100 unique sequences). The </w:t>
      </w:r>
      <w:r>
        <w:rPr>
          <w:rFonts w:ascii="Times New Roman" w:hAnsi="Times New Roman"/>
          <w:b w:val="0"/>
          <w:i/>
          <w:sz w:val="24"/>
        </w:rPr>
        <w:t>Acinetobacter</w:t>
      </w:r>
      <w:r>
        <w:rPr>
          <w:rFonts w:ascii="Times New Roman" w:hAnsi="Times New Roman"/>
          <w:b w:val="0"/>
          <w:i w:val="0"/>
          <w:sz w:val="24"/>
        </w:rPr>
        <w:t xml:space="preserve"> rep type groups contributed 171 codes (repAci1 71, repAci_large 102), and the </w:t>
      </w:r>
      <w:r>
        <w:rPr>
          <w:rFonts w:ascii="Times New Roman" w:hAnsi="Times New Roman"/>
          <w:b w:val="0"/>
          <w:i/>
          <w:sz w:val="24"/>
        </w:rPr>
        <w:t>Pseudomonas</w:t>
      </w:r>
      <w:r>
        <w:rPr>
          <w:rFonts w:ascii="Times New Roman" w:hAnsi="Times New Roman"/>
          <w:b w:val="0"/>
          <w:i w:val="0"/>
          <w:sz w:val="24"/>
        </w:rPr>
        <w:t xml:space="preserve"> rep type groups contributed 195 codes (repPae_large 91, repPae_small 109).</w:t>
      </w:r>
    </w:p>
    <w:p>
      <w:pPr>
        <w:spacing w:after="120" w:before="0" w:line="480" w:lineRule="auto"/>
      </w:pPr>
      <w:r>
        <w:rPr>
          <w:rFonts w:ascii="Times New Roman" w:hAnsi="Times New Roman"/>
          <w:b w:val="0"/>
          <w:i w:val="0"/>
          <w:sz w:val="24"/>
        </w:rPr>
        <w:t>Machine learning classifier performance</w:t>
      </w:r>
    </w:p>
    <w:p>
      <w:pPr>
        <w:spacing w:after="120" w:before="0" w:line="480" w:lineRule="auto"/>
      </w:pPr>
      <w:r>
        <w:rPr>
          <w:rFonts w:ascii="Times New Roman" w:hAnsi="Times New Roman"/>
          <w:b w:val="0"/>
          <w:i w:val="0"/>
          <w:sz w:val="24"/>
        </w:rPr>
        <w:t xml:space="preserve">The expanded KNN classifier (k=5, cosine distance, distance-weighted), trained on 8,077 sequences across 28 groups, achieved 91.1% overall accuracy in five-fold stratified cross-validation. The modest reduction from the previous 92.2% accuracy on 20 groups reflects the increased classification complexity introduced by the four Gram-positive rep type groups and four additional rep type groups from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which exhibit distinct GC-content profiles (typically 28--35%) compared with Gram-negative Inc groups (typically 40--55%). The dominant confusion pairs among Gram-negative groups continued to involve closely related Inc groups (IncFIB and IncFII, median inter-group cosine distance d=0.002), consistent with the known structural similarity of IncF-family replicons. Among Gram-positive groups, repSA_large and repEF_res showed occasional cross-classification (d=0.008), reflecting shared mobile element content in resistance-associated plasmids. The Gram-positive groups individually achieved high per-class accuracy: repSA_large 93.4%, repSA_small 95.9%, repEF_conj 90.2%, and repEF_res 88.4%. Independent validation with four additional algorithms confirmed classifier robustness: XGBoost achieved the highest weighted F1 score of 0.896 (SD 0.011), followed by gradient boosting (0.893, SD 0.009), random forest (0.874, SD 0.021), and logistic regression (0.866, SD 0.012; Table 4).</w:t>
      </w:r>
    </w:p>
    <w:p>
      <w:pPr>
        <w:spacing w:after="120" w:before="0" w:line="480" w:lineRule="auto"/>
      </w:pPr>
      <w:r>
        <w:rPr>
          <w:rFonts w:ascii="Times New Roman" w:hAnsi="Times New Roman"/>
          <w:b w:val="0"/>
          <w:i w:val="0"/>
          <w:sz w:val="24"/>
        </w:rPr>
        <w:t>FastANI validates hierarchical thresholds</w:t>
      </w:r>
    </w:p>
    <w:p>
      <w:pPr>
        <w:spacing w:after="120" w:before="0" w:line="480" w:lineRule="auto"/>
      </w:pPr>
      <w:r>
        <w:rPr>
          <w:rFonts w:ascii="Times New Roman" w:hAnsi="Times New Roman"/>
          <w:b w:val="0"/>
          <w:i w:val="0"/>
          <w:sz w:val="24"/>
        </w:rPr>
        <w:t xml:space="preserve">Across 4,970 plasmid pairs from 20 Gram-negative Inc groups, cosine distance and FastANI showed a significant inverse correlation (Spearman rho = -0.348, P &lt; 10^-141). At the strain level (L6, d&lt;=0.001), the median ANI was 99.9%, confirming that plasmids sharing an L6 code are near-identical at the sequence level. Five Inc groups with non-significant per-group correlations (IncX1, IncFII, IncFIBK, IncX4, IncX3) exhibited narrow within-group ANI ranges (&gt;89%), producing a floor effect rather than indicating threshold miscalibration. The 15 groups with significant correlations spanned the full diversity range, confirming the generalisability of the cosine-to-ANI calibration across Gram-negative Inc groups (Figure 6). FastANI validation of the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rep type groups is planned as future work; however, the tetranucleotide-based distance metric is expected to generalise across bacterial phyla, as it captures intrinsic composition signatures independent of gene content.</w:t>
      </w:r>
    </w:p>
    <w:p>
      <w:pPr>
        <w:spacing w:after="120" w:before="0" w:line="480" w:lineRule="auto"/>
      </w:pPr>
      <w:r>
        <w:rPr>
          <w:rFonts w:ascii="Times New Roman" w:hAnsi="Times New Roman"/>
          <w:b w:val="0"/>
          <w:i w:val="0"/>
          <w:sz w:val="24"/>
        </w:rPr>
        <w:t>Comprehensive AMR landscape</w:t>
      </w:r>
    </w:p>
    <w:p>
      <w:pPr>
        <w:spacing w:after="120" w:before="0" w:line="480" w:lineRule="auto"/>
      </w:pPr>
      <w:r>
        <w:rPr>
          <w:rFonts w:ascii="Times New Roman" w:hAnsi="Times New Roman"/>
          <w:b w:val="0"/>
          <w:i w:val="0"/>
          <w:sz w:val="24"/>
        </w:rPr>
        <w:t>AMRFinderPlus detected 64,891 gene hits across 5,816 of 6,998 Gram-negative plasmids (83.1%), comprising 29,583 AMR, 6,286 virulence, and 29,022 stress-response gene detections. Among AMR-positive plasmids (n=4,657; 66.5%), the most prevalent genes were blaTEM-1 (n=1,864; 40.0% of AMR-positive plasmids), sul1 (n=1,383; 29.7%), and tet(A) (n=1,297; 27.9%; Figure 2).</w:t>
      </w:r>
    </w:p>
    <w:p>
      <w:pPr>
        <w:spacing w:after="120" w:before="0" w:line="480" w:lineRule="auto"/>
      </w:pPr>
      <w:r>
        <w:rPr>
          <w:rFonts w:ascii="Times New Roman" w:hAnsi="Times New Roman"/>
          <w:b w:val="0"/>
          <w:i w:val="0"/>
          <w:sz w:val="24"/>
        </w:rPr>
        <w:t>Clinically critical resistance determinants were prevalent (Table 5; Figure 3). We detected 1,635 carbapenemase genes, dominated by blaKPC-2 (n=824), blaNDM-1 (n=228), blaKPC-3 (n=193), and blaNDM-5 (n=89). ESBL genes totalled 1,804 detections, led by blaCTX-M-15 (n=505), blaCTX-M-65 (n=319), and blaSHV-12 (n=277). Mobile colistin resistance genes were detected 204 times, with mcr-1.1 (n=83), mcr-8.1 (n=27), and mcr-8.2 (n=18) predominating. Plasmid-mediated quinolone resistance (PMQR) determinants totalled 2,315 detections, led by qnrS1 (n=732) and aac(6')-Ib-cr5 (n=737; Figure 3).</w:t>
      </w:r>
    </w:p>
    <w:p>
      <w:pPr>
        <w:spacing w:after="120" w:before="0" w:line="480" w:lineRule="auto"/>
      </w:pPr>
      <w:r>
        <w:rPr>
          <w:rFonts w:ascii="Times New Roman" w:hAnsi="Times New Roman"/>
          <w:b w:val="0"/>
          <w:i w:val="0"/>
          <w:sz w:val="24"/>
        </w:rPr>
        <w:t xml:space="preserve">AMR burden varied substantially across the 20 Gram-negative Inc groups (Figure 5). Five groups exhibited 100% AMR gene carriage: IncA, IncAC2, IncC, IncFIC, and IncHI2. IncAC2 carried the highest mean AMR burden at 12.6 genes per plasmid. IncN plasmids showed 82.5% AMR carriage with a mean of 6.0 AMR genes. IncFII plasmids had the highest virulence gene prevalence at 23.2%, reflecting the known association of IncF-family replicons with uropathogenic </w:t>
      </w:r>
      <w:r>
        <w:rPr>
          <w:rFonts w:ascii="Times New Roman" w:hAnsi="Times New Roman"/>
          <w:b w:val="0"/>
          <w:i/>
          <w:sz w:val="24"/>
        </w:rPr>
        <w:t>Escherichia coli</w:t>
      </w:r>
      <w:r>
        <w:rPr>
          <w:rFonts w:ascii="Times New Roman" w:hAnsi="Times New Roman"/>
          <w:b w:val="0"/>
          <w:i w:val="0"/>
          <w:sz w:val="24"/>
        </w:rPr>
        <w:t xml:space="preserve"> virulence factors including iron acquisition systems and serum resistance determinants. AMR profiling of the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rep type groups was not performed in this study and is planned as future work.</w:t>
      </w:r>
    </w:p>
    <w:p>
      <w:pPr>
        <w:spacing w:after="120" w:before="0" w:line="480" w:lineRule="auto"/>
      </w:pPr>
      <w:r>
        <w:rPr>
          <w:rFonts w:ascii="Times New Roman" w:hAnsi="Times New Roman"/>
          <w:b w:val="0"/>
          <w:i w:val="0"/>
          <w:sz w:val="24"/>
        </w:rPr>
        <w:t>High-risk plasmid lineages</w:t>
      </w:r>
    </w:p>
    <w:p>
      <w:pPr>
        <w:spacing w:after="120" w:before="0" w:line="480" w:lineRule="auto"/>
      </w:pPr>
      <w:r>
        <w:rPr>
          <w:rFonts w:ascii="Times New Roman" w:hAnsi="Times New Roman"/>
          <w:b w:val="0"/>
          <w:i w:val="0"/>
          <w:sz w:val="24"/>
        </w:rPr>
        <w:t>pLIN analysis revealed clinically important lineages that are invisible to conventional Inc typing (Table 6; Figure 4). pLIN 671 (IncN; n=90) carried blaKPC-2 on 100% of member plasmids with a mean of 13.2 AMR genes, conferring simultaneous resistance to carbapenems, penicillins, and aminoglycosides. Under conventional typing, these 90 plasmids would be reported simply as "IncN" -- a label shared by more than 1,000 plasmids with vastly different resistance profiles. pLIN uniquely identifies this uniformly carbapenemase-positive subpopulation as a discrete surveillance target.</w:t>
      </w:r>
    </w:p>
    <w:p>
      <w:pPr>
        <w:spacing w:after="120" w:before="0" w:line="480" w:lineRule="auto"/>
      </w:pPr>
      <w:r>
        <w:rPr>
          <w:rFonts w:ascii="Times New Roman" w:hAnsi="Times New Roman"/>
          <w:b w:val="0"/>
          <w:i w:val="0"/>
          <w:sz w:val="24"/>
        </w:rPr>
        <w:t>pLIN 860 (n=142) spanned five Inc groups (IncN 73.2%, IncHI2 23.2%, plus IncFII, IncHI1, and IncX1), with a mean of 14.4 AMR genes per plasmid, 44.4% mcr gene carriage, sul1 on 61.3%, floR on 56.3%, and mph(A)/mrx(A) on 54.2% of members. This lineage represents a multi-drug resistance convergence zone with colistin resistance (44.4% mcr carriage) where resistance cassettes are exchanged between structurally different plasmid families -- a phenomenon entirely invisible to replicon-based typing.</w:t>
      </w:r>
    </w:p>
    <w:p>
      <w:pPr>
        <w:spacing w:after="120" w:before="0" w:line="480" w:lineRule="auto"/>
      </w:pPr>
      <w:r>
        <w:rPr>
          <w:rFonts w:ascii="Times New Roman" w:hAnsi="Times New Roman"/>
          <w:b w:val="0"/>
          <w:i w:val="0"/>
          <w:sz w:val="24"/>
        </w:rPr>
        <w:t>pLIN 1434 (IncFII 92.0%, IncF 8.0%; n=163) carried a mean of 7.4 AMR genes per plasmid, with blaCTX-M-27 detected in 29.4% of members, representing a distinct ESBL-carrying lineage within the large and heterogeneous IncFII group.</w:t>
      </w:r>
    </w:p>
    <w:p>
      <w:pPr>
        <w:spacing w:after="120" w:before="0" w:line="480" w:lineRule="auto"/>
      </w:pPr>
      <w:r>
        <w:rPr>
          <w:rFonts w:ascii="Times New Roman" w:hAnsi="Times New Roman"/>
          <w:b w:val="0"/>
          <w:i w:val="0"/>
          <w:sz w:val="24"/>
        </w:rPr>
        <w:t>Cross-validation against outbreak datasets</w:t>
      </w:r>
    </w:p>
    <w:p>
      <w:pPr>
        <w:spacing w:after="120" w:before="0" w:line="480" w:lineRule="auto"/>
      </w:pPr>
      <w:r>
        <w:rPr>
          <w:rFonts w:ascii="Times New Roman" w:hAnsi="Times New Roman"/>
          <w:b w:val="0"/>
          <w:i w:val="0"/>
          <w:sz w:val="24"/>
        </w:rPr>
        <w:t>pLIN classification was applied to 74 plasmids from 27 published outbreak and surveillance studies spanning seven resistance mechanisms across 13 countries (Figure 11; appendix p 10). Of 74 plasmids, 63 (85.1%) received high-confidence Inc classifications (&gt;=60%), with a mean nearest-neighbour distance of 0.0062, and 42 unique L6 pLIN codes were assigned.</w:t>
      </w:r>
    </w:p>
    <w:p>
      <w:pPr>
        <w:spacing w:after="120" w:before="0" w:line="480" w:lineRule="auto"/>
      </w:pPr>
      <w:r>
        <w:rPr>
          <w:rFonts w:ascii="Times New Roman" w:hAnsi="Times New Roman"/>
          <w:b w:val="0"/>
          <w:i w:val="0"/>
          <w:sz w:val="24"/>
        </w:rPr>
        <w:t>Among carbapenemase-carrying plasmids, a KPC-2 IncN plasmid from a 61-hospital German surveillance network</w:t>
      </w:r>
      <w:r>
        <w:rPr>
          <w:rFonts w:ascii="Times New Roman" w:hAnsi="Times New Roman"/>
          <w:b w:val="0"/>
          <w:i w:val="0"/>
          <w:sz w:val="24"/>
          <w:vertAlign w:val="superscript"/>
        </w:rPr>
        <w:t>16</w:t>
      </w:r>
      <w:r>
        <w:rPr>
          <w:rFonts w:ascii="Times New Roman" w:hAnsi="Times New Roman"/>
          <w:b w:val="0"/>
          <w:i w:val="0"/>
          <w:sz w:val="24"/>
        </w:rPr>
        <w:t xml:space="preserve"> (CP104944) was assigned pLIN 671 -- the same high-risk lineage independently identified in our training dataset -- with 100% confidence and zero nearest-neighbour distance. Two KPC-3 plasmids from the NIH Clinical Center outbreak</w:t>
      </w:r>
      <w:r>
        <w:rPr>
          <w:rFonts w:ascii="Times New Roman" w:hAnsi="Times New Roman"/>
          <w:b w:val="0"/>
          <w:i w:val="0"/>
          <w:sz w:val="24"/>
          <w:vertAlign w:val="superscript"/>
        </w:rPr>
        <w:t>24</w:t>
      </w:r>
      <w:r>
        <w:rPr>
          <w:rFonts w:ascii="Times New Roman" w:hAnsi="Times New Roman"/>
          <w:b w:val="0"/>
          <w:i w:val="0"/>
          <w:sz w:val="24"/>
        </w:rPr>
        <w:t xml:space="preserve"> both received pLIN 672, confirming within-outbreak clonality. A Chinese KPC-2 IncN plasmid</w:t>
      </w:r>
      <w:r>
        <w:rPr>
          <w:rFonts w:ascii="Times New Roman" w:hAnsi="Times New Roman"/>
          <w:b w:val="0"/>
          <w:i w:val="0"/>
          <w:sz w:val="24"/>
          <w:vertAlign w:val="superscript"/>
        </w:rPr>
        <w:t>25</w:t>
      </w:r>
      <w:r>
        <w:rPr>
          <w:rFonts w:ascii="Times New Roman" w:hAnsi="Times New Roman"/>
          <w:b w:val="0"/>
          <w:i w:val="0"/>
          <w:sz w:val="24"/>
        </w:rPr>
        <w:t xml:space="preserve"> was independently assigned pLIN 671, confirming intercontinental dissemination of this lineage.</w:t>
      </w:r>
    </w:p>
    <w:p>
      <w:pPr>
        <w:spacing w:after="120" w:before="0" w:line="480" w:lineRule="auto"/>
      </w:pPr>
      <w:r>
        <w:rPr>
          <w:rFonts w:ascii="Times New Roman" w:hAnsi="Times New Roman"/>
          <w:b w:val="0"/>
          <w:i w:val="0"/>
          <w:sz w:val="24"/>
        </w:rPr>
        <w:t>In the NDM-1 validation, 13 plasmids from a Hong Kong ICU outbreak</w:t>
      </w:r>
      <w:r>
        <w:rPr>
          <w:rFonts w:ascii="Times New Roman" w:hAnsi="Times New Roman"/>
          <w:b w:val="0"/>
          <w:i w:val="0"/>
          <w:sz w:val="24"/>
          <w:vertAlign w:val="superscript"/>
        </w:rPr>
        <w:t>26</w:t>
      </w:r>
      <w:r>
        <w:rPr>
          <w:rFonts w:ascii="Times New Roman" w:hAnsi="Times New Roman"/>
          <w:b w:val="0"/>
          <w:i w:val="0"/>
          <w:sz w:val="24"/>
        </w:rPr>
        <w:t xml:space="preserve"> were classified with 100% confidence; 12 of 13 shared pLIN 475 (IncX3), confirming clonal plasmid spread, while one structurally variant plasmid (53 kb vs ~46 kb) correctly received a distinct code (pLIN 473). In a polyclonal German hospital outbreak</w:t>
      </w:r>
      <w:r>
        <w:rPr>
          <w:rFonts w:ascii="Times New Roman" w:hAnsi="Times New Roman"/>
          <w:b w:val="0"/>
          <w:i w:val="0"/>
          <w:sz w:val="24"/>
          <w:vertAlign w:val="superscript"/>
        </w:rPr>
        <w:t>17</w:t>
      </w:r>
      <w:r>
        <w:rPr>
          <w:rFonts w:ascii="Times New Roman" w:hAnsi="Times New Roman"/>
          <w:b w:val="0"/>
          <w:i w:val="0"/>
          <w:sz w:val="24"/>
        </w:rPr>
        <w:t>, 12 NDM-1 plasmids resolved into nine unique L6 codes within a single L3 cluster, with four plasmids correctly grouped under pLIN 492.</w:t>
      </w:r>
    </w:p>
    <w:p>
      <w:pPr>
        <w:spacing w:after="120" w:before="0" w:line="480" w:lineRule="auto"/>
      </w:pPr>
      <w:r>
        <w:rPr>
          <w:rFonts w:ascii="Times New Roman" w:hAnsi="Times New Roman"/>
          <w:b w:val="0"/>
          <w:i w:val="0"/>
          <w:sz w:val="24"/>
        </w:rPr>
        <w:t>For OXA-48, five plasmids from Turkey, the Netherlands, and France</w:t>
      </w:r>
      <w:r>
        <w:rPr>
          <w:rFonts w:ascii="Times New Roman" w:hAnsi="Times New Roman"/>
          <w:b w:val="0"/>
          <w:i w:val="0"/>
          <w:sz w:val="24"/>
          <w:vertAlign w:val="superscript"/>
        </w:rPr>
        <w:t>27</w:t>
      </w:r>
      <w:r>
        <w:rPr>
          <w:rFonts w:ascii="Times New Roman" w:hAnsi="Times New Roman"/>
          <w:b w:val="0"/>
          <w:i w:val="0"/>
          <w:sz w:val="24"/>
        </w:rPr>
        <w:t xml:space="preserve"> shared pLIN 1688 (all 100% confidence), confirming the known international dissemination of a single OXA-48-carrying IncL/M backbone. A structurally distinct 142 kb multi-replicon plasmid from the same study correctly received a different code.</w:t>
      </w:r>
    </w:p>
    <w:p>
      <w:pPr>
        <w:spacing w:after="120" w:before="0" w:line="480" w:lineRule="auto"/>
      </w:pPr>
      <w:r>
        <w:rPr>
          <w:rFonts w:ascii="Times New Roman" w:hAnsi="Times New Roman"/>
          <w:b w:val="0"/>
          <w:i w:val="0"/>
          <w:sz w:val="24"/>
        </w:rPr>
        <w:t>The mcr-1 colistin resistance plasmids</w:t>
      </w:r>
      <w:r>
        <w:rPr>
          <w:rFonts w:ascii="Times New Roman" w:hAnsi="Times New Roman"/>
          <w:b w:val="0"/>
          <w:i w:val="0"/>
          <w:sz w:val="24"/>
          <w:vertAlign w:val="superscript"/>
        </w:rPr>
        <w:t>28</w:t>
      </w:r>
      <w:r>
        <w:rPr>
          <w:rFonts w:ascii="Times New Roman" w:hAnsi="Times New Roman"/>
          <w:b w:val="0"/>
          <w:i w:val="0"/>
          <w:sz w:val="24"/>
        </w:rPr>
        <w:t xml:space="preserve"> were correctly separated into two major backbones: four IncI2 plasmids from China, Europe, and the USA shared pLIN 87, while two IncX4 plasmids shared pLIN 340, consistent with the known epidemiology of mcr-1 dissemination.</w:t>
      </w:r>
    </w:p>
    <w:p>
      <w:pPr>
        <w:spacing w:after="120" w:before="0" w:line="480" w:lineRule="auto"/>
      </w:pPr>
      <w:r>
        <w:rPr>
          <w:rFonts w:ascii="Times New Roman" w:hAnsi="Times New Roman"/>
          <w:b w:val="0"/>
          <w:i w:val="0"/>
          <w:sz w:val="24"/>
        </w:rPr>
        <w:t>For CTX-M-15 ESBLs, three USA plasmids</w:t>
      </w:r>
      <w:r>
        <w:rPr>
          <w:rFonts w:ascii="Times New Roman" w:hAnsi="Times New Roman"/>
          <w:b w:val="0"/>
          <w:i w:val="0"/>
          <w:sz w:val="24"/>
          <w:vertAlign w:val="superscript"/>
        </w:rPr>
        <w:t>29</w:t>
      </w:r>
      <w:r>
        <w:rPr>
          <w:rFonts w:ascii="Times New Roman" w:hAnsi="Times New Roman"/>
          <w:b w:val="0"/>
          <w:i w:val="0"/>
          <w:sz w:val="24"/>
        </w:rPr>
        <w:t xml:space="preserve"> shared pLIN 1482 (within-outbreak clonality confirmed), while UK and Indian plasmids had distinct L6 codes but shared L5 code 48, placing all in the same clone complex consistent with the pandemic IncFII-CTX-M-15 lineage.</w:t>
      </w:r>
    </w:p>
    <w:p>
      <w:pPr>
        <w:spacing w:after="120" w:before="0" w:line="480" w:lineRule="auto"/>
      </w:pPr>
      <w:r>
        <w:rPr>
          <w:rFonts w:ascii="Times New Roman" w:hAnsi="Times New Roman"/>
          <w:b w:val="0"/>
          <w:i w:val="0"/>
          <w:sz w:val="24"/>
        </w:rPr>
        <w:t>An IMP-4-carrying IncHI2 outbreak plasmid from Australia</w:t>
      </w:r>
      <w:r>
        <w:rPr>
          <w:rFonts w:ascii="Times New Roman" w:hAnsi="Times New Roman"/>
          <w:b w:val="0"/>
          <w:i w:val="0"/>
          <w:sz w:val="24"/>
          <w:vertAlign w:val="superscript"/>
        </w:rPr>
        <w:t>19</w:t>
      </w:r>
      <w:r>
        <w:rPr>
          <w:rFonts w:ascii="Times New Roman" w:hAnsi="Times New Roman"/>
          <w:b w:val="0"/>
          <w:i w:val="0"/>
          <w:sz w:val="24"/>
        </w:rPr>
        <w:t xml:space="preserve"> was assigned pLIN 860 (100% confidence, d=0.0004) -- the same globally disseminated multi-drug resistance hub lineage identified independently in our training data. Across all studies, nine intra-study outbreak clusters were detected (plasmids from the same study sharing L6 codes), and three globally disseminated lineages (pLIN 671/KPC-2, pLIN 860/MDR hub, pLIN 1688/OXA-48) were independently identified across multiple continents.</w:t>
      </w:r>
    </w:p>
    <w:p>
      <w:pPr>
        <w:pStyle w:val="Heading3"/>
      </w:pPr>
      <w:r>
        <w:rPr>
          <w:rFonts w:ascii="Times New Roman" w:hAnsi="Times New Roman"/>
          <w:sz w:val="28"/>
        </w:rPr>
        <w:t>Combined chromosomal-plasmid typing validation</w:t>
      </w:r>
    </w:p>
    <w:p>
      <w:pPr>
        <w:spacing w:after="120" w:before="0" w:line="480" w:lineRule="auto"/>
      </w:pPr>
      <w:r>
        <w:rPr>
          <w:rFonts w:ascii="Times New Roman" w:hAnsi="Times New Roman"/>
          <w:b w:val="0"/>
          <w:i w:val="0"/>
          <w:sz w:val="24"/>
        </w:rPr>
        <w:t>Retrospective validation of combined pLIN + MLST typing across 13 outbreak studies (74 plasmids, 7 host species, 20 unique MLST STs) demonstrated 92.3% overall concordance (12/13 studies; Figure 13). Multi-ST diversity was correctly detected in all 13 studies (100%), and clonal spread was correctly identified in 12 of 13 studies (92.3%).</w:t>
      </w:r>
    </w:p>
    <w:p>
      <w:pPr>
        <w:spacing w:after="120" w:before="0" w:line="480" w:lineRule="auto"/>
      </w:pPr>
      <w:r>
        <w:rPr>
          <w:rFonts w:ascii="Times New Roman" w:hAnsi="Times New Roman"/>
          <w:b w:val="0"/>
          <w:i w:val="0"/>
          <w:sz w:val="24"/>
        </w:rPr>
        <w:t xml:space="preserve">Key validation cases illustrated the discriminatory value of combined typing. In the Conlan 2014 NIH KPC outbreak, two </w:t>
      </w:r>
      <w:r>
        <w:rPr>
          <w:rFonts w:ascii="Times New Roman" w:hAnsi="Times New Roman"/>
          <w:b w:val="0"/>
          <w:i/>
          <w:sz w:val="24"/>
        </w:rPr>
        <w:t>Klebsiella pneumoniae</w:t>
      </w:r>
      <w:r>
        <w:rPr>
          <w:rFonts w:ascii="Times New Roman" w:hAnsi="Times New Roman"/>
          <w:b w:val="0"/>
          <w:i w:val="0"/>
          <w:sz w:val="24"/>
        </w:rPr>
        <w:t xml:space="preserve"> ST258 isolates sharing pLIN 672 were correctly classified as clonal spread, confirming vertical co-transmission of both chromosome and plasmid. In the Yao 2023 German KPC outbreak, </w:t>
      </w:r>
      <w:r>
        <w:rPr>
          <w:rFonts w:ascii="Times New Roman" w:hAnsi="Times New Roman"/>
          <w:b w:val="0"/>
          <w:i/>
          <w:sz w:val="24"/>
        </w:rPr>
        <w:t>K. pneumoniae</w:t>
      </w:r>
      <w:r>
        <w:rPr>
          <w:rFonts w:ascii="Times New Roman" w:hAnsi="Times New Roman"/>
          <w:b w:val="0"/>
          <w:i w:val="0"/>
          <w:sz w:val="24"/>
        </w:rPr>
        <w:t xml:space="preserve"> ST11 and </w:t>
      </w:r>
      <w:r>
        <w:rPr>
          <w:rFonts w:ascii="Times New Roman" w:hAnsi="Times New Roman"/>
          <w:b w:val="0"/>
          <w:i/>
          <w:sz w:val="24"/>
        </w:rPr>
        <w:t>Escherichia coli</w:t>
      </w:r>
      <w:r>
        <w:rPr>
          <w:rFonts w:ascii="Times New Roman" w:hAnsi="Times New Roman"/>
          <w:b w:val="0"/>
          <w:i w:val="0"/>
          <w:sz w:val="24"/>
        </w:rPr>
        <w:t xml:space="preserve"> ST131 isolates carrying pLIN 671 and pLIN 725 were correctly identified as representing different transmission pathways — the same pLIN code across different STs indicating horizontal plasmid transfer, while different pLIN codes within different STs indicating independent acquisition. In the Weber 2019 German NDM outbreak, isolates from four bacterial species (</w:t>
      </w:r>
      <w:r>
        <w:rPr>
          <w:rFonts w:ascii="Times New Roman" w:hAnsi="Times New Roman"/>
          <w:b w:val="0"/>
          <w:i/>
          <w:sz w:val="24"/>
        </w:rPr>
        <w:t>E. coli</w:t>
      </w:r>
      <w:r>
        <w:rPr>
          <w:rFonts w:ascii="Times New Roman" w:hAnsi="Times New Roman"/>
          <w:b w:val="0"/>
          <w:i w:val="0"/>
          <w:sz w:val="24"/>
        </w:rPr>
        <w:t xml:space="preserve">, </w:t>
      </w:r>
      <w:r>
        <w:rPr>
          <w:rFonts w:ascii="Times New Roman" w:hAnsi="Times New Roman"/>
          <w:b w:val="0"/>
          <w:i/>
          <w:sz w:val="24"/>
        </w:rPr>
        <w:t>K. pneumoniae</w:t>
      </w:r>
      <w:r>
        <w:rPr>
          <w:rFonts w:ascii="Times New Roman" w:hAnsi="Times New Roman"/>
          <w:b w:val="0"/>
          <w:i w:val="0"/>
          <w:sz w:val="24"/>
        </w:rPr>
        <w:t xml:space="preserve">, </w:t>
      </w:r>
      <w:r>
        <w:rPr>
          <w:rFonts w:ascii="Times New Roman" w:hAnsi="Times New Roman"/>
          <w:b w:val="0"/>
          <w:i/>
          <w:sz w:val="24"/>
        </w:rPr>
        <w:t>Enterobacter cloacae</w:t>
      </w:r>
      <w:r>
        <w:rPr>
          <w:rFonts w:ascii="Times New Roman" w:hAnsi="Times New Roman"/>
          <w:b w:val="0"/>
          <w:i w:val="0"/>
          <w:sz w:val="24"/>
        </w:rPr>
        <w:t xml:space="preserve">, </w:t>
      </w:r>
      <w:r>
        <w:rPr>
          <w:rFonts w:ascii="Times New Roman" w:hAnsi="Times New Roman"/>
          <w:b w:val="0"/>
          <w:i/>
          <w:sz w:val="24"/>
        </w:rPr>
        <w:t>Citrobacter freundii</w:t>
      </w:r>
      <w:r>
        <w:rPr>
          <w:rFonts w:ascii="Times New Roman" w:hAnsi="Times New Roman"/>
          <w:b w:val="0"/>
          <w:i w:val="0"/>
          <w:sz w:val="24"/>
        </w:rPr>
        <w:t xml:space="preserve">) with nine MLST STs and nine distinct pLIN L6 codes within a single L3 cluster were correctly classified as horizontal transfer events. In the Jousset 2019 OXA-48 Netherlands outbreak, </w:t>
      </w:r>
      <w:r>
        <w:rPr>
          <w:rFonts w:ascii="Times New Roman" w:hAnsi="Times New Roman"/>
          <w:b w:val="0"/>
          <w:i/>
          <w:sz w:val="24"/>
        </w:rPr>
        <w:t>K. pneumoniae</w:t>
      </w:r>
      <w:r>
        <w:rPr>
          <w:rFonts w:ascii="Times New Roman" w:hAnsi="Times New Roman"/>
          <w:b w:val="0"/>
          <w:i w:val="0"/>
          <w:sz w:val="24"/>
        </w:rPr>
        <w:t xml:space="preserve"> and </w:t>
      </w:r>
      <w:r>
        <w:rPr>
          <w:rFonts w:ascii="Times New Roman" w:hAnsi="Times New Roman"/>
          <w:b w:val="0"/>
          <w:i/>
          <w:sz w:val="24"/>
        </w:rPr>
        <w:t>E. coli</w:t>
      </w:r>
      <w:r>
        <w:rPr>
          <w:rFonts w:ascii="Times New Roman" w:hAnsi="Times New Roman"/>
          <w:b w:val="0"/>
          <w:i w:val="0"/>
          <w:sz w:val="24"/>
        </w:rPr>
        <w:t xml:space="preserve"> isolates with different STs (ST15, ST307, ST410) but sharing pLIN 1688 confirmed horizontal OXA-48 plasmid transfer across species — a transmission mode invisible to plasmid-only or chromosome-only typing approaches.</w:t>
      </w:r>
    </w:p>
    <w:p>
      <w:pPr>
        <w:spacing w:after="120" w:before="0" w:line="480" w:lineRule="auto"/>
      </w:pPr>
      <w:r>
        <w:rPr>
          <w:rFonts w:ascii="Times New Roman" w:hAnsi="Times New Roman"/>
          <w:b w:val="0"/>
          <w:i w:val="0"/>
          <w:sz w:val="24"/>
        </w:rPr>
        <w:t>The single discordant study (Woodford 2009 CTX-M UK) involved an ST131 and ST405 outbreak where the expected clonal component was not detected because the two STs carried distinct pLIN codes; however, this may reflect genuine independent plasmid acquisition within the same hospital rather than a classification error.</w:t>
      </w:r>
    </w:p>
    <w:p>
      <w:pPr>
        <w:spacing w:after="120" w:before="0" w:line="480" w:lineRule="auto"/>
      </w:pPr>
      <w:r>
        <w:rPr>
          <w:rFonts w:ascii="Times New Roman" w:hAnsi="Times New Roman"/>
          <w:b w:val="0"/>
          <w:i w:val="0"/>
          <w:sz w:val="24"/>
        </w:rPr>
        <w:t>Reference database expansion</w:t>
      </w:r>
    </w:p>
    <w:p>
      <w:pPr>
        <w:spacing w:after="120" w:before="0" w:line="480" w:lineRule="auto"/>
      </w:pPr>
      <w:r>
        <w:rPr>
          <w:rFonts w:ascii="Times New Roman" w:hAnsi="Times New Roman"/>
          <w:b w:val="0"/>
          <w:i w:val="0"/>
          <w:sz w:val="24"/>
        </w:rPr>
        <w:t>Expansion of the pLIN framework to 79,305 plasmid sequences (8,056 unique training plus 71,249 additional plasmids from PLSDB and NCBI RefSeq) yielded 57,886 unique pLIN codes with a classification rate of 97.3% (2,109 sequences below the 40% confidence threshold, 2.7%; Figure 10). The expanded database processes on a standard laptop in under 30 minutes with a peak memory footprint of 2.4 GB, requiring no high-performance computing infrastructure.</w:t>
      </w:r>
    </w:p>
    <w:p>
      <w:pPr>
        <w:pStyle w:val="Heading3"/>
      </w:pPr>
      <w:r>
        <w:rPr>
          <w:rFonts w:ascii="Times New Roman" w:hAnsi="Times New Roman"/>
          <w:sz w:val="28"/>
        </w:rPr>
        <w:t>Analytical module validation</w:t>
      </w:r>
    </w:p>
    <w:p>
      <w:pPr>
        <w:spacing w:after="120" w:before="0" w:line="480" w:lineRule="auto"/>
      </w:pPr>
      <w:r>
        <w:rPr>
          <w:rFonts w:ascii="Times New Roman" w:hAnsi="Times New Roman"/>
          <w:b w:val="0"/>
          <w:i w:val="0"/>
          <w:sz w:val="24"/>
        </w:rPr>
        <w:t>Seven analytical modules were developed to address previously identified limitations of the pLIN framework. Validation results for each module are summarised below (Figure 14).</w:t>
      </w:r>
    </w:p>
    <w:p>
      <w:pPr>
        <w:spacing w:after="120" w:before="0" w:line="480" w:lineRule="auto"/>
      </w:pPr>
      <w:r>
        <w:rPr>
          <w:rFonts w:ascii="Times New Roman" w:hAnsi="Times New Roman"/>
          <w:b w:val="0"/>
          <w:i/>
          <w:sz w:val="24"/>
        </w:rPr>
        <w:t>Assembly completeness assessment.</w:t>
      </w:r>
      <w:r>
        <w:rPr>
          <w:rFonts w:ascii="Times New Roman" w:hAnsi="Times New Roman"/>
          <w:b w:val="0"/>
          <w:i w:val="0"/>
          <w:sz w:val="24"/>
        </w:rPr>
        <w:t xml:space="preserve"> The completeness scoring module was validated against 500 plasmid sequences with known assembly status (250 complete, closed circular assemblies and 250 draft assemblies at varying fragmentation levels). The composite score correctly categorised 94.2% of complete assemblies as COMPLETE (score &gt;=80) and 91.6% of fragmented assemblies as FRAGMENTED or POOR (score &lt;60). The circular topology signal sub-score showed the highest discriminatory power (AUC 0.97), followed by contig count (AUC 0.94) and N50 ratio (AUC 0.91). Coding density and N-gap presence provided complementary information, particularly for near-complete assemblies missing only terminal overlaps.</w:t>
      </w:r>
    </w:p>
    <w:p>
      <w:pPr>
        <w:spacing w:after="120" w:before="0" w:line="480" w:lineRule="auto"/>
      </w:pPr>
      <w:r>
        <w:rPr>
          <w:rFonts w:ascii="Times New Roman" w:hAnsi="Times New Roman"/>
          <w:b w:val="0"/>
          <w:i/>
          <w:sz w:val="24"/>
        </w:rPr>
        <w:t>Plasmid contig identification.</w:t>
      </w:r>
      <w:r>
        <w:rPr>
          <w:rFonts w:ascii="Times New Roman" w:hAnsi="Times New Roman"/>
          <w:b w:val="0"/>
          <w:i w:val="0"/>
          <w:sz w:val="24"/>
        </w:rPr>
        <w:t xml:space="preserve"> The multi-signal contig classification module was validated against mixed datasets containing both chromosomal and plasmid sequences. A test set of 1,200 contigs (600 known chromosomal contigs ranging from 50 kb to 5.2 Mb and 600 known plasmid sequences from the training database) was processed through the scoring system. Chromosomal contigs exceeding 500 kb were correctly classified with greater than 95% specificity (573/600), with the sequence length signal providing the strongest discriminatory contribution for large contigs. Known plasmid training sequences were correctly identified with greater than 98% sensitivity (591/600), driven primarily by the cosine distance and classifier confidence signals. Among borderline contigs (50--300 kb), the combination of header keyword matching and classifier confidence resolved 89.4% correctly, with the remaining 10.6% defaulting to plasmid classification under the conservative threshold. The module eliminated spurious pLIN assignments to chromosomal contigs that previously required manual identification through the assembly completeness module (Figure 18).</w:t>
      </w:r>
    </w:p>
    <w:p>
      <w:pPr>
        <w:spacing w:after="120" w:before="0" w:line="480" w:lineRule="auto"/>
      </w:pPr>
      <w:r>
        <w:rPr>
          <w:rFonts w:ascii="Times New Roman" w:hAnsi="Times New Roman"/>
          <w:b w:val="0"/>
          <w:i/>
          <w:sz w:val="24"/>
        </w:rPr>
        <w:t>Database coverage and novelty detection.</w:t>
      </w:r>
      <w:r>
        <w:rPr>
          <w:rFonts w:ascii="Times New Roman" w:hAnsi="Times New Roman"/>
          <w:b w:val="0"/>
          <w:i w:val="0"/>
          <w:sz w:val="24"/>
        </w:rPr>
        <w:t xml:space="preserve"> The nearest-neighbour distance percentile system was evaluated using a leave-one-out approach across all 8,077 training sequences. Of 8,077 sequences, 5,782 (78.1%) received GREEN status, 1,186 (16.0%) YELLOW, and 437 (5.9%) RED. Among RED-flagged sequences, 89.2% had cosine distances exceeding the L3 threshold (d &gt; 0.050) to their nearest neighbour, confirming that RED status reliably identifies sequences poorly represented in the database. When applied to the 74 outbreak validation plasmids, the traffic-light system correctly identified 11 plasmids (14.9%) as YELLOW or RED, all of which were from studies reporting novel or divergent plasmid variants.</w:t>
      </w:r>
    </w:p>
    <w:p>
      <w:pPr>
        <w:spacing w:after="120" w:before="0" w:line="480" w:lineRule="auto"/>
      </w:pPr>
      <w:r>
        <w:rPr>
          <w:rFonts w:ascii="Times New Roman" w:hAnsi="Times New Roman"/>
          <w:b w:val="0"/>
          <w:i/>
          <w:sz w:val="24"/>
        </w:rPr>
        <w:t>Recombination detection.</w:t>
      </w:r>
      <w:r>
        <w:rPr>
          <w:rFonts w:ascii="Times New Roman" w:hAnsi="Times New Roman"/>
          <w:b w:val="0"/>
          <w:i w:val="0"/>
          <w:sz w:val="24"/>
        </w:rPr>
        <w:t xml:space="preserve"> The minimap2-based recombination module was validated against 150 plasmid sequences with known mosaic structures (curated from published recombination analyses) and 350 non-mosaic control sequences. The module achieved 87.3% sensitivity and 94.1% specificity for detecting mosaic plasmids (Medium or High recombination flag). The block fragmentation index proved the most informative metric, with mosaic plasmids showing a mean of 4.7 alignment blocks compared with 1.3 for non-mosaic sequences (P &lt; 10^-20, Wilcoxon rank-sum test).</w:t>
      </w:r>
    </w:p>
    <w:p>
      <w:pPr>
        <w:spacing w:after="120" w:before="0" w:line="480" w:lineRule="auto"/>
      </w:pPr>
      <w:r>
        <w:rPr>
          <w:rFonts w:ascii="Times New Roman" w:hAnsi="Times New Roman"/>
          <w:b w:val="0"/>
          <w:i/>
          <w:sz w:val="24"/>
        </w:rPr>
        <w:t>Novel Inc group discovery.</w:t>
      </w:r>
      <w:r>
        <w:rPr>
          <w:rFonts w:ascii="Times New Roman" w:hAnsi="Times New Roman"/>
          <w:b w:val="0"/>
          <w:i w:val="0"/>
          <w:sz w:val="24"/>
        </w:rPr>
        <w:t xml:space="preserve"> When applied to the 2,109 low-confidence sequences from the expanded 79,305-plasmid database, the hierarchical clustering module identified 18 putative novel Inc/rep groups (&gt;=3 members each, L3 threshold), comprising 247 plasmids (9.8% of unclassified sequences). The largest putative novel group contained 31 members with a mean intra-cluster distance of 0.028 and a mean distance of 0.142 to the nearest known Inc group centroid (IncR), suggesting a genuinely distinct plasmid family. Six of the 18 putative groups showed mean distances below 0.080 to known groups, suggesting they may represent divergent variants rather than truly novel families.</w:t>
      </w:r>
    </w:p>
    <w:p>
      <w:pPr>
        <w:spacing w:after="120" w:before="0" w:line="480" w:lineRule="auto"/>
      </w:pPr>
      <w:r>
        <w:rPr>
          <w:rFonts w:ascii="Times New Roman" w:hAnsi="Times New Roman"/>
          <w:b w:val="0"/>
          <w:i/>
          <w:sz w:val="24"/>
        </w:rPr>
        <w:t>Evolutionary rate estimation.</w:t>
      </w:r>
      <w:r>
        <w:rPr>
          <w:rFonts w:ascii="Times New Roman" w:hAnsi="Times New Roman"/>
          <w:b w:val="0"/>
          <w:i w:val="0"/>
          <w:sz w:val="24"/>
        </w:rPr>
        <w:t xml:space="preserve"> The linear regression module was tested on 12 L6 clusters containing dated sequences (&gt;=3 members with isolation dates spanning &gt;=2 years). Eight clusters yielded significant temporal signal (R^2 &gt; 0.3, P &lt; 0.05), with estimated substitution rates ranging from 1.8 x 10^-6 to 8.4 x 10^-6 substitutions per site per year, consistent with published plasmid evolutionary rates. The remaining four clusters showed poor temporal signal (R^2 &lt; 0.15), attributable to short temporal spans or rate heterogeneity within the cluster.</w:t>
      </w:r>
    </w:p>
    <w:p>
      <w:pPr>
        <w:spacing w:after="120" w:before="0" w:line="480" w:lineRule="auto"/>
      </w:pPr>
      <w:r>
        <w:rPr>
          <w:rFonts w:ascii="Times New Roman" w:hAnsi="Times New Roman"/>
          <w:b w:val="0"/>
          <w:i/>
          <w:sz w:val="24"/>
        </w:rPr>
        <w:t>Adaptive thresholds and cluster stability.</w:t>
      </w:r>
      <w:r>
        <w:rPr>
          <w:rFonts w:ascii="Times New Roman" w:hAnsi="Times New Roman"/>
          <w:b w:val="0"/>
          <w:i w:val="0"/>
          <w:sz w:val="24"/>
        </w:rPr>
        <w:t xml:space="preserve"> Bootstrap resampling (50 iterations) across all 28 groups revealed that 20 groups showed high cluster stability (mean ARI &gt; 0.85 across linkage methods), while four groups (IncFII, IncFIB, repSA_large, repEF_res) showed moderate stability (ARI 0.70--0.84), reflecting the higher internal diversity of these large and heterogeneous groups. Inc/rep-group-specific calibrated thresholds deviated from the default L3 threshold (d = 0.050) by a mean of 0.008 (range 0.000--0.019), with the largest deviations observed for repSA_large (optimal L3 = 0.062) and IncFII (optimal L3 = 0.042).</w:t>
      </w:r>
    </w:p>
    <w:p>
      <w:pPr>
        <w:spacing w:after="120" w:before="0" w:line="480" w:lineRule="auto"/>
      </w:pPr>
      <w:r>
        <w:rPr>
          <w:rFonts w:ascii="Times New Roman" w:hAnsi="Times New Roman"/>
          <w:b w:val="0"/>
          <w:i/>
          <w:sz w:val="24"/>
        </w:rPr>
        <w:t>Mobile genetic element boundary detection.</w:t>
      </w:r>
      <w:r>
        <w:rPr>
          <w:rFonts w:ascii="Times New Roman" w:hAnsi="Times New Roman"/>
          <w:b w:val="0"/>
          <w:i w:val="0"/>
          <w:sz w:val="24"/>
        </w:rPr>
        <w:t xml:space="preserve"> The MGE detection module was validated against 200 plasmid sequences with manually curated IS element and transposon annotations from ISfinder and the Tn Number Registry. The module detected 94.7% of annotated IS elements (sensitivity) with a false discovery rate of 8.3%. Composite transposon structures (IS pairs flanking resistance genes) were identified in 623 of 8,077 training plasmids (7.7%), with the most frequent associations being IS26 flanking blaTEM-1 (n=187), ISEcp1 upstream of blaCTX-M variants (n=94), and IS26 flanking aadA genes (n=78). Among Gram-positive plasmids, IS256 flanking aminoglycoside resistance genes was the most common composite transposon structure (n=23).</w:t>
      </w:r>
    </w:p>
    <w:p>
      <w:pPr>
        <w:spacing w:after="120" w:before="0" w:line="480" w:lineRule="auto"/>
      </w:pPr>
      <w:r>
        <w:rPr>
          <w:rFonts w:ascii="Times New Roman" w:hAnsi="Times New Roman"/>
          <w:b w:val="0"/>
          <w:i w:val="0"/>
          <w:sz w:val="24"/>
        </w:rPr>
        <w:t>Discussion</w:t>
      </w:r>
    </w:p>
    <w:p>
      <w:pPr>
        <w:spacing w:after="120" w:before="0" w:line="480" w:lineRule="auto"/>
      </w:pPr>
      <w:r>
        <w:rPr>
          <w:rFonts w:ascii="Times New Roman" w:hAnsi="Times New Roman"/>
          <w:b w:val="0"/>
          <w:i w:val="0"/>
          <w:sz w:val="24"/>
        </w:rPr>
        <w:t xml:space="preserve">We have developed pLIN, a hierarchical plasmid classification and surveillance system that addresses fundamental limitations of existing typing approaches. By combining tetranucleotide composition analysis with six-level hierarchical clustering, integrated AMR profiling, automated outbreak detection, and seven additional analytical modules addressing assembly quality, database coverage, recombination, novel group discovery, evolutionary rate estimation, cluster stability, and MGE boundary detection, pLIN provides a comprehensive framework for plasmid surveillance that substantially exceeds the discriminatory power of current methods. The expansion to include Gram-positive rep type groups from </w:t>
      </w:r>
      <w:r>
        <w:rPr>
          <w:rFonts w:ascii="Times New Roman" w:hAnsi="Times New Roman"/>
          <w:b w:val="0"/>
          <w:i/>
          <w:sz w:val="24"/>
        </w:rPr>
        <w:t>Staphylococcus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spp., together with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rep type groups, extends the framework beyond Enterobacterales, addressing a critical gap in plasmid-mediated AMR surveillance in healthcare-associated Gram-positive pathogens and WHO critical priority Gram-negative pathogens.</w:t>
      </w:r>
    </w:p>
    <w:p>
      <w:pPr>
        <w:spacing w:after="120" w:before="0" w:line="480" w:lineRule="auto"/>
      </w:pPr>
      <w:r>
        <w:rPr>
          <w:rFonts w:ascii="Times New Roman" w:hAnsi="Times New Roman"/>
          <w:b w:val="0"/>
          <w:i w:val="0"/>
          <w:sz w:val="24"/>
        </w:rPr>
        <w:t xml:space="preserve">The 1.54-fold improvement in Simpson's diversity index over Inc/rep typing (0.985 vs 0.641) reflects pLIN's ability to resolve clinically meaningful subpopulations within broad Inc/rep groups. This is not merely a theoretical advance: the identification of pLIN 671 as a discrete lineage carrying blaKPC-2 on 100% of members, with a mean of 13.2 AMR genes, demonstrates that pLIN can stratify the more than 1,000 plasmids labelled "IncN" into actionable surveillance targets. The extension to Gram-positive organisms,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further demonstrates that the same tetranucleotide-based approach can accommodate plasmids with substantially different GC content (25--35% vs 40--55% for Enterobacterales), opening plasmid surveillance to healthcare-associated pathogens such as methicillin-resistant </w:t>
      </w:r>
      <w:r>
        <w:rPr>
          <w:rFonts w:ascii="Times New Roman" w:hAnsi="Times New Roman"/>
          <w:b w:val="0"/>
          <w:i/>
          <w:sz w:val="24"/>
        </w:rPr>
        <w:t>S. aureus</w:t>
      </w:r>
      <w:r>
        <w:rPr>
          <w:rFonts w:ascii="Times New Roman" w:hAnsi="Times New Roman"/>
          <w:b w:val="0"/>
          <w:i w:val="0"/>
          <w:sz w:val="24"/>
        </w:rPr>
        <w:t xml:space="preserve"> (MRSA), vancomycin-resistant enterococci (VRE), and WHO critical priority pathogens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where plasmid-mediated resistance transfer is clinically critical but poorly characterised at the lineage level. Similarly, the detection of pLIN 860 as a multi-Inc convergence zone carrying multi-drug resistance determinants including mobile colistin resistance genes (44.4% mcr carriage) reveals cross-Inc resistance dynamics that are fundamentally invisible to replicon-based typing.</w:t>
      </w:r>
    </w:p>
    <w:p>
      <w:pPr>
        <w:spacing w:after="120" w:before="0" w:line="480" w:lineRule="auto"/>
      </w:pPr>
      <w:r>
        <w:rPr>
          <w:rFonts w:ascii="Times New Roman" w:hAnsi="Times New Roman"/>
          <w:b w:val="0"/>
          <w:i w:val="0"/>
          <w:sz w:val="24"/>
        </w:rPr>
        <w:t>The cross-validation against 74 plasmids from 27 published outbreak and surveillance studies across 13 countries provides proof-of-concept evidence for clinical applicability. Three globally disseminated lineages (pLIN 671/KPC-2, pLIN 860/MDR hub, pLIN 1688/OXA-48) were independently detected across multiple continents through nearest-neighbour matching, demonstrating that pLIN codes are transferable across studies, countries, and host species. The correct separation of two major mcr-1 backbones (IncI2 pLIN 87 vs IncX4 pLIN 340) and the clustering of 12 of 13 Hong Kong NDM-1 outbreak plasmids under a single code (pLIN 475) illustrate both mechanistic and epidemiological resolution. The ability to resolve 12 plasmids from a polyclonal German NDM-1 outbreak into nine distinct L6 codes within a single L3 cluster illustrates the hierarchical resolution that infection control teams require. Quantitative benchmarking by leave-one-out cross-validation (LOOCV) on 57 outbreak plasmids with available sequence data demonstrated 94.7% L6 pLIN concordance (54/57) and 100% L3 cluster concordance (57/57), with a mean nearest-neighbour distance of 0.005 and mean classification confidence of 87.7%. Cluster detection recall across 13 multi-plasmid studies was 69.2% (9/13) at the stringent L6 level; the four undetected clusters comprised studies with genuinely distinct plasmid variants that correctly received different L6 codes but shared L3 cluster membership (100% L3 concordance). Nevertheless, prospective, multi-centre clinical trials with blinded comparisons against existing surveillance tools are needed to establish clinical utility definitively.</w:t>
      </w:r>
    </w:p>
    <w:p>
      <w:pPr>
        <w:spacing w:after="120" w:before="0" w:line="480" w:lineRule="auto"/>
      </w:pPr>
      <w:r>
        <w:rPr>
          <w:rFonts w:ascii="Times New Roman" w:hAnsi="Times New Roman"/>
          <w:b w:val="0"/>
          <w:i w:val="0"/>
          <w:sz w:val="24"/>
        </w:rPr>
        <w:t>The permanence of pLIN codes represents a critical advantage for surveillance. Unlike MOB-suite and COPLA, which reassign cluster identifiers with each database update, pLIN codes are stable: a plasmid classified as pLIN 671 today will retain that designation regardless of future database expansions. This property is essential for longitudinal surveillance within institutions and for comparisons across national and international networks.</w:t>
      </w:r>
      <w:r>
        <w:rPr>
          <w:rFonts w:ascii="Times New Roman" w:hAnsi="Times New Roman"/>
          <w:b w:val="0"/>
          <w:i w:val="0"/>
          <w:sz w:val="24"/>
          <w:vertAlign w:val="superscript"/>
        </w:rPr>
        <w:t>20</w:t>
      </w:r>
    </w:p>
    <w:p>
      <w:pPr>
        <w:spacing w:after="120" w:before="0" w:line="480" w:lineRule="auto"/>
      </w:pPr>
      <w:r>
        <w:rPr>
          <w:rFonts w:ascii="Times New Roman" w:hAnsi="Times New Roman"/>
          <w:b w:val="0"/>
          <w:i w:val="0"/>
          <w:sz w:val="24"/>
        </w:rPr>
        <w:t>The integration of pLIN with chromosomal MLST typing addresses a fundamental limitation of plasmid-only surveillance: the inability to distinguish clonal bacterial spread (where chromosome and plasmid are co-transmitted) from horizontal plasmid transfer (where the same plasmid moves between genetically distinct bacterial lineages). This distinction has direct implications for infection control: clonal spread requires patient isolation and contact tracing, whereas horizontal transfer may indicate selective pressure driving independent plasmid acquisition across bacterial populations. The retrospective validation across 13 outbreak studies (92.3% concordance, 7 host species, 20 MLST STs) demonstrates that combined pLIN + MLST typing provides transmission-mode discrimination unavailable from either method alone. However, this approach requires paired chromosomal genome assemblies alongside plasmid sequences, which may not be available in all surveillance settings.</w:t>
      </w:r>
    </w:p>
    <w:p>
      <w:pPr>
        <w:spacing w:after="120" w:before="0" w:line="480" w:lineRule="auto"/>
      </w:pPr>
      <w:r>
        <w:rPr>
          <w:rFonts w:ascii="Times New Roman" w:hAnsi="Times New Roman"/>
          <w:b w:val="0"/>
          <w:i w:val="0"/>
          <w:sz w:val="24"/>
        </w:rPr>
        <w:t>The AMR landscape revealed by integrated pLIN-AMRFinderPlus analysis is sobering. The detection of 1,635 carbapenemase genes and 204 mobile colistin resistance genes across 8,077 plasmids underscores the scale of plasmid-mediated resistance dissemination. Five Inc groups (IncA, IncAC2, IncC, IncFIC, IncHI2) showed 100% AMR gene carriage, with IncAC2 carrying the highest mean burden of 12.6 resistance genes per plasmid. The co-occurrence of virulence factors with AMR genes on IncFII plasmids (23.2% virulence gene prevalence) raises the concern that antibiotic selective pressure simultaneously co-selects for enhanced pathogenicity.</w:t>
      </w:r>
      <w:r>
        <w:rPr>
          <w:rFonts w:ascii="Times New Roman" w:hAnsi="Times New Roman"/>
          <w:b w:val="0"/>
          <w:i w:val="0"/>
          <w:sz w:val="24"/>
          <w:vertAlign w:val="superscript"/>
        </w:rPr>
        <w:t>21,22</w:t>
      </w:r>
    </w:p>
    <w:p>
      <w:pPr>
        <w:spacing w:after="120" w:before="0" w:line="480" w:lineRule="auto"/>
      </w:pPr>
      <w:r>
        <w:rPr>
          <w:rFonts w:ascii="Times New Roman" w:hAnsi="Times New Roman"/>
          <w:b w:val="0"/>
          <w:i w:val="0"/>
          <w:sz w:val="24"/>
        </w:rPr>
        <w:t>The development of seven analytical modules addresses ten previously identified limitations of the pLIN framework. Three limitations (relating to chromosomal-plasmid linkage and transmission mode discrimination) were resolved by the integration of MLST-based combined typing, as demonstrated in the outbreak validation results. The remaining seven -- assembly completeness assessment, database coverage quantification, recombination detection, novel Inc group discovery, evolutionary rate estimation, adaptive threshold calibration, and MGE boundary detection -- are each addressed by dedicated analytical modules with validation metrics reported above. The assembly completeness module (94.2% correct categorisation of complete assemblies) provides quality control previously absent from the pipeline. The novelty detection traffic-light system enables users to interpret classification confidence in the context of database representation, while the recombination module (87.3% sensitivity, 94.1% specificity) flags chimeric plasmids where single-backbone classification may be misleading. The novel group discovery module's identification of 18 putative novel Inc/rep groups from unclassified sequences demonstrates the framework's capacity for database expansion. The adaptive threshold module reveals group-specific optimal thresholds deviating by up to 0.019 from defaults, providing empirical justification for future threshold refinement. The MGE boundary detection module (94.7% IS element sensitivity) contextualises resistance genes within their mobile genetic element architecture, supporting mechanistic interpretation of resistance dissemination.</w:t>
      </w:r>
    </w:p>
    <w:p>
      <w:pPr>
        <w:spacing w:after="120" w:before="0" w:line="480" w:lineRule="auto"/>
      </w:pPr>
      <w:r>
        <w:rPr>
          <w:rFonts w:ascii="Times New Roman" w:hAnsi="Times New Roman"/>
          <w:b w:val="0"/>
          <w:i w:val="0"/>
          <w:sz w:val="24"/>
        </w:rPr>
        <w:t xml:space="preserve">Our approach retains three principal limitations. First, the reference database, although substantially expanded to 28 groups encompassing Gram-negative, Gram-positive,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plasmids, is still growing; plasmid families from other non-fermentative Gram-negatives, anaerobes, and environmental bacteria are not yet represented, and classification of plasmids from these organisms may be unreliable. Second, the distance thresholds, although now subject to bootstrap-based stability assessment and group-specific calibration, were primarily calibrated on Enterobacterales,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 and may require recalibration for novel bacterial phyla with substantially different evolutionary rates or compositional biases. Third, pLIN currently operates as a retrospective analytical tool without real-time epidemiological integration; prospective surveillance would require automated data feeds from laboratory information management systems and integration with national reporting infrastructure. The automatic plasmid contig identification module, although achieving high specificity and sensitivity in validation, relies in part on sequence length heuristics and header keyword matching that may be less reliable for atypical plasmids (e.g., megaplasmids exceeding 500 kb) or for assemblies with non-standard FASTA header formats; borderline contigs default to plasmid classification to preserve sensitivity, which may occasionally permit small chromosomal fragments to enter the classification pipeline.</w:t>
      </w:r>
    </w:p>
    <w:p>
      <w:pPr>
        <w:spacing w:after="120" w:before="0" w:line="480" w:lineRule="auto"/>
      </w:pPr>
      <w:r>
        <w:rPr>
          <w:rFonts w:ascii="Times New Roman" w:hAnsi="Times New Roman"/>
          <w:b w:val="0"/>
          <w:i w:val="0"/>
          <w:sz w:val="24"/>
        </w:rPr>
        <w:t>Additional methodological considerations remain relevant. Cosine distance on 4-mer frequency vectors approximates but does not equal true sequence divergence; plasmids with convergent compositions from different evolutionary origins could receive similar codes. However, the 97.8% group concordance and the significant cosine-to-ANI correlation (Spearman rho = -0.348, P &lt; 10^-141) across 4,970 pairs suggest that convergent misclassification is rare in practice. Single-linkage clustering is sensitive to chaining at coarser thresholds, potentially merging genuinely distinct lineages through intermediate sequences; this effect is mitigated by the per-group clustering strategy and quantified by the adaptive threshold stability module. The KNN classifier's 91.1% accuracy across 28 groups means that approximately 8.9% of queries receive an incorrect group assignment; the dominant confusion pairs involve near-identical groups (IncFIB and IncFII, inter-group d=0.002; repSA_large and repEF_res, d=0.008), reflecting genuine biological overlap rather than methodological failure. pLIN requires assembled sequences as input; however, the automatic plasmid contig identification module now separates plasmid contigs from chromosomal sequences prior to classification using a multi-signal scoring system incorporating sequence length, cosine distance to training vectors, header keyword matching, and classifier confidence. This pre-classification filter eliminates the previously noted limitation whereby chromosomal contigs submitted inadvertently received spurious pLIN assignments, achieving greater than 95% specificity for chromosomal contig exclusion and greater than 98% sensitivity for plasmid contig retention.</w:t>
      </w:r>
    </w:p>
    <w:p>
      <w:pPr>
        <w:spacing w:after="120" w:before="0" w:line="480" w:lineRule="auto"/>
      </w:pPr>
      <w:r>
        <w:rPr>
          <w:rFonts w:ascii="Times New Roman" w:hAnsi="Times New Roman"/>
          <w:b w:val="0"/>
          <w:i w:val="0"/>
          <w:sz w:val="24"/>
        </w:rPr>
        <w:t>The scalability of pLIN is demonstrated by the expansion to 79,305 plasmids with a 97.3% classification rate and processing time under 30 minutes on standard hardware. This suggests that pLIN could serve as a backbone for national or international plasmid surveillance, analogous to cgMLST schemes used for bacterial strain typing.</w:t>
      </w:r>
      <w:r>
        <w:rPr>
          <w:rFonts w:ascii="Times New Roman" w:hAnsi="Times New Roman"/>
          <w:b w:val="0"/>
          <w:i w:val="0"/>
          <w:sz w:val="24"/>
          <w:vertAlign w:val="superscript"/>
        </w:rPr>
        <w:t>23</w:t>
      </w:r>
      <w:r>
        <w:rPr>
          <w:rFonts w:ascii="Times New Roman" w:hAnsi="Times New Roman"/>
          <w:b w:val="0"/>
          <w:i w:val="0"/>
          <w:sz w:val="24"/>
        </w:rPr>
        <w:t xml:space="preserve"> The open-source Streamlit interface requires no specialist bioinformatics expertise, enabling deployment in clinical microbiology laboratories with standard computing resources.</w:t>
      </w:r>
    </w:p>
    <w:p>
      <w:pPr>
        <w:spacing w:after="120" w:before="0" w:line="480" w:lineRule="auto"/>
      </w:pPr>
      <w:r>
        <w:rPr>
          <w:rFonts w:ascii="Times New Roman" w:hAnsi="Times New Roman"/>
          <w:b w:val="0"/>
          <w:i w:val="0"/>
          <w:sz w:val="24"/>
        </w:rPr>
        <w:t xml:space="preserve">The mathematical stability of the pLIN framework merits emphasis. Because pLIN code assignment depends solely on the cosine distance between the query plasmid's tetranucleotide vector and its nearest reference neighbour -- not on the global database structure -- the system exhibits three properties that support long-term universality. First, code permanence: existing codes are never altered by database expansion, ensuring longitudinal comparability across years and institutions. Second, metric universality: tetranucleotide frequency is an intrinsic sequence property independent of annotation databases, gene prediction algorithms, or external references, making the method robust to changes in bioinformatics infrastructure. Third, taxonomic generality: validated here on 28 groups spanning Gram-negative Enterobacterales, Gram-positive </w:t>
      </w:r>
      <w:r>
        <w:rPr>
          <w:rFonts w:ascii="Times New Roman" w:hAnsi="Times New Roman"/>
          <w:b w:val="0"/>
          <w:i/>
          <w:sz w:val="24"/>
        </w:rPr>
        <w:t>Staphylococcus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and non-fermentative Gram-negatives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the cosine distance approach has now been demonstrated to accommodate organisms with substantially different GC content and evolutionary dynamics. The successful extension to Gram-positive rep type groups -- with per-class accuracies of 88.4--95.9% despite the 15--25 percentage point GC-content difference from Enterobacterales plasmids -- validates the taxonomic generality that was previously only hypothesised. The primary vulnerability of the method lies in the distance thresholds themselves, which the adaptive threshold module now quantifies on a per-group basis, enabling empirically guided recalibration without disrupting the existing code space.</w:t>
      </w:r>
    </w:p>
    <w:p>
      <w:pPr>
        <w:spacing w:after="120" w:before="0" w:line="480" w:lineRule="auto"/>
      </w:pPr>
      <w:r>
        <w:rPr>
          <w:rFonts w:ascii="Times New Roman" w:hAnsi="Times New Roman"/>
          <w:b w:val="0"/>
          <w:i w:val="0"/>
          <w:sz w:val="24"/>
        </w:rPr>
        <w:t xml:space="preserve">Future development priorities encompass four areas. First, prospective multi-centre clinical validation: the retrospective validation reported here, although spanning 27 studies across 13 countries, must be complemented by blinded, prospective trials in which pLIN classifications are generated in real time alongside conventional typing in hospital infection control workflows, enabling direct assessment of clinical utility and turnaround time. Second, real-time surveillance integration: connecting pLIN to laboratory information management systems and national reporting infrastructure (e.g., WHO GLASS, ECDC TESSy) would enable automated, continuous plasmid lineage monitoring, transforming pLIN from a retrospective analytical tool into a prospective early warning system capable of detecting emerging high-risk lineages before they reach outbreak proportions. Third, expansion to additional bacterial phyla: while the inclusion of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plasmids demonstrates cross-phylum generalisability, plasmid families from other non-fermentative Gram-negatives, anaerobes, and environmental bacteria remain unrepresented; incorporating long-read sequencing data would additionally improve resolution of multi-replicon and mosaic plasmids. Fourth, phage-plasmid interaction analysis: the growing recognition that phage-inducible chromosomal islands (PICIs) and phage-plasmid hybrid elements contribute to horizontal gene transfer suggests that integrating phage detection alongside plasmid classification could provide a more complete picture of mobile genetic element dynamics in AMR dissemination. The modular architecture of pLIN -- separating classification from AMR annotation, outbreak detection, and the seven analytical modules -- facilitates incremental enhancement without disrupting established codes.</w:t>
      </w:r>
    </w:p>
    <w:p>
      <w:pPr>
        <w:spacing w:after="120" w:before="0" w:line="480" w:lineRule="auto"/>
      </w:pPr>
      <w:r>
        <w:rPr>
          <w:rFonts w:ascii="Times New Roman" w:hAnsi="Times New Roman"/>
          <w:b w:val="0"/>
          <w:i w:val="0"/>
          <w:sz w:val="24"/>
        </w:rPr>
        <w:t xml:space="preserve">In conclusion, pLIN provides a comprehensive, open-source framework for plasmid classification, AMR surveillance, and outbreak detection that substantially exceeds the discriminatory power of existing approaches. The expansion to Gram-positive organisms,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and the integration of seven analytical modules addressing assembly quality, database coverage, recombination, novel group discovery, evolutionary dynamics, cluster stability, and MGE architecture establish pLIN as a complete plasmid genomics platform. By assigning permanent, hierarchical codes that link plasmid backbone identity to resistance gene cargo across Gram-negative, Gram-positive, and WHO critical priority pathogens, pLIN enables prospective tracking of high-risk plasmid lineages and supports evidence-based infection control decision-making.</w:t>
      </w:r>
    </w:p>
    <w:p>
      <w:pPr>
        <w:spacing w:after="120" w:before="0" w:line="480" w:lineRule="auto"/>
      </w:pPr>
      <w:r>
        <w:rPr>
          <w:rFonts w:ascii="Times New Roman" w:hAnsi="Times New Roman"/>
          <w:b w:val="0"/>
          <w:i w:val="0"/>
          <w:sz w:val="24"/>
        </w:rPr>
        <w:t>Contributors</w:t>
      </w:r>
    </w:p>
    <w:p>
      <w:pPr>
        <w:spacing w:after="120" w:before="0" w:line="480" w:lineRule="auto"/>
      </w:pPr>
      <w:r>
        <w:rPr>
          <w:rFonts w:ascii="Times New Roman" w:hAnsi="Times New Roman"/>
          <w:b w:val="0"/>
          <w:i w:val="0"/>
          <w:sz w:val="24"/>
        </w:rPr>
        <w:t>BBX conceptualised the study, developed the pLIN framework and software, performed all computational analyses, created all figures and tables, and wrote the first draft. AKB collected and curated the plasmid sequence database. BS critically reviewed and revised the manuscript. JWAR supervised the study, provided critical intellectual input on study design and interpretation, and revised the manuscript. All authors had full access to all data and approved the final version of the manuscript.</w:t>
      </w:r>
    </w:p>
    <w:p>
      <w:pPr>
        <w:spacing w:after="120" w:before="0" w:line="480" w:lineRule="auto"/>
      </w:pPr>
      <w:r>
        <w:rPr>
          <w:rFonts w:ascii="Times New Roman" w:hAnsi="Times New Roman"/>
          <w:b w:val="0"/>
          <w:i w:val="0"/>
          <w:sz w:val="24"/>
        </w:rPr>
        <w:t>Declaration of interests</w:t>
      </w:r>
    </w:p>
    <w:p>
      <w:pPr>
        <w:spacing w:after="120" w:before="0" w:line="480" w:lineRule="auto"/>
      </w:pPr>
      <w:r>
        <w:rPr>
          <w:rFonts w:ascii="Times New Roman" w:hAnsi="Times New Roman"/>
          <w:b w:val="0"/>
          <w:i w:val="0"/>
          <w:sz w:val="24"/>
        </w:rPr>
        <w:t>We declare no competing interests.</w:t>
      </w:r>
    </w:p>
    <w:p>
      <w:pPr>
        <w:spacing w:after="120" w:before="0" w:line="480" w:lineRule="auto"/>
      </w:pPr>
      <w:r>
        <w:rPr>
          <w:rFonts w:ascii="Times New Roman" w:hAnsi="Times New Roman"/>
          <w:b w:val="0"/>
          <w:i w:val="0"/>
          <w:sz w:val="24"/>
        </w:rPr>
        <w:t>Data sharing</w:t>
      </w:r>
    </w:p>
    <w:p>
      <w:pPr>
        <w:spacing w:after="120" w:before="0" w:line="480" w:lineRule="auto"/>
      </w:pPr>
      <w:r>
        <w:rPr>
          <w:rFonts w:ascii="Times New Roman" w:hAnsi="Times New Roman"/>
          <w:b w:val="0"/>
          <w:i w:val="0"/>
          <w:sz w:val="24"/>
        </w:rPr>
        <w:t>Source code for pLIN is freely available at https://github.com/xavierbasilbritto-hub/pLIN-plasmid-classification under the GNU General Public License v3.0. The reference database, training data, and all analysis scripts are included in the repository. Hospitals and clinical laboratories can run pLIN as a standalone service without copyleft conflict. All plasmid sequences used in this study are publicly available from PLSDB (https://ccb-microbe.cs.uni-saarland.de/plsdb2025/) and NCBI RefSeq under the accession numbers listed in the appendix.</w:t>
      </w:r>
    </w:p>
    <w:p>
      <w:pPr>
        <w:spacing w:after="120" w:before="0" w:line="480" w:lineRule="auto"/>
      </w:pPr>
      <w:r>
        <w:rPr>
          <w:rFonts w:ascii="Times New Roman" w:hAnsi="Times New Roman"/>
          <w:b w:val="0"/>
          <w:i w:val="0"/>
          <w:sz w:val="24"/>
        </w:rPr>
        <w:t>Acknowledgments</w:t>
      </w:r>
    </w:p>
    <w:p>
      <w:pPr>
        <w:spacing w:after="120" w:before="0" w:line="480" w:lineRule="auto"/>
      </w:pPr>
      <w:r>
        <w:rPr>
          <w:rFonts w:ascii="Times New Roman" w:hAnsi="Times New Roman"/>
          <w:b w:val="0"/>
          <w:i w:val="0"/>
          <w:sz w:val="24"/>
        </w:rPr>
        <w:t>We thank the submitters of all plasmid sequences to PLSDB and NCBI RefSeq whose data made this study possible.</w:t>
      </w:r>
    </w:p>
    <w:p>
      <w:pPr>
        <w:spacing w:after="120" w:before="0" w:line="480" w:lineRule="auto"/>
      </w:pPr>
      <w:r>
        <w:rPr>
          <w:rFonts w:ascii="Times New Roman" w:hAnsi="Times New Roman"/>
          <w:b w:val="0"/>
          <w:i w:val="0"/>
          <w:sz w:val="24"/>
        </w:rPr>
        <w:t>References</w:t>
      </w:r>
    </w:p>
    <w:p>
      <w:pPr>
        <w:spacing w:after="120" w:before="0" w:line="480" w:lineRule="auto"/>
      </w:pPr>
      <w:r>
        <w:rPr>
          <w:rFonts w:ascii="Times New Roman" w:hAnsi="Times New Roman"/>
          <w:b w:val="0"/>
          <w:i w:val="0"/>
          <w:sz w:val="24"/>
        </w:rPr>
        <w:t>1. Murray CJL, Ikuta KS, Sharara F, et al. Global burden of bacterial antimicrobial resistance in 2019: a systematic analysis. Lancet 2022; 399: 629--55.</w:t>
      </w:r>
    </w:p>
    <w:p>
      <w:pPr>
        <w:spacing w:after="120" w:before="0" w:line="480" w:lineRule="auto"/>
      </w:pPr>
      <w:r>
        <w:rPr>
          <w:rFonts w:ascii="Times New Roman" w:hAnsi="Times New Roman"/>
          <w:b w:val="0"/>
          <w:i w:val="0"/>
          <w:sz w:val="24"/>
        </w:rPr>
        <w:t>2. Partridge SR, Kwong SM, Firth N, Jensen SO. Mobile genetic elements associated with antimicrobial resistance. Clin Microbiol Rev 2018; 31: e00088-17.</w:t>
      </w:r>
    </w:p>
    <w:p>
      <w:pPr>
        <w:spacing w:after="120" w:before="0" w:line="480" w:lineRule="auto"/>
      </w:pPr>
      <w:r>
        <w:rPr>
          <w:rFonts w:ascii="Times New Roman" w:hAnsi="Times New Roman"/>
          <w:b w:val="0"/>
          <w:i w:val="0"/>
          <w:sz w:val="24"/>
        </w:rPr>
        <w:t>3. San Millan A. Evolution of plasmid-mediated antibiotic resistance in the clinical context. Trends Microbiol 2018; 26: 978--85.</w:t>
      </w:r>
    </w:p>
    <w:p>
      <w:pPr>
        <w:spacing w:after="120" w:before="0" w:line="480" w:lineRule="auto"/>
      </w:pPr>
      <w:r>
        <w:rPr>
          <w:rFonts w:ascii="Times New Roman" w:hAnsi="Times New Roman"/>
          <w:b w:val="0"/>
          <w:i w:val="0"/>
          <w:sz w:val="24"/>
        </w:rPr>
        <w:t>4. Carattoli A, Zankari E, Garcia-Fernandez A, et al. In silico detection and typing of plasmids using PlasmidFinder and plasmid multilocus sequence typing. Antimicrob Agents Chemother 2014; 58: 3895--903.</w:t>
      </w:r>
    </w:p>
    <w:p>
      <w:pPr>
        <w:spacing w:after="120" w:before="0" w:line="480" w:lineRule="auto"/>
      </w:pPr>
      <w:r>
        <w:rPr>
          <w:rFonts w:ascii="Times New Roman" w:hAnsi="Times New Roman"/>
          <w:b w:val="0"/>
          <w:i w:val="0"/>
          <w:sz w:val="24"/>
        </w:rPr>
        <w:t>5. Jolley KA, Bray JE, Maiden MCJ. Open-access bacterial population genomics: BIGSdb software, the PubMLST.org website and their applications. Wellcome Open Res 2018; 3: 124.</w:t>
      </w:r>
    </w:p>
    <w:p>
      <w:pPr>
        <w:spacing w:after="120" w:before="0" w:line="480" w:lineRule="auto"/>
      </w:pPr>
      <w:r>
        <w:rPr>
          <w:rFonts w:ascii="Times New Roman" w:hAnsi="Times New Roman"/>
          <w:b w:val="0"/>
          <w:i w:val="0"/>
          <w:sz w:val="24"/>
        </w:rPr>
        <w:t>6. Robertson J, Nash JHE. MOB-suite: software tools for clustering, reconstruction and typing of plasmids from draft assemblies. Microb Genom 2018; 4: e000206.</w:t>
      </w:r>
    </w:p>
    <w:p>
      <w:pPr>
        <w:spacing w:after="120" w:before="0" w:line="480" w:lineRule="auto"/>
      </w:pPr>
      <w:r>
        <w:rPr>
          <w:rFonts w:ascii="Times New Roman" w:hAnsi="Times New Roman"/>
          <w:b w:val="0"/>
          <w:i w:val="0"/>
          <w:sz w:val="24"/>
        </w:rPr>
        <w:t>7. Redondo-Salvo S, Fernandez-Lopez R, Ruiz R, et al. Pathways for horizontal gene transfer in bacteria revealed by a global map of their plasmids. Nat Commun 2020; 11: 3602.</w:t>
      </w:r>
    </w:p>
    <w:p>
      <w:pPr>
        <w:spacing w:after="120" w:before="0" w:line="480" w:lineRule="auto"/>
      </w:pPr>
      <w:r>
        <w:rPr>
          <w:rFonts w:ascii="Times New Roman" w:hAnsi="Times New Roman"/>
          <w:b w:val="0"/>
          <w:i w:val="0"/>
          <w:sz w:val="24"/>
        </w:rPr>
        <w:t>8. Brown CL, Kottapalli P, Akers KS, et al. mge-cluster: a reference-free approach for typing mobile genetic elements using long-read sequencing data. mSystems 2023; 8: e00507-23.</w:t>
      </w:r>
    </w:p>
    <w:p>
      <w:pPr>
        <w:spacing w:after="120" w:before="0" w:line="480" w:lineRule="auto"/>
      </w:pPr>
      <w:r>
        <w:rPr>
          <w:rFonts w:ascii="Times New Roman" w:hAnsi="Times New Roman"/>
          <w:b w:val="0"/>
          <w:i w:val="0"/>
          <w:sz w:val="24"/>
        </w:rPr>
        <w:t>9. Sherry NL, Lane CR, Kwong JC, et al. Genomics for molecular epidemiology and detecting transmission of carbapenemase-producing Enterobacterales in Victoria, Australia, 2012 to 2016. J Clin Microbiol 2019; 57: e00573-19.</w:t>
      </w:r>
    </w:p>
    <w:p>
      <w:pPr>
        <w:spacing w:after="120" w:before="0" w:line="480" w:lineRule="auto"/>
      </w:pPr>
      <w:r>
        <w:rPr>
          <w:rFonts w:ascii="Times New Roman" w:hAnsi="Times New Roman"/>
          <w:b w:val="0"/>
          <w:i w:val="0"/>
          <w:sz w:val="24"/>
        </w:rPr>
        <w:t>10. David S, Reuter S, Harris SR, et al. Epidemic of carbapenem-resistant Klebsiella pneumoniae in Europe is driven by nosocomial spread. Nat Microbiol 2019; 4: 1919--29.</w:t>
      </w:r>
    </w:p>
    <w:p>
      <w:pPr>
        <w:spacing w:after="120" w:before="0" w:line="480" w:lineRule="auto"/>
      </w:pPr>
      <w:r>
        <w:rPr>
          <w:rFonts w:ascii="Times New Roman" w:hAnsi="Times New Roman"/>
          <w:b w:val="0"/>
          <w:i w:val="0"/>
          <w:sz w:val="24"/>
        </w:rPr>
        <w:t>11. Teeling H, Meyerdierks A, Lombardot T, et al. Application of tetranucleotide frequencies for the assignment of genomic fragments. Environ Microbiol 2004; 6: 938--47.</w:t>
      </w:r>
    </w:p>
    <w:p>
      <w:pPr>
        <w:spacing w:after="120" w:before="0" w:line="480" w:lineRule="auto"/>
      </w:pPr>
      <w:r>
        <w:rPr>
          <w:rFonts w:ascii="Times New Roman" w:hAnsi="Times New Roman"/>
          <w:b w:val="0"/>
          <w:i w:val="0"/>
          <w:sz w:val="24"/>
        </w:rPr>
        <w:t>12. Pride DT, Meinersmann RJ, Wassenaar TM, Blaser MJ. Evolutionary implications of microbial genome tetranucleotide frequency biases. Genome Res 2003; 13: 145--58.</w:t>
      </w:r>
    </w:p>
    <w:p>
      <w:pPr>
        <w:spacing w:after="120" w:before="0" w:line="480" w:lineRule="auto"/>
      </w:pPr>
      <w:r>
        <w:rPr>
          <w:rFonts w:ascii="Times New Roman" w:hAnsi="Times New Roman"/>
          <w:b w:val="0"/>
          <w:i w:val="0"/>
          <w:sz w:val="24"/>
        </w:rPr>
        <w:t>13. Wattam AR, Davis JJ, Assaf R, et al. Improvements to PATRIC, the all-bacterial Bioinformatics Database and Analysis Resource Center. Nucleic Acids Res 2017; 45: D535--42.</w:t>
      </w:r>
    </w:p>
    <w:p>
      <w:pPr>
        <w:spacing w:after="120" w:before="0" w:line="480" w:lineRule="auto"/>
      </w:pPr>
      <w:r>
        <w:rPr>
          <w:rFonts w:ascii="Times New Roman" w:hAnsi="Times New Roman"/>
          <w:b w:val="0"/>
          <w:i w:val="0"/>
          <w:sz w:val="24"/>
        </w:rPr>
        <w:t>14. Feldgarden M, Brover V, Gonzalez-Escalona N, et al. AMRFinderPlus and the Reference Gene Catalog facilitate examination of the genomic links among antimicrobial resistance, stress response, and virulence. Sci Rep 2021; 11: 12728.</w:t>
      </w:r>
    </w:p>
    <w:p>
      <w:pPr>
        <w:spacing w:after="120" w:before="0" w:line="480" w:lineRule="auto"/>
      </w:pPr>
      <w:r>
        <w:rPr>
          <w:rFonts w:ascii="Times New Roman" w:hAnsi="Times New Roman"/>
          <w:b w:val="0"/>
          <w:i w:val="0"/>
          <w:sz w:val="24"/>
        </w:rPr>
        <w:t>15. Jain C, Rodriguez-R LM, Phillippy AM, Konstantinidis KT, Aluru S. High throughput ANI analysis of 90K prokaryotic genomes reveals clear species boundaries. Nat Commun 2018; 9: 5114.</w:t>
      </w:r>
    </w:p>
    <w:p>
      <w:pPr>
        <w:spacing w:after="120" w:before="0" w:line="480" w:lineRule="auto"/>
      </w:pPr>
      <w:r>
        <w:rPr>
          <w:rFonts w:ascii="Times New Roman" w:hAnsi="Times New Roman"/>
          <w:b w:val="0"/>
          <w:i w:val="0"/>
          <w:sz w:val="24"/>
        </w:rPr>
        <w:t>16. Yao Y, Lazaro-Perona F, Falgenhauer L, et al. Epidemiology of KPC-producing Enterobacterales in a German University Hospital and prediction of carriers at hospital admission. Microbiol Spectr 2023; 11: e04996-22.</w:t>
      </w:r>
    </w:p>
    <w:p>
      <w:pPr>
        <w:spacing w:after="120" w:before="0" w:line="480" w:lineRule="auto"/>
      </w:pPr>
      <w:r>
        <w:rPr>
          <w:rFonts w:ascii="Times New Roman" w:hAnsi="Times New Roman"/>
          <w:b w:val="0"/>
          <w:i w:val="0"/>
          <w:sz w:val="24"/>
        </w:rPr>
        <w:t>17. Weber RE, Pietsch M, Fruhauf A, et al. IS26-mediated transfer of blaNDM-1 as the main route of resistance transmission during a polyclonal, multispecies outbreak in a German hospital. Front Microbiol 2019; 10: 2817.</w:t>
      </w:r>
    </w:p>
    <w:p>
      <w:pPr>
        <w:spacing w:after="120" w:before="0" w:line="480" w:lineRule="auto"/>
      </w:pPr>
      <w:r>
        <w:rPr>
          <w:rFonts w:ascii="Times New Roman" w:hAnsi="Times New Roman"/>
          <w:b w:val="0"/>
          <w:i w:val="0"/>
          <w:sz w:val="24"/>
        </w:rPr>
        <w:t>18. Marimuthu K, Ng OT, Cherber C, et al. The role of plasmids in the dissemination of KPC-producing Enterobacterales in Singapore. Nat Commun 2022; 13: 7445.</w:t>
      </w:r>
    </w:p>
    <w:p>
      <w:pPr>
        <w:spacing w:after="120" w:before="0" w:line="480" w:lineRule="auto"/>
      </w:pPr>
      <w:r>
        <w:rPr>
          <w:rFonts w:ascii="Times New Roman" w:hAnsi="Times New Roman"/>
          <w:b w:val="0"/>
          <w:i w:val="0"/>
          <w:sz w:val="24"/>
        </w:rPr>
        <w:t>19. Roberts LW, Harris PNA, Forde BM, et al. Integrating multiple genomic technologies to investigate an outbreak of carbapenemase-producing Enterobacter hormaechei. Nat Commun 2020; 11: 466.</w:t>
      </w:r>
    </w:p>
    <w:p>
      <w:pPr>
        <w:spacing w:after="120" w:before="0" w:line="480" w:lineRule="auto"/>
      </w:pPr>
      <w:r>
        <w:rPr>
          <w:rFonts w:ascii="Times New Roman" w:hAnsi="Times New Roman"/>
          <w:b w:val="0"/>
          <w:i w:val="0"/>
          <w:sz w:val="24"/>
        </w:rPr>
        <w:t>20. Grundmann H, Glasner C, Albiger B, Aanensen DM, Tomlinson CT, Andrasevic AT. Occurrence of carbapenemase-producing Klebsiella pneumoniae and Escherichia coli in the European survey of carbapenemase-producing Enterobacteriaceae (EuSCAPE): a prospective, multinational study. Lancet Infect Dis 2017; 17: 153--63.</w:t>
      </w:r>
    </w:p>
    <w:p>
      <w:pPr>
        <w:spacing w:after="120" w:before="0" w:line="480" w:lineRule="auto"/>
      </w:pPr>
      <w:r>
        <w:rPr>
          <w:rFonts w:ascii="Times New Roman" w:hAnsi="Times New Roman"/>
          <w:b w:val="0"/>
          <w:i w:val="0"/>
          <w:sz w:val="24"/>
        </w:rPr>
        <w:t>21. Johnson JR, Johnston BD, Porter S, et al. Recurrent urinary tract infections in women: incomplete link between virulence factors of infecting Escherichia coli and clinical outcomes. Clin Infect Dis 2022; 74: 1524--31.</w:t>
      </w:r>
    </w:p>
    <w:p>
      <w:pPr>
        <w:spacing w:after="120" w:before="0" w:line="480" w:lineRule="auto"/>
      </w:pPr>
      <w:r>
        <w:rPr>
          <w:rFonts w:ascii="Times New Roman" w:hAnsi="Times New Roman"/>
          <w:b w:val="0"/>
          <w:i w:val="0"/>
          <w:sz w:val="24"/>
        </w:rPr>
        <w:t>22. McNally A, Oren Y, Kelly D, et al. Combined analysis of variation in core, accessory and regulatory genome regions provides a super-resolution view into the evolution of bacterial populations. PLoS Genet 2016; 12: e1006280.</w:t>
      </w:r>
    </w:p>
    <w:p>
      <w:pPr>
        <w:spacing w:after="120" w:before="0" w:line="480" w:lineRule="auto"/>
      </w:pPr>
      <w:r>
        <w:rPr>
          <w:rFonts w:ascii="Times New Roman" w:hAnsi="Times New Roman"/>
          <w:b w:val="0"/>
          <w:i w:val="0"/>
          <w:sz w:val="24"/>
        </w:rPr>
        <w:t>23. Zhou Z, Alikhan NF, Mohamed K, Fan Y, Achtman M. The EnteroBase user's guide, with case studies on Salmonella transmissions, Yersinia pestis phylogeny, and Escherichia core genomic diversity. Genome Res 2020; 30: 138--52.</w:t>
      </w:r>
    </w:p>
    <w:p>
      <w:pPr>
        <w:spacing w:after="120" w:before="0" w:line="480" w:lineRule="auto"/>
      </w:pPr>
      <w:r>
        <w:rPr>
          <w:rFonts w:ascii="Times New Roman" w:hAnsi="Times New Roman"/>
          <w:b w:val="0"/>
          <w:i w:val="0"/>
          <w:sz w:val="24"/>
        </w:rPr>
        <w:t>24. Conlan S, Thomas PJ, Deming C, et al. Single-molecule sequencing to track plasmid diversity of hospital-associated carbapenemase-producing Enterobacteriaceae. Sci Transl Med 2014; 6: 254ra126.</w:t>
      </w:r>
    </w:p>
    <w:p>
      <w:pPr>
        <w:spacing w:after="120" w:before="0" w:line="480" w:lineRule="auto"/>
      </w:pPr>
      <w:r>
        <w:rPr>
          <w:rFonts w:ascii="Times New Roman" w:hAnsi="Times New Roman"/>
          <w:b w:val="0"/>
          <w:i w:val="0"/>
          <w:sz w:val="24"/>
        </w:rPr>
        <w:t xml:space="preserve">25. Li X, Xie Y, Liu M, et al. Origin-centric approach reveals a KPC-2-carrying virulence plasmid in </w:t>
      </w:r>
      <w:r>
        <w:rPr>
          <w:rFonts w:ascii="Times New Roman" w:hAnsi="Times New Roman"/>
          <w:b w:val="0"/>
          <w:i/>
          <w:sz w:val="24"/>
        </w:rPr>
        <w:t>Klebsiella pneumoniae</w:t>
      </w:r>
      <w:r>
        <w:rPr>
          <w:rFonts w:ascii="Times New Roman" w:hAnsi="Times New Roman"/>
          <w:b w:val="0"/>
          <w:i w:val="0"/>
          <w:sz w:val="24"/>
        </w:rPr>
        <w:t>. Antimicrob Agents Chemother 2018; 62: e01694-17.</w:t>
      </w:r>
    </w:p>
    <w:p>
      <w:pPr>
        <w:spacing w:after="120" w:before="0" w:line="480" w:lineRule="auto"/>
      </w:pPr>
      <w:r>
        <w:rPr>
          <w:rFonts w:ascii="Times New Roman" w:hAnsi="Times New Roman"/>
          <w:b w:val="0"/>
          <w:i w:val="0"/>
          <w:sz w:val="24"/>
        </w:rPr>
        <w:t xml:space="preserve">26. Ho PL, Cheung YY, Wang Y, et al. Characterization of carbapenem-resistant </w:t>
      </w:r>
      <w:r>
        <w:rPr>
          <w:rFonts w:ascii="Times New Roman" w:hAnsi="Times New Roman"/>
          <w:b w:val="0"/>
          <w:i/>
          <w:sz w:val="24"/>
        </w:rPr>
        <w:t>Escherichia coli</w:t>
      </w:r>
      <w:r>
        <w:rPr>
          <w:rFonts w:ascii="Times New Roman" w:hAnsi="Times New Roman"/>
          <w:b w:val="0"/>
          <w:i w:val="0"/>
          <w:sz w:val="24"/>
        </w:rPr>
        <w:t xml:space="preserve"> and </w:t>
      </w:r>
      <w:r>
        <w:rPr>
          <w:rFonts w:ascii="Times New Roman" w:hAnsi="Times New Roman"/>
          <w:b w:val="0"/>
          <w:i/>
          <w:sz w:val="24"/>
        </w:rPr>
        <w:t>Klebsiella pneumoniae</w:t>
      </w:r>
      <w:r>
        <w:rPr>
          <w:rFonts w:ascii="Times New Roman" w:hAnsi="Times New Roman"/>
          <w:b w:val="0"/>
          <w:i w:val="0"/>
          <w:sz w:val="24"/>
        </w:rPr>
        <w:t xml:space="preserve"> from a healthcare region in Hong Kong. Eur J Clin Microbiol Infect Dis 2016; 35: 379--85.</w:t>
      </w:r>
    </w:p>
    <w:p>
      <w:pPr>
        <w:spacing w:after="120" w:before="0" w:line="480" w:lineRule="auto"/>
      </w:pPr>
      <w:r>
        <w:rPr>
          <w:rFonts w:ascii="Times New Roman" w:hAnsi="Times New Roman"/>
          <w:b w:val="0"/>
          <w:i w:val="0"/>
          <w:sz w:val="24"/>
        </w:rPr>
        <w:t>27. Potron A, Poirel L, Rondinaud E, Nordmann P. Intercontinental spread of OXA-48 beta-lactamase-producing Enterobacteriaceae over a 11-year period, 2001 to 2011. Euro Surveill 2013; 18: 20549.</w:t>
      </w:r>
    </w:p>
    <w:p>
      <w:pPr>
        <w:spacing w:after="120" w:before="0" w:line="480" w:lineRule="auto"/>
      </w:pPr>
      <w:r>
        <w:rPr>
          <w:rFonts w:ascii="Times New Roman" w:hAnsi="Times New Roman"/>
          <w:b w:val="0"/>
          <w:i w:val="0"/>
          <w:sz w:val="24"/>
        </w:rPr>
        <w:t>28. Liu YY, Wang Y, Walsh TR, et al. Emergence of plasmid-mediated colistin resistance mechanism MCR-1 in animals and human beings in China: a microbiological and molecular biological study. Lancet Infect Dis 2016; 16: 161--68.</w:t>
      </w:r>
    </w:p>
    <w:p>
      <w:pPr>
        <w:spacing w:after="120" w:before="0" w:line="480" w:lineRule="auto"/>
      </w:pPr>
      <w:r>
        <w:rPr>
          <w:rFonts w:ascii="Times New Roman" w:hAnsi="Times New Roman"/>
          <w:b w:val="0"/>
          <w:i w:val="0"/>
          <w:sz w:val="24"/>
        </w:rPr>
        <w:t>29. Sheppard AE, Stoesser N, Wilson DJ, et al. Nested Russian doll-like genetic mobility drives rapid dissemination of the carbapenem resistance gene blaKPC. Antimicrob Agents Chemother 2016; 60: 3767--78.</w:t>
      </w:r>
    </w:p>
    <w:p>
      <w:pPr>
        <w:spacing w:after="120" w:before="0" w:line="480" w:lineRule="auto"/>
      </w:pPr>
      <w:r>
        <w:rPr>
          <w:rFonts w:ascii="Times New Roman" w:hAnsi="Times New Roman"/>
          <w:b w:val="0"/>
          <w:i w:val="0"/>
          <w:sz w:val="24"/>
        </w:rPr>
        <w:t>30. Klemm EJ, Wong VK, Dougan G. Emergence of dominant multidrug-resistant bacterial clades: lessons from history and whole-genome sequencing. Proc Natl Acad Sci USA 2018; 115: 12872--77.</w:t>
      </w:r>
    </w:p>
    <w:p>
      <w:pPr>
        <w:spacing w:after="120" w:before="0" w:line="480" w:lineRule="auto"/>
      </w:pPr>
      <w:r>
        <w:rPr>
          <w:rFonts w:ascii="Times New Roman" w:hAnsi="Times New Roman"/>
          <w:b w:val="0"/>
          <w:i w:val="0"/>
          <w:sz w:val="24"/>
        </w:rPr>
        <w:t>31. Seemann T. mlst: scan contig files against PubMLST typing schemes. https://github.com/tseemann/mlst. 2023.</w:t>
      </w:r>
    </w:p>
    <w:p>
      <w:pPr>
        <w:spacing w:after="120" w:before="0" w:line="480" w:lineRule="auto"/>
      </w:pPr>
      <w:r>
        <w:rPr>
          <w:rFonts w:ascii="Times New Roman" w:hAnsi="Times New Roman"/>
          <w:b w:val="0"/>
          <w:i w:val="0"/>
          <w:sz w:val="24"/>
        </w:rPr>
        <w:t>32. Schmartz GP, Mangold KA, Raden M, et al. PLSDB: advancing a comprehensive database of bacterial plasmids. Nucleic Acids Research 2022; 50(D1): D273--D278.</w:t>
      </w:r>
    </w:p>
    <w:p>
      <w:pPr>
        <w:spacing w:before="120" w:after="120"/>
        <w:pBdr>
          <w:bottom w:val="single" w:sz="6" w:space="1" w:color="auto"/>
        </w:pBdr>
      </w:pPr>
    </w:p>
    <w:p>
      <w:pPr>
        <w:spacing w:after="120" w:before="0" w:line="480" w:lineRule="auto"/>
      </w:pPr>
      <w:r>
        <w:rPr>
          <w:rFonts w:ascii="Times New Roman" w:hAnsi="Times New Roman"/>
          <w:b w:val="0"/>
          <w:i w:val="0"/>
          <w:sz w:val="24"/>
        </w:rPr>
        <w:t>Tables 1--6 and figure legends (Figures 1--18) are provided in the appendix.</w:t>
      </w:r>
    </w:p>
    <w:p>
      <w:r>
        <w:br w:type="page"/>
      </w:r>
    </w:p>
    <w:p>
      <w:pPr>
        <w:pStyle w:val="Heading1"/>
      </w:pPr>
      <w:r>
        <w:rPr>
          <w:rFonts w:ascii="Times New Roman" w:hAnsi="Times New Roman"/>
          <w:sz w:val="36"/>
        </w:rPr>
        <w:t>Figure legends</w:t>
      </w:r>
    </w:p>
    <w:p>
      <w:pPr>
        <w:pStyle w:val="Heading2"/>
      </w:pPr>
      <w:r>
        <w:rPr>
          <w:rFonts w:ascii="Times New Roman" w:hAnsi="Times New Roman"/>
          <w:sz w:val="32"/>
        </w:rPr>
        <w:t>Figure 1: Dataset overview and pLIN diversity</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8,077 plasmid sequences across 28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Among Gram-negative groups, three dominate: IncFII (n=4,629; 66.1%), IncN (n=1,097; 15.7%), and IncX1 (n=705; 10.1%). The four Gram-positive rep type groups contribute 386 unique sequences: repSA_large (n=121), repSA_small (n=73), repEF_conj (n=92), and repEF_res (n=100; 121 training samples including 21 multi-replicon plasmids shared with repEF_conj). </w:t>
      </w:r>
      <w:r>
        <w:rPr>
          <w:rFonts w:ascii="Times New Roman" w:hAnsi="Times New Roman"/>
          <w:b/>
          <w:i w:val="0"/>
          <w:sz w:val="24"/>
        </w:rPr>
        <w:t>(B)</w:t>
      </w:r>
      <w:r>
        <w:rPr>
          <w:rFonts w:ascii="Times New Roman" w:hAnsi="Times New Roman"/>
          <w:b w:val="0"/>
          <w:i w:val="0"/>
          <w:sz w:val="24"/>
        </w:rPr>
        <w:t xml:space="preserve"> Number of unique pLIN strain-level (L6) codes per group. A total of 3,073 unique codes were resolved, with 2,335 (76.0%) representing singletons. Gram-positive groups contributed 255 additional L6 codes, </w:t>
      </w:r>
      <w:r>
        <w:rPr>
          <w:rFonts w:ascii="Times New Roman" w:hAnsi="Times New Roman"/>
          <w:b w:val="0"/>
          <w:i/>
          <w:sz w:val="24"/>
        </w:rPr>
        <w:t>Acinetobacter</w:t>
      </w:r>
      <w:r>
        <w:rPr>
          <w:rFonts w:ascii="Times New Roman" w:hAnsi="Times New Roman"/>
          <w:b w:val="0"/>
          <w:i w:val="0"/>
          <w:sz w:val="24"/>
        </w:rPr>
        <w:t xml:space="preserve"> groups 171, and </w:t>
      </w:r>
      <w:r>
        <w:rPr>
          <w:rFonts w:ascii="Times New Roman" w:hAnsi="Times New Roman"/>
          <w:b w:val="0"/>
          <w:i/>
          <w:sz w:val="24"/>
        </w:rPr>
        <w:t>Pseudomonas</w:t>
      </w:r>
      <w:r>
        <w:rPr>
          <w:rFonts w:ascii="Times New Roman" w:hAnsi="Times New Roman"/>
          <w:b w:val="0"/>
          <w:i w:val="0"/>
          <w:sz w:val="24"/>
        </w:rPr>
        <w:t xml:space="preserve"> groups 195. </w:t>
      </w:r>
      <w:r>
        <w:rPr>
          <w:rFonts w:ascii="Times New Roman" w:hAnsi="Times New Roman"/>
          <w:b/>
          <w:i w:val="0"/>
          <w:sz w:val="24"/>
        </w:rPr>
        <w:t>(C)</w:t>
      </w:r>
      <w:r>
        <w:rPr>
          <w:rFonts w:ascii="Times New Roman" w:hAnsi="Times New Roman"/>
          <w:b w:val="0"/>
          <w:i w:val="0"/>
          <w:sz w:val="24"/>
        </w:rPr>
        <w:t xml:space="preserve"> Comparison of discriminatory power: pLIN (Simpson's D = 0.985) versus Inc/rep typing alone (D = 0.641), representing a 1.54-fold improvement. Error bars indicate 95% confidence intervals.</w:t>
      </w:r>
    </w:p>
    <w:p>
      <w:pPr>
        <w:pStyle w:val="Heading2"/>
      </w:pPr>
      <w:r>
        <w:rPr>
          <w:rFonts w:ascii="Times New Roman" w:hAnsi="Times New Roman"/>
          <w:sz w:val="32"/>
        </w:rPr>
        <w:t>Figure 2: AMR gene prevalence overview</w:t>
      </w:r>
    </w:p>
    <w:p>
      <w:pPr>
        <w:spacing w:after="120" w:before="0" w:line="480" w:lineRule="auto"/>
      </w:pPr>
      <w:r>
        <w:rPr>
          <w:rFonts w:ascii="Times New Roman" w:hAnsi="Times New Roman"/>
          <w:b w:val="0"/>
          <w:i w:val="0"/>
          <w:sz w:val="24"/>
        </w:rPr>
        <w:t>Prevalence of the top 20 most frequently detected AMR genes across 4,657 AMR-positive plasmids. The three most prevalent genes were blaTEM-1 (n=1,864; 40.0%), sul1 (n=1,383; 29.7%), and tet(A) (n=1,297; 27.9%). Gene detections were identified using AMRFinderPlus v4.2.5 (database 2026-01-21.1). Bars are coloured by drug class.</w:t>
      </w:r>
    </w:p>
    <w:p>
      <w:pPr>
        <w:pStyle w:val="Heading2"/>
      </w:pPr>
      <w:r>
        <w:rPr>
          <w:rFonts w:ascii="Times New Roman" w:hAnsi="Times New Roman"/>
          <w:sz w:val="32"/>
        </w:rPr>
        <w:t>Figure 3: Clinically critical resistance determinants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Carbapenemase gene distribution: 1,635 total detections dominated by blaKPC-2 (n=824), blaNDM-1 (n=228), blaKPC-3 (n=193), and blaNDM-5 (n=89). </w:t>
      </w:r>
      <w:r>
        <w:rPr>
          <w:rFonts w:ascii="Times New Roman" w:hAnsi="Times New Roman"/>
          <w:b/>
          <w:i w:val="0"/>
          <w:sz w:val="24"/>
        </w:rPr>
        <w:t>(B)</w:t>
      </w:r>
      <w:r>
        <w:rPr>
          <w:rFonts w:ascii="Times New Roman" w:hAnsi="Times New Roman"/>
          <w:b w:val="0"/>
          <w:i w:val="0"/>
          <w:sz w:val="24"/>
        </w:rPr>
        <w:t xml:space="preserve"> Extended-spectrum beta-lactamase (ESBL) gene distribution: 1,804 total detections led by blaCTX-M-15 (n=505), blaCTX-M-65 (n=319), and blaSHV-12 (n=277). </w:t>
      </w:r>
      <w:r>
        <w:rPr>
          <w:rFonts w:ascii="Times New Roman" w:hAnsi="Times New Roman"/>
          <w:b/>
          <w:i w:val="0"/>
          <w:sz w:val="24"/>
        </w:rPr>
        <w:t>(C)</w:t>
      </w:r>
      <w:r>
        <w:rPr>
          <w:rFonts w:ascii="Times New Roman" w:hAnsi="Times New Roman"/>
          <w:b w:val="0"/>
          <w:i w:val="0"/>
          <w:sz w:val="24"/>
        </w:rPr>
        <w:t xml:space="preserve"> Mobile colistin resistance gene distribution: 204 total detections with mcr-1.1 (n=83), mcr-8.1 (n=27), and mcr-8.2 (n=18) predominating. </w:t>
      </w:r>
      <w:r>
        <w:rPr>
          <w:rFonts w:ascii="Times New Roman" w:hAnsi="Times New Roman"/>
          <w:b/>
          <w:i w:val="0"/>
          <w:sz w:val="24"/>
        </w:rPr>
        <w:t>(D)</w:t>
      </w:r>
      <w:r>
        <w:rPr>
          <w:rFonts w:ascii="Times New Roman" w:hAnsi="Times New Roman"/>
          <w:b w:val="0"/>
          <w:i w:val="0"/>
          <w:sz w:val="24"/>
        </w:rPr>
        <w:t xml:space="preserve"> Plasmid-mediated quinolone resistance (PMQR) determinant distribution: 2,315 total detections led by qnrS1 (n=732) and aac(6')-Ib-cr5 (n=737).</w:t>
      </w:r>
    </w:p>
    <w:p>
      <w:pPr>
        <w:pStyle w:val="Heading2"/>
      </w:pPr>
      <w:r>
        <w:rPr>
          <w:rFonts w:ascii="Times New Roman" w:hAnsi="Times New Roman"/>
          <w:sz w:val="32"/>
        </w:rPr>
        <w:t>Figure 4: AMR gene prevalence heatmap across pLIN lineages</w:t>
      </w:r>
    </w:p>
    <w:p>
      <w:pPr>
        <w:spacing w:after="120" w:before="0" w:line="480" w:lineRule="auto"/>
      </w:pPr>
      <w:r>
        <w:rPr>
          <w:rFonts w:ascii="Times New Roman" w:hAnsi="Times New Roman"/>
          <w:b w:val="0"/>
          <w:i w:val="0"/>
          <w:sz w:val="24"/>
        </w:rPr>
        <w:t>Heatmap showing the prevalence of clinically important AMR genes across the top pLIN lineages (rows) ordered by total AMR burden. Columns represent individual resistance genes grouped by drug class. Colour intensity reflects prevalence within each lineage (0--100%). pLIN 671 (IncN) shows uniform blaKPC-2 carriage (100%), while pLIN 860 shows a distinctive multi-drug resistance signature spanning sulfonamides, phenicols, macrolides, beta-lactams, and colistin resistance (44.4% mcr carriage). White cells indicate absence of the gene in that lineage.</w:t>
      </w:r>
    </w:p>
    <w:p>
      <w:pPr>
        <w:pStyle w:val="Heading2"/>
      </w:pPr>
      <w:r>
        <w:rPr>
          <w:rFonts w:ascii="Times New Roman" w:hAnsi="Times New Roman"/>
          <w:sz w:val="32"/>
        </w:rPr>
        <w:t>Figure 5: AMR gene burden and virulence distribution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mean AMR gene count per plasmid across the 20 Gram-negative Inc groups. IncAC2 carries the highest mean burden (12.6 genes per plasmid), followed by IncHI2 (10.8), IncC (9.4), and IncA (8.9). Five Inc groups show 100% AMR gene carriage: IncA, IncAC2, IncC, IncFIC, and IncHI2. AMR profiling was performed on the 20 Gram-negative Inc groups only;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were not profiled. </w:t>
      </w:r>
      <w:r>
        <w:rPr>
          <w:rFonts w:ascii="Times New Roman" w:hAnsi="Times New Roman"/>
          <w:b/>
          <w:i w:val="0"/>
          <w:sz w:val="24"/>
        </w:rPr>
        <w:t>(B)</w:t>
      </w:r>
      <w:r>
        <w:rPr>
          <w:rFonts w:ascii="Times New Roman" w:hAnsi="Times New Roman"/>
          <w:b w:val="0"/>
          <w:i w:val="0"/>
          <w:sz w:val="24"/>
        </w:rPr>
        <w:t xml:space="preserve"> Virulence gene prevalence by group. IncFII has the highest virulence gene prevalence (23.2%), followed by IncFIC (21.4%) and IncF (18.7%), reflecting the known association of IncF-family replicons with uropathogenic </w:t>
      </w:r>
      <w:r>
        <w:rPr>
          <w:rFonts w:ascii="Times New Roman" w:hAnsi="Times New Roman"/>
          <w:b w:val="0"/>
          <w:i/>
          <w:sz w:val="24"/>
        </w:rPr>
        <w:t>Escherichia coli</w:t>
      </w:r>
      <w:r>
        <w:rPr>
          <w:rFonts w:ascii="Times New Roman" w:hAnsi="Times New Roman"/>
          <w:b w:val="0"/>
          <w:i w:val="0"/>
          <w:sz w:val="24"/>
        </w:rPr>
        <w:t xml:space="preserve"> virulence factors.</w:t>
      </w:r>
    </w:p>
    <w:p>
      <w:pPr>
        <w:pStyle w:val="Heading2"/>
      </w:pPr>
      <w:r>
        <w:rPr>
          <w:rFonts w:ascii="Times New Roman" w:hAnsi="Times New Roman"/>
          <w:sz w:val="32"/>
        </w:rPr>
        <w:t>Figure 6: pLIN hierarchical structure</w:t>
      </w:r>
    </w:p>
    <w:p>
      <w:pPr>
        <w:spacing w:after="120" w:before="0" w:line="480" w:lineRule="auto"/>
      </w:pPr>
      <w:r>
        <w:rPr>
          <w:rFonts w:ascii="Times New Roman" w:hAnsi="Times New Roman"/>
          <w:b w:val="0"/>
          <w:i w:val="0"/>
          <w:sz w:val="24"/>
        </w:rPr>
        <w:t>Dendrogram illustrating the six-level hierarchical clustering structure for a representative subset of plasmids. Horizontal dashed lines indicate the six distance thresholds: L1 (d&lt;=0.150), L2 (d&lt;=0.100), L3 (d&lt;=0.050), L4 (d&lt;=0.020), L5 (d&lt;=0.010), and L6 (d&lt;=0.001). Branch colours represent Inc/rep groups, with Gram-positive groups shown in warm tones (repSA_large: orange, repSA_small: coral, repEF_conj: magenta, repEF_res: red). The inset shows the FastANI validation: at L6 (d&lt;=0.001), median ANI = 99.9%; overall Spearman rho = -0.348 (P &lt; 10^-141) across 4,970 plasmid pairs from 20 Gram-negative Inc groups. Significant per-group correlations (P &lt; 0.05) were observed for 15 of 20 groups.</w:t>
      </w:r>
    </w:p>
    <w:p>
      <w:pPr>
        <w:pStyle w:val="Heading2"/>
      </w:pPr>
      <w:r>
        <w:rPr>
          <w:rFonts w:ascii="Times New Roman" w:hAnsi="Times New Roman"/>
          <w:sz w:val="32"/>
        </w:rPr>
        <w:t>Figure 7: pLIN analysis pipeline overview</w:t>
      </w:r>
    </w:p>
    <w:p>
      <w:pPr>
        <w:spacing w:after="120" w:before="0" w:line="480" w:lineRule="auto"/>
      </w:pPr>
      <w:r>
        <w:rPr>
          <w:rFonts w:ascii="Times New Roman" w:hAnsi="Times New Roman"/>
          <w:b w:val="0"/>
          <w:i w:val="0"/>
          <w:sz w:val="24"/>
        </w:rPr>
        <w:t xml:space="preserve">Schematic of the pLIN computational pipeline. Input: FASTA file(s) of assembled sequences (plasmid, chromosomal, or mixed assemblies). Step 1: tetranucleotide (4-mer) frequency computation (256-dimensional vector per sequence). Step 1b: automatic plasmid contig identification using multi-signal scoring (sequence length, cosine distance to nearest plasmid training vector, FASTA header keyword matching, and Inc/rep classifier confidence); contigs classified as chromosomal are excluded from downstream pLIN assignment. Step 2: KNN classification (k=5, cosine distance, distance-weighted) for Inc/rep group prediction across 28 groups (20 Gram-negative Inc, 4 Gram-positive, 2 </w:t>
      </w:r>
      <w:r>
        <w:rPr>
          <w:rFonts w:ascii="Times New Roman" w:hAnsi="Times New Roman"/>
          <w:b w:val="0"/>
          <w:i/>
          <w:sz w:val="24"/>
        </w:rPr>
        <w:t>Acinetobacter</w:t>
      </w:r>
      <w:r>
        <w:rPr>
          <w:rFonts w:ascii="Times New Roman" w:hAnsi="Times New Roman"/>
          <w:b w:val="0"/>
          <w:i w:val="0"/>
          <w:sz w:val="24"/>
        </w:rPr>
        <w:t xml:space="preserve">, 2 </w:t>
      </w:r>
      <w:r>
        <w:rPr>
          <w:rFonts w:ascii="Times New Roman" w:hAnsi="Times New Roman"/>
          <w:b w:val="0"/>
          <w:i/>
          <w:sz w:val="24"/>
        </w:rPr>
        <w:t>Pseudomonas</w:t>
      </w:r>
      <w:r>
        <w:rPr>
          <w:rFonts w:ascii="Times New Roman" w:hAnsi="Times New Roman"/>
          <w:b w:val="0"/>
          <w:i w:val="0"/>
          <w:sz w:val="24"/>
        </w:rPr>
        <w:t>). Step 3: within-group single-linkage hierarchical clustering for pLIN code assignment at six thresholds. Step 4: AMRFinderPlus annotation for AMR, virulence, and stress-response genes. Step 5 (optional): automated outbreak detection with clinical risk stratification (CRITICAL/HIGH/MODERATE). Step 6 (optional): analytical modules for assembly completeness assessment, database coverage and novelty detection, recombination detection, novel group discovery, evolutionary rate estimation, adaptive threshold calibration, and MGE boundary detection. Output: integrated report with pLIN codes, Inc/rep assignments, AMR profiles, outbreak alerts, and analytical module results.</w:t>
      </w:r>
    </w:p>
    <w:p>
      <w:pPr>
        <w:pStyle w:val="Heading2"/>
      </w:pPr>
      <w:r>
        <w:rPr>
          <w:rFonts w:ascii="Times New Roman" w:hAnsi="Times New Roman"/>
          <w:sz w:val="32"/>
        </w:rPr>
        <w:t>Figure 8: pLIN hierarchical classification system</w:t>
      </w:r>
    </w:p>
    <w:p>
      <w:pPr>
        <w:spacing w:after="120" w:before="0" w:line="480" w:lineRule="auto"/>
      </w:pPr>
      <w:r>
        <w:rPr>
          <w:rFonts w:ascii="Times New Roman" w:hAnsi="Times New Roman"/>
          <w:b w:val="0"/>
          <w:i w:val="0"/>
          <w:sz w:val="24"/>
        </w:rPr>
        <w:t>Conceptual illustration of the six-level pLIN code structure using pLIN 1.1.2.15.48.671 as an example. Each digit represents assignment at a progressively finer clustering threshold: L1 (superfamily) through L6 (strain/outbreak level). The figure demonstrates how a single plasmid is simultaneously classified at all six resolution levels, enabling multi-scale epidemiological investigation from broad plasmid family surveys to outbreak confirmation.</w:t>
      </w:r>
    </w:p>
    <w:p>
      <w:pPr>
        <w:pStyle w:val="Heading2"/>
      </w:pPr>
      <w:r>
        <w:rPr>
          <w:rFonts w:ascii="Times New Roman" w:hAnsi="Times New Roman"/>
          <w:sz w:val="32"/>
        </w:rPr>
        <w:t>Figure 9: Comparison of plasmid classification methods</w:t>
      </w:r>
    </w:p>
    <w:p>
      <w:pPr>
        <w:spacing w:after="120" w:before="0" w:line="480" w:lineRule="auto"/>
      </w:pPr>
      <w:r>
        <w:rPr>
          <w:rFonts w:ascii="Times New Roman" w:hAnsi="Times New Roman"/>
          <w:b w:val="0"/>
          <w:i w:val="0"/>
          <w:sz w:val="24"/>
        </w:rPr>
        <w:t>Radar chart comparing pLIN with five existing plasmid classification approaches (PlasmidFinder, pMLST, MOB-suite, COPLA, mge-cluster) across seven clinical utility dimensions: discriminatory power, hierarchical resolution, nomenclature stability, AMR integration, outbreak detection, risk stratification, and reference-free operation. pLIN uniquely achieves high scores across all dimensions.</w:t>
      </w:r>
    </w:p>
    <w:p>
      <w:pPr>
        <w:pStyle w:val="Heading2"/>
      </w:pPr>
      <w:r>
        <w:rPr>
          <w:rFonts w:ascii="Times New Roman" w:hAnsi="Times New Roman"/>
          <w:sz w:val="32"/>
        </w:rPr>
        <w:t>Figure 10: Reference database expansion to 79,305 plasmids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Growth in unique pLIN codes from the training set (8,077 plasmids, 3,073 codes) to the expanded database (79,305 plasmids, 57,886 codes) -- a 18.8-fold increase. </w:t>
      </w:r>
      <w:r>
        <w:rPr>
          <w:rFonts w:ascii="Times New Roman" w:hAnsi="Times New Roman"/>
          <w:b/>
          <w:i w:val="0"/>
          <w:sz w:val="24"/>
        </w:rPr>
        <w:t>(B)</w:t>
      </w:r>
      <w:r>
        <w:rPr>
          <w:rFonts w:ascii="Times New Roman" w:hAnsi="Times New Roman"/>
          <w:b w:val="0"/>
          <w:i w:val="0"/>
          <w:sz w:val="24"/>
        </w:rPr>
        <w:t xml:space="preserve"> Classification rate: 97.3% of the 79,305 sequences received a high-confidence pLIN assignment; 2,109 (2.7%) fell below the 40% confidence threshold. </w:t>
      </w:r>
      <w:r>
        <w:rPr>
          <w:rFonts w:ascii="Times New Roman" w:hAnsi="Times New Roman"/>
          <w:b/>
          <w:i w:val="0"/>
          <w:sz w:val="24"/>
        </w:rPr>
        <w:t>(C)</w:t>
      </w:r>
      <w:r>
        <w:rPr>
          <w:rFonts w:ascii="Times New Roman" w:hAnsi="Times New Roman"/>
          <w:b w:val="0"/>
          <w:i w:val="0"/>
          <w:sz w:val="24"/>
        </w:rPr>
        <w:t xml:space="preserve"> Distribution of Inc/rep group assignments across the expanded database, with Gram-positive rep type groups shown separately.</w:t>
      </w:r>
    </w:p>
    <w:p>
      <w:pPr>
        <w:pStyle w:val="Heading2"/>
      </w:pPr>
      <w:r>
        <w:rPr>
          <w:rFonts w:ascii="Times New Roman" w:hAnsi="Times New Roman"/>
          <w:sz w:val="32"/>
        </w:rPr>
        <w:t>Figure 11: Cross-validation against published outbreak datasets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Study 1 (Yao et al. 2023): three KPC-2 plasmids from a 61-hospital German surveillance network. CP104944 was assigned pLIN 671 (d=0.0000), matching the independently identified KPC-2 hotspot lineage. CP104940 and CP104949, from different bacterial species, shared pLIN 725. </w:t>
      </w:r>
      <w:r>
        <w:rPr>
          <w:rFonts w:ascii="Times New Roman" w:hAnsi="Times New Roman"/>
          <w:b/>
          <w:i w:val="0"/>
          <w:sz w:val="24"/>
        </w:rPr>
        <w:t>(B)</w:t>
      </w:r>
      <w:r>
        <w:rPr>
          <w:rFonts w:ascii="Times New Roman" w:hAnsi="Times New Roman"/>
          <w:b w:val="0"/>
          <w:i w:val="0"/>
          <w:sz w:val="24"/>
        </w:rPr>
        <w:t xml:space="preserve"> Study 2 (Weber et al. 2019): 12 NDM-1 plasmids from a polyclonal single-hospital outbreak resolved into 9 unique L6 codes within 1 L3 cluster. Four plasmids sharing an IncA/C2 backbone grouped under pLIN 492. </w:t>
      </w:r>
      <w:r>
        <w:rPr>
          <w:rFonts w:ascii="Times New Roman" w:hAnsi="Times New Roman"/>
          <w:b/>
          <w:i w:val="0"/>
          <w:sz w:val="24"/>
        </w:rPr>
        <w:t>(C)</w:t>
      </w:r>
      <w:r>
        <w:rPr>
          <w:rFonts w:ascii="Times New Roman" w:hAnsi="Times New Roman"/>
          <w:b w:val="0"/>
          <w:i w:val="0"/>
          <w:sz w:val="24"/>
        </w:rPr>
        <w:t xml:space="preserve"> Study 3 (Marimuthu et al. 2022): a nationally disseminated KPC-2 plasmid from Singapore (MN542377) assigned pLIN 2455 (IncN, 60.9% confidence, d=0.0058), representing a novel strain-level variant. </w:t>
      </w:r>
      <w:r>
        <w:rPr>
          <w:rFonts w:ascii="Times New Roman" w:hAnsi="Times New Roman"/>
          <w:b/>
          <w:i w:val="0"/>
          <w:sz w:val="24"/>
        </w:rPr>
        <w:t>(D)</w:t>
      </w:r>
      <w:r>
        <w:rPr>
          <w:rFonts w:ascii="Times New Roman" w:hAnsi="Times New Roman"/>
          <w:b w:val="0"/>
          <w:i w:val="0"/>
          <w:sz w:val="24"/>
        </w:rPr>
        <w:t xml:space="preserve"> Study 4 (Roberts et al. 2020): an IMP-4-carrying IncHI2 outbreak plasmid from Australia (CP022533) assigned pLIN 860 (100% confidence, d=0.0004) -- the same multi-drug resistance hub lineage identified in the training data.</w:t>
      </w:r>
    </w:p>
    <w:p>
      <w:pPr>
        <w:pStyle w:val="Heading2"/>
      </w:pPr>
      <w:r>
        <w:rPr>
          <w:rFonts w:ascii="Times New Roman" w:hAnsi="Times New Roman"/>
          <w:sz w:val="32"/>
        </w:rPr>
        <w:t>Figure 12: Resolution comparison across plasmid classification methods</w:t>
      </w:r>
    </w:p>
    <w:p>
      <w:pPr>
        <w:spacing w:after="120" w:before="0" w:line="480" w:lineRule="auto"/>
      </w:pPr>
      <w:r>
        <w:rPr>
          <w:rFonts w:ascii="Times New Roman" w:hAnsi="Times New Roman"/>
          <w:b w:val="0"/>
          <w:i w:val="0"/>
          <w:sz w:val="24"/>
        </w:rPr>
        <w:t>Alluvial flow diagram showing how 74 outbreak plasmids from 27 studies across 13 countries are resolved by six classification methods, ordered by increasing resolution. Ribbons are coloured by resistance mechanism (KPC, NDM, OXA-48, mcr, CTX-M, VIM, IMP). PlasmidFinder produces 11 flat Inc group labels with 100% coverage but no hierarchical structure; pMLST resolves 10 sequence types but 39% of plasmids lack a typing scheme; MOB-suite classifies 61% into 8 cluster IDs (39% unclassified, grey bands); COPLA/PTU classifies 57% into 6 PTU groups (43% unclassified); mge-cluster resolves 22 clusters with 100% coverage but produces no permanent codes (dashed borders). pLIN resolves all 74 plasmids into 42 unique hierarchical codes with 100% coverage and permanent nomenclature. Callout annotations highlight three key outbreak examples: Ho 2019 NDM (12/13 plasmids share pLIN 475 vs all labelled "IncX3" by PlasmidFinder), OXA-48 cross-country transmission (5/6 share pLIN 1688 across Turkey, Netherlands, and France), and mcr-1 backbone separation (pLIN 87 for IncI2 carriers vs pLIN 340 for IncX4 carriers).</w:t>
      </w:r>
    </w:p>
    <w:p>
      <w:pPr>
        <w:pStyle w:val="Heading2"/>
      </w:pPr>
      <w:r>
        <w:rPr>
          <w:rFonts w:ascii="Times New Roman" w:hAnsi="Times New Roman"/>
          <w:sz w:val="32"/>
        </w:rPr>
        <w:t>Figure 13: Combined chromosomal-plasmid typing: transmission mode discrimination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Bipartite network showing MLST sequence type (ST) nodes (left, coloured by host species) connected to pLIN L6 code nodes (right). Edges represent co-occurrence of an ST and pLIN code within the same outbreak study. Edge colours indicate transmission mode: red = clonal spread (same ST, same pLIN), orange = horizontal plasmid transfer (different ST, same pLIN). Seven host species are represented: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Enterobacter cloacae</w:t>
      </w:r>
      <w:r>
        <w:rPr>
          <w:rFonts w:ascii="Times New Roman" w:hAnsi="Times New Roman"/>
          <w:b w:val="0"/>
          <w:i w:val="0"/>
          <w:sz w:val="24"/>
        </w:rPr>
        <w:t xml:space="preserve">, </w:t>
      </w:r>
      <w:r>
        <w:rPr>
          <w:rFonts w:ascii="Times New Roman" w:hAnsi="Times New Roman"/>
          <w:b w:val="0"/>
          <w:i/>
          <w:sz w:val="24"/>
        </w:rPr>
        <w:t>Citrobacter freundii</w:t>
      </w:r>
      <w:r>
        <w:rPr>
          <w:rFonts w:ascii="Times New Roman" w:hAnsi="Times New Roman"/>
          <w:b w:val="0"/>
          <w:i w:val="0"/>
          <w:sz w:val="24"/>
        </w:rPr>
        <w:t xml:space="preserve">, </w:t>
      </w:r>
      <w:r>
        <w:rPr>
          <w:rFonts w:ascii="Times New Roman" w:hAnsi="Times New Roman"/>
          <w:b w:val="0"/>
          <w:i/>
          <w:sz w:val="24"/>
        </w:rPr>
        <w:t>Enterobacter hormaechei</w:t>
      </w:r>
      <w:r>
        <w:rPr>
          <w:rFonts w:ascii="Times New Roman" w:hAnsi="Times New Roman"/>
          <w:b w:val="0"/>
          <w:i w:val="0"/>
          <w:sz w:val="24"/>
        </w:rPr>
        <w:t xml:space="preserve">, </w:t>
      </w:r>
      <w:r>
        <w:rPr>
          <w:rFonts w:ascii="Times New Roman" w:hAnsi="Times New Roman"/>
          <w:b w:val="0"/>
          <w:i/>
          <w:sz w:val="24"/>
        </w:rPr>
        <w:t>Salmonella enterica</w:t>
      </w:r>
      <w:r>
        <w:rPr>
          <w:rFonts w:ascii="Times New Roman" w:hAnsi="Times New Roman"/>
          <w:b w:val="0"/>
          <w:i w:val="0"/>
          <w:sz w:val="24"/>
        </w:rPr>
        <w:t xml:space="preserve">, and </w:t>
      </w:r>
      <w:r>
        <w:rPr>
          <w:rFonts w:ascii="Times New Roman" w:hAnsi="Times New Roman"/>
          <w:b w:val="0"/>
          <w:i/>
          <w:sz w:val="24"/>
        </w:rPr>
        <w:t>Acinetobacter baumannii</w:t>
      </w:r>
      <w:r>
        <w:rPr>
          <w:rFonts w:ascii="Times New Roman" w:hAnsi="Times New Roman"/>
          <w:b w:val="0"/>
          <w:i w:val="0"/>
          <w:sz w:val="24"/>
        </w:rPr>
        <w:t xml:space="preserve">. </w:t>
      </w:r>
      <w:r>
        <w:rPr>
          <w:rFonts w:ascii="Times New Roman" w:hAnsi="Times New Roman"/>
          <w:b/>
          <w:i w:val="0"/>
          <w:sz w:val="24"/>
        </w:rPr>
        <w:t>(B)</w:t>
      </w:r>
      <w:r>
        <w:rPr>
          <w:rFonts w:ascii="Times New Roman" w:hAnsi="Times New Roman"/>
          <w:b w:val="0"/>
          <w:i w:val="0"/>
          <w:sz w:val="24"/>
        </w:rPr>
        <w:t xml:space="preserve"> Stacked horizontal bar chart showing the distribution of transmission modes (clonal spread, horizontal transfer, independent) across 13 outbreak studies, ordered by total pairwise comparisons. The Ho 2019 NDM Hong Kong study contributed the most pairwise comparisons (n=78), with 19 clonal pairs and 47 horizontal transfer pairs across four STs. </w:t>
      </w:r>
      <w:r>
        <w:rPr>
          <w:rFonts w:ascii="Times New Roman" w:hAnsi="Times New Roman"/>
          <w:b/>
          <w:i w:val="0"/>
          <w:sz w:val="24"/>
        </w:rPr>
        <w:t>(C)</w:t>
      </w:r>
      <w:r>
        <w:rPr>
          <w:rFonts w:ascii="Times New Roman" w:hAnsi="Times New Roman"/>
          <w:b w:val="0"/>
          <w:i w:val="0"/>
          <w:sz w:val="24"/>
        </w:rPr>
        <w:t xml:space="preserve"> Summary validation metrics: 13 studies evaluated, 7 host species, 20 unique MLST STs, 92.3% overall concordance (12/13), 100% multi-ST diversity detection (13/13), and 92.3% clonal spread detection (12/13).</w:t>
      </w:r>
    </w:p>
    <w:p>
      <w:pPr>
        <w:pStyle w:val="Heading2"/>
      </w:pPr>
      <w:r>
        <w:rPr>
          <w:rFonts w:ascii="Times New Roman" w:hAnsi="Times New Roman"/>
          <w:sz w:val="32"/>
        </w:rPr>
        <w:t>Figure 14: Analytical module validation summary</w:t>
      </w:r>
    </w:p>
    <w:p>
      <w:pPr>
        <w:spacing w:after="120" w:before="0" w:line="480" w:lineRule="auto"/>
      </w:pPr>
      <w:r>
        <w:rPr>
          <w:rFonts w:ascii="Times New Roman" w:hAnsi="Times New Roman"/>
          <w:b w:val="0"/>
          <w:i w:val="0"/>
          <w:sz w:val="24"/>
        </w:rPr>
        <w:t xml:space="preserve">Overview of validation performance for the analytical modules developed to address previously identified limitations of the pLIN framework. </w:t>
      </w:r>
      <w:r>
        <w:rPr>
          <w:rFonts w:ascii="Times New Roman" w:hAnsi="Times New Roman"/>
          <w:b/>
          <w:i w:val="0"/>
          <w:sz w:val="24"/>
        </w:rPr>
        <w:t>(A)</w:t>
      </w:r>
      <w:r>
        <w:rPr>
          <w:rFonts w:ascii="Times New Roman" w:hAnsi="Times New Roman"/>
          <w:b w:val="0"/>
          <w:i w:val="0"/>
          <w:sz w:val="24"/>
        </w:rPr>
        <w:t xml:space="preserve"> Assembly completeness assessment: receiver operating characteristic (ROC) curves for each of the five sub-scores (circular topology signal AUC=0.97, contig count AUC=0.94, N50 ratio AUC=0.91, coding density AUC=0.87, N-gap presence AUC=0.84) and the composite score (AUC=0.96), validated against 500 plasmid sequences with known assembly status (250 complete, 250 draft). Confusion matrix shows 94.2% correct categorisation of complete assemblies and 91.6% correct categorisation of fragmented/poor assemblies. </w:t>
      </w:r>
      <w:r>
        <w:rPr>
          <w:rFonts w:ascii="Times New Roman" w:hAnsi="Times New Roman"/>
          <w:b/>
          <w:i w:val="0"/>
          <w:sz w:val="24"/>
        </w:rPr>
        <w:t>(B)</w:t>
      </w:r>
      <w:r>
        <w:rPr>
          <w:rFonts w:ascii="Times New Roman" w:hAnsi="Times New Roman"/>
          <w:b w:val="0"/>
          <w:i w:val="0"/>
          <w:sz w:val="24"/>
        </w:rPr>
        <w:t xml:space="preserve"> Plasmid contig identification: validation of the multi-signal scoring system against 1,200 mixed contigs (600 chromosomal, 600 plasmid). Left: composite score distributions for chromosomal (blue) and plasmid (red) contigs, with decision boundaries at -10 and +10 shown as vertical dashed lines. Centre: per-signal contribution analysis showing the relative discriminatory power of each of the four signals (sequence length, cosine distance, header keywords, classifier confidence) by contig size category. Right: confusion matrix showing &gt;95% specificity for chromosomal exclusion and &gt;98% sensitivity for plasmid retention. </w:t>
      </w:r>
      <w:r>
        <w:rPr>
          <w:rFonts w:ascii="Times New Roman" w:hAnsi="Times New Roman"/>
          <w:b/>
          <w:i w:val="0"/>
          <w:sz w:val="24"/>
        </w:rPr>
        <w:t>(C)</w:t>
      </w:r>
      <w:r>
        <w:rPr>
          <w:rFonts w:ascii="Times New Roman" w:hAnsi="Times New Roman"/>
          <w:b w:val="0"/>
          <w:i w:val="0"/>
          <w:sz w:val="24"/>
        </w:rPr>
        <w:t xml:space="preserve"> Database coverage and novelty detection: distribution of nearest-neighbour distance percentiles across 8,077 training sequences (leave-one-out). Traffic-light thresholds shown as vertical lines: GREEN (&lt;75th percentile, n=5,782, 78.1%), YELLOW (75th--95th, n=1,186, 16.0%), RED (&gt;95th, n=437, 5.9%). Inset: proportion of RED-flagged sequences exceeding the L3 distance threshold (89.2%). </w:t>
      </w:r>
      <w:r>
        <w:rPr>
          <w:rFonts w:ascii="Times New Roman" w:hAnsi="Times New Roman"/>
          <w:b/>
          <w:i w:val="0"/>
          <w:sz w:val="24"/>
        </w:rPr>
        <w:t>(D)</w:t>
      </w:r>
      <w:r>
        <w:rPr>
          <w:rFonts w:ascii="Times New Roman" w:hAnsi="Times New Roman"/>
          <w:b w:val="0"/>
          <w:i w:val="0"/>
          <w:sz w:val="24"/>
        </w:rPr>
        <w:t xml:space="preserve"> Recombination detection: sensitivity-specificity trade-off across recombination score thresholds. At the selected threshold, sensitivity=87.3% and specificity=94.1% against 150 known mosaic and 350 non-mosaic control plasmids. Box plots compare alignment block counts between mosaic (median 4.7) and non-mosaic (median 1.3) sequences.</w:t>
      </w:r>
    </w:p>
    <w:p>
      <w:pPr>
        <w:pStyle w:val="Heading2"/>
      </w:pPr>
      <w:r>
        <w:rPr>
          <w:rFonts w:ascii="Times New Roman" w:hAnsi="Times New Roman"/>
          <w:sz w:val="32"/>
        </w:rPr>
        <w:t>Figure 15: Novel Inc/rep group discovery and evolutionary rate estimation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Novel group discovery: UMAP projection of 2,109 low-confidence sequences from the expanded 79,305-plasmid database, coloured by putative novel cluster membership. Eighteen putative novel Inc/rep groups (&gt;=3 members each) are highlighted, comprising 247 plasmids (9.8% of unclassified sequences). The largest cluster (31 members, mean intra-cluster distance 0.028) is annotated, with its distance to the nearest known group centroid (IncR, d=0.142) shown. Grey points represent unclassified sequences not assigned to any putative group. </w:t>
      </w:r>
      <w:r>
        <w:rPr>
          <w:rFonts w:ascii="Times New Roman" w:hAnsi="Times New Roman"/>
          <w:b/>
          <w:i w:val="0"/>
          <w:sz w:val="24"/>
        </w:rPr>
        <w:t>(B)</w:t>
      </w:r>
      <w:r>
        <w:rPr>
          <w:rFonts w:ascii="Times New Roman" w:hAnsi="Times New Roman"/>
          <w:b w:val="0"/>
          <w:i w:val="0"/>
          <w:sz w:val="24"/>
        </w:rPr>
        <w:t xml:space="preserve"> Distance matrix heatmap showing mean cosine distances between each of the 18 putative novel groups and the 28 established Inc/rep groups. Six putative groups with distances below 0.080 to known groups are marked with asterisks, indicating possible divergent variants rather than truly novel families. </w:t>
      </w:r>
      <w:r>
        <w:rPr>
          <w:rFonts w:ascii="Times New Roman" w:hAnsi="Times New Roman"/>
          <w:b/>
          <w:i w:val="0"/>
          <w:sz w:val="24"/>
        </w:rPr>
        <w:t>(C)</w:t>
      </w:r>
      <w:r>
        <w:rPr>
          <w:rFonts w:ascii="Times New Roman" w:hAnsi="Times New Roman"/>
          <w:b w:val="0"/>
          <w:i w:val="0"/>
          <w:sz w:val="24"/>
        </w:rPr>
        <w:t xml:space="preserve"> Evolutionary rate estimation: scatter plots of pairwise SNP distance versus temporal distance (years) for the 8 of 12 dated L6 clusters with significant temporal signal (R^2 &gt; 0.3). Regression lines and 95% confidence intervals are shown. Estimated substitution rates range from 1.8 x 10^-6 to 8.4 x 10^-6 substitutions per site per year. The grey shaded band indicates the expected plasmid evolutionary rate range (10^-6 to 10^-5 subs/site/year).</w:t>
      </w:r>
    </w:p>
    <w:p>
      <w:pPr>
        <w:pStyle w:val="Heading2"/>
      </w:pPr>
      <w:r>
        <w:rPr>
          <w:rFonts w:ascii="Times New Roman" w:hAnsi="Times New Roman"/>
          <w:sz w:val="32"/>
        </w:rPr>
        <w:t>Figure 16: Adaptive thresholds and cluster stability</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Bootstrap cluster stability scores across 28 Inc/rep groups. For each group, 50 bootstrap iterations (80% resampling) were performed and cluster co-assignment frequencies computed. Box plots show the distribution of pairwise stability scores. Twenty groups achieved mean Adjusted Rand Index (ARI) &gt; 0.85 (high stability, green), while four groups (IncFII, IncFIB, repSA_large, repEF_res) showed moderate stability (ARI 0.70--0.84, yellow). </w:t>
      </w:r>
      <w:r>
        <w:rPr>
          <w:rFonts w:ascii="Times New Roman" w:hAnsi="Times New Roman"/>
          <w:b/>
          <w:i w:val="0"/>
          <w:sz w:val="24"/>
        </w:rPr>
        <w:t>(B)</w:t>
      </w:r>
      <w:r>
        <w:rPr>
          <w:rFonts w:ascii="Times New Roman" w:hAnsi="Times New Roman"/>
          <w:b w:val="0"/>
          <w:i w:val="0"/>
          <w:sz w:val="24"/>
        </w:rPr>
        <w:t xml:space="preserve"> Comparison of single-linkage, complete-linkage, and average-linkage hierarchical clustering methods. Heatmap of ARI values for each group and linkage method, with the optimal method highlighted. Single-linkage was optimal for 16 groups, average-linkage for 5, and complete-linkage for 3. </w:t>
      </w:r>
      <w:r>
        <w:rPr>
          <w:rFonts w:ascii="Times New Roman" w:hAnsi="Times New Roman"/>
          <w:b/>
          <w:i w:val="0"/>
          <w:sz w:val="24"/>
        </w:rPr>
        <w:t>(C)</w:t>
      </w:r>
      <w:r>
        <w:rPr>
          <w:rFonts w:ascii="Times New Roman" w:hAnsi="Times New Roman"/>
          <w:b w:val="0"/>
          <w:i w:val="0"/>
          <w:sz w:val="24"/>
        </w:rPr>
        <w:t xml:space="preserve"> Inc/rep-group-specific calibrated L3 thresholds versus the default threshold (d=0.050, dashed horizontal line). Deviations ranged from 0.000 to 0.019, with repSA_large showing the largest upward deviation (optimal L3=0.062) and IncFII the largest downward deviation (optimal L3=0.042). Error bars represent 95% confidence intervals from bootstrap resampling.</w:t>
      </w:r>
    </w:p>
    <w:p>
      <w:pPr>
        <w:pStyle w:val="Heading2"/>
      </w:pPr>
      <w:r>
        <w:rPr>
          <w:rFonts w:ascii="Times New Roman" w:hAnsi="Times New Roman"/>
          <w:sz w:val="32"/>
        </w:rPr>
        <w:t>Figure 17: Mobile genetic element boundary detection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Summary of IS element detection across 8,077 training plasmids: 94.7% sensitivity against curated ISfinder annotations, with 8.3% false discovery rate. Bar chart shows the 15 most frequently detected IS families, with IS26 (n=1,247), ISEcp1 (n=412), and IS1 (n=389) predominating among Gram-negative plasmids, and IS256 (n=87), IS257 (n=64), and IS16 (n=52) predominating among Gram-positive plasmids. </w:t>
      </w:r>
      <w:r>
        <w:rPr>
          <w:rFonts w:ascii="Times New Roman" w:hAnsi="Times New Roman"/>
          <w:b/>
          <w:i w:val="0"/>
          <w:sz w:val="24"/>
        </w:rPr>
        <w:t>(B)</w:t>
      </w:r>
      <w:r>
        <w:rPr>
          <w:rFonts w:ascii="Times New Roman" w:hAnsi="Times New Roman"/>
          <w:b w:val="0"/>
          <w:i w:val="0"/>
          <w:sz w:val="24"/>
        </w:rPr>
        <w:t xml:space="preserve"> Representative colour-coded linear gene maps for three plasmids illustrating composite transposon structures: (top) IS26-flanked blaTEM-1 on an IncN plasmid, (middle) ISEcp1-associated blaCTX-M-15 on an IncFII plasmid, (bottom) IS256-flanked aac(6')-Ie-aph(2'')-Ia on a repSA_large plasmid. Colour scheme: IS elements (red), integrases/recombinases (orange), AMR genes (blue), virulence genes (green), backbone genes (grey). Gene orientation is indicated by arrow direction. </w:t>
      </w:r>
      <w:r>
        <w:rPr>
          <w:rFonts w:ascii="Times New Roman" w:hAnsi="Times New Roman"/>
          <w:b/>
          <w:i w:val="0"/>
          <w:sz w:val="24"/>
        </w:rPr>
        <w:t>(C)</w:t>
      </w:r>
      <w:r>
        <w:rPr>
          <w:rFonts w:ascii="Times New Roman" w:hAnsi="Times New Roman"/>
          <w:b w:val="0"/>
          <w:i w:val="0"/>
          <w:sz w:val="24"/>
        </w:rPr>
        <w:t xml:space="preserve"> Frequency of composite transposon structures by Inc/rep group (623 total detections across 8,077 plasmids, 7.7%). The three most common IS-resistance gene associations are annotated: IS26-blaTEM-1 (n=187), ISEcp1-blaCTX-M (n=94), and IS26-aadA (n=78). Gram-positive groups show IS256-aminoglycoside resistance as the dominant composite transposon type (n=23).</w:t>
      </w:r>
    </w:p>
    <w:p>
      <w:pPr>
        <w:pStyle w:val="Heading2"/>
      </w:pPr>
      <w:r>
        <w:rPr>
          <w:rFonts w:ascii="Times New Roman" w:hAnsi="Times New Roman"/>
          <w:sz w:val="32"/>
        </w:rPr>
        <w:t>Figure 18: Plasmid versus chromosome contig classification</w:t>
      </w:r>
    </w:p>
    <w:p>
      <w:pPr>
        <w:spacing w:after="120" w:before="0" w:line="480" w:lineRule="auto"/>
      </w:pPr>
      <w:r>
        <w:rPr>
          <w:rFonts w:ascii="Times New Roman" w:hAnsi="Times New Roman"/>
          <w:b w:val="0"/>
          <w:i w:val="0"/>
          <w:sz w:val="24"/>
        </w:rPr>
        <w:t xml:space="preserve">Overview of the multi-signal scoring system for automatic plasmid contig identification. </w:t>
      </w:r>
      <w:r>
        <w:rPr>
          <w:rFonts w:ascii="Times New Roman" w:hAnsi="Times New Roman"/>
          <w:b/>
          <w:i w:val="0"/>
          <w:sz w:val="24"/>
        </w:rPr>
        <w:t>(A)</w:t>
      </w:r>
      <w:r>
        <w:rPr>
          <w:rFonts w:ascii="Times New Roman" w:hAnsi="Times New Roman"/>
          <w:b w:val="0"/>
          <w:i w:val="0"/>
          <w:sz w:val="24"/>
        </w:rPr>
        <w:t xml:space="preserve"> Schematic of the four-signal scoring architecture: sequence length scoring (left; contigs &gt;1 Mb receive -50 points, &gt;500 kb receive -30 points, &lt;300 kb receive +20 points, &lt;20 kb receive +10 points), cosine distance to the nearest plasmid training vector (centre-left; shorter distances indicate greater plasmid similarity), FASTA header keyword matching (centre-right; plasmid-associated and chromosome-associated keyword lists with corresponding positive and negative score contributions), and KNN classifier confidence (right; Inc/rep group assignment probability contributing to the composite score). Composite scores are summed and classified: score &gt;=10 denotes plasmid, score &lt;=-10 denotes chromosome, and borderline scores (-10 to +10) default to plasmid (conservative). </w:t>
      </w:r>
      <w:r>
        <w:rPr>
          <w:rFonts w:ascii="Times New Roman" w:hAnsi="Times New Roman"/>
          <w:b/>
          <w:i w:val="0"/>
          <w:sz w:val="24"/>
        </w:rPr>
        <w:t>(B)</w:t>
      </w:r>
      <w:r>
        <w:rPr>
          <w:rFonts w:ascii="Times New Roman" w:hAnsi="Times New Roman"/>
          <w:b w:val="0"/>
          <w:i w:val="0"/>
          <w:sz w:val="24"/>
        </w:rPr>
        <w:t xml:space="preserve"> Validation on 1,200 mixed contigs (600 chromosomal, 600 plasmid). Violin plots show the distribution of composite scores for chromosomal contigs (median -38.2) and plasmid contigs (median +27.4), with clear separation at the decision boundaries. </w:t>
      </w:r>
      <w:r>
        <w:rPr>
          <w:rFonts w:ascii="Times New Roman" w:hAnsi="Times New Roman"/>
          <w:b/>
          <w:i w:val="0"/>
          <w:sz w:val="24"/>
        </w:rPr>
        <w:t>(C)</w:t>
      </w:r>
      <w:r>
        <w:rPr>
          <w:rFonts w:ascii="Times New Roman" w:hAnsi="Times New Roman"/>
          <w:b w:val="0"/>
          <w:i w:val="0"/>
          <w:sz w:val="24"/>
        </w:rPr>
        <w:t xml:space="preserve"> Performance stratified by contig size: contigs &gt;500 kb (predominantly chromosomal, &gt;95% specificity), contigs 50--500 kb (mixed, 89.4% correct classification from combined signals), and contigs &lt;50 kb (predominantly plasmid, &gt;98% sensitivity). Stacked bar charts show the relative contribution of each signal to correct classification within each size category. </w:t>
      </w:r>
      <w:r>
        <w:rPr>
          <w:rFonts w:ascii="Times New Roman" w:hAnsi="Times New Roman"/>
          <w:b/>
          <w:i w:val="0"/>
          <w:sz w:val="24"/>
        </w:rPr>
        <w:t>(D)</w:t>
      </w:r>
      <w:r>
        <w:rPr>
          <w:rFonts w:ascii="Times New Roman" w:hAnsi="Times New Roman"/>
          <w:b w:val="0"/>
          <w:i w:val="0"/>
          <w:sz w:val="24"/>
        </w:rPr>
        <w:t xml:space="preserve"> Application example: a mixed </w:t>
      </w:r>
      <w:r>
        <w:rPr>
          <w:rFonts w:ascii="Times New Roman" w:hAnsi="Times New Roman"/>
          <w:b w:val="0"/>
          <w:i/>
          <w:sz w:val="24"/>
        </w:rPr>
        <w:t>Klebsiella pneumoniae</w:t>
      </w:r>
      <w:r>
        <w:rPr>
          <w:rFonts w:ascii="Times New Roman" w:hAnsi="Times New Roman"/>
          <w:b w:val="0"/>
          <w:i w:val="0"/>
          <w:sz w:val="24"/>
        </w:rPr>
        <w:t xml:space="preserve"> assembly containing one 5.2 Mb chromosomal contig and three plasmid contigs (180 kb, 85 kb, and 9 kb). The contig classifier correctly identifies and excludes the chromosomal contig (composite score -62) while retaining all three plasmid contigs (composite scores +34, +28, and +19) for downstream pLIN assignment.</w:t>
      </w:r>
    </w:p>
    <w:p>
      <w:r>
        <w:br w:type="page"/>
      </w:r>
    </w:p>
    <w:p>
      <w:pPr>
        <w:pStyle w:val="Heading1"/>
      </w:pPr>
      <w:r>
        <w:rPr>
          <w:rFonts w:ascii="Times New Roman" w:hAnsi="Times New Roman"/>
        </w:rPr>
        <w:t>Tables</w:t>
      </w:r>
    </w:p>
    <w:p>
      <w:pPr>
        <w:pStyle w:val="Heading1"/>
      </w:pPr>
      <w:r>
        <w:rPr>
          <w:rFonts w:ascii="Times New Roman" w:hAnsi="Times New Roman"/>
          <w:sz w:val="36"/>
        </w:rPr>
        <w:t>Table 1: Comparative evaluation of plasmid classification systems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Feature</w:t>
            </w:r>
          </w:p>
        </w:tc>
        <w:tc>
          <w:tcPr>
            <w:tcW w:type="dxa" w:w="1337"/>
            <w:shd w:val="clear" w:color="auto" w:fill="2F5496"/>
          </w:tcPr>
          <w:p>
            <w:pPr>
              <w:jc w:val="center"/>
            </w:pPr>
            <w:r>
              <w:rPr>
                <w:rFonts w:ascii="Times New Roman" w:hAnsi="Times New Roman"/>
                <w:b/>
                <w:color w:val="FFFFFF"/>
                <w:sz w:val="22"/>
              </w:rPr>
              <w:t>PlasmidFinder</w:t>
            </w:r>
          </w:p>
        </w:tc>
        <w:tc>
          <w:tcPr>
            <w:tcW w:type="dxa" w:w="1337"/>
            <w:shd w:val="clear" w:color="auto" w:fill="2F5496"/>
          </w:tcPr>
          <w:p>
            <w:pPr>
              <w:jc w:val="center"/>
            </w:pPr>
            <w:r>
              <w:rPr>
                <w:rFonts w:ascii="Times New Roman" w:hAnsi="Times New Roman"/>
                <w:b/>
                <w:color w:val="FFFFFF"/>
                <w:sz w:val="22"/>
              </w:rPr>
              <w:t>pMLST</w:t>
            </w:r>
          </w:p>
        </w:tc>
        <w:tc>
          <w:tcPr>
            <w:tcW w:type="dxa" w:w="1337"/>
            <w:shd w:val="clear" w:color="auto" w:fill="2F5496"/>
          </w:tcPr>
          <w:p>
            <w:pPr>
              <w:jc w:val="center"/>
            </w:pPr>
            <w:r>
              <w:rPr>
                <w:rFonts w:ascii="Times New Roman" w:hAnsi="Times New Roman"/>
                <w:b/>
                <w:color w:val="FFFFFF"/>
                <w:sz w:val="22"/>
              </w:rPr>
              <w:t>MOB-suite</w:t>
            </w:r>
          </w:p>
        </w:tc>
        <w:tc>
          <w:tcPr>
            <w:tcW w:type="dxa" w:w="1337"/>
            <w:shd w:val="clear" w:color="auto" w:fill="2F5496"/>
          </w:tcPr>
          <w:p>
            <w:pPr>
              <w:jc w:val="center"/>
            </w:pPr>
            <w:r>
              <w:rPr>
                <w:rFonts w:ascii="Times New Roman" w:hAnsi="Times New Roman"/>
                <w:b/>
                <w:color w:val="FFFFFF"/>
                <w:sz w:val="22"/>
              </w:rPr>
              <w:t>COPLA</w:t>
            </w:r>
          </w:p>
        </w:tc>
        <w:tc>
          <w:tcPr>
            <w:tcW w:type="dxa" w:w="1337"/>
            <w:shd w:val="clear" w:color="auto" w:fill="2F5496"/>
          </w:tcPr>
          <w:p>
            <w:pPr>
              <w:jc w:val="center"/>
            </w:pPr>
            <w:r>
              <w:rPr>
                <w:rFonts w:ascii="Times New Roman" w:hAnsi="Times New Roman"/>
                <w:b/>
                <w:color w:val="FFFFFF"/>
                <w:sz w:val="22"/>
              </w:rPr>
              <w:t>mge-cluster</w:t>
            </w:r>
          </w:p>
        </w:tc>
        <w:tc>
          <w:tcPr>
            <w:tcW w:type="dxa" w:w="1337"/>
            <w:shd w:val="clear" w:color="auto" w:fill="2F5496"/>
          </w:tcPr>
          <w:p>
            <w:pPr>
              <w:jc w:val="center"/>
            </w:pPr>
            <w:r>
              <w:rPr>
                <w:rFonts w:ascii="Times New Roman" w:hAnsi="Times New Roman"/>
                <w:b/>
                <w:color w:val="FFFFFF"/>
                <w:sz w:val="22"/>
              </w:rPr>
              <w:t>pLIN</w:t>
            </w:r>
          </w:p>
        </w:tc>
      </w:tr>
      <w:tr>
        <w:tc>
          <w:tcPr>
            <w:tcW w:type="dxa" w:w="1337"/>
          </w:tcPr>
          <w:p>
            <w:r>
              <w:rPr>
                <w:rFonts w:ascii="Times New Roman" w:hAnsi="Times New Roman"/>
                <w:sz w:val="22"/>
              </w:rPr>
              <w:t>**Classification approach**</w:t>
            </w:r>
          </w:p>
        </w:tc>
        <w:tc>
          <w:tcPr>
            <w:tcW w:type="dxa" w:w="1337"/>
          </w:tcPr>
          <w:p>
            <w:r>
              <w:rPr>
                <w:rFonts w:ascii="Times New Roman" w:hAnsi="Times New Roman"/>
                <w:sz w:val="22"/>
              </w:rPr>
              <w:t>Replicon typing</w:t>
            </w:r>
          </w:p>
        </w:tc>
        <w:tc>
          <w:tcPr>
            <w:tcW w:type="dxa" w:w="1337"/>
          </w:tcPr>
          <w:p>
            <w:r>
              <w:rPr>
                <w:rFonts w:ascii="Times New Roman" w:hAnsi="Times New Roman"/>
                <w:sz w:val="22"/>
              </w:rPr>
              <w:t>Allelic profiling</w:t>
            </w:r>
          </w:p>
        </w:tc>
        <w:tc>
          <w:tcPr>
            <w:tcW w:type="dxa" w:w="1337"/>
          </w:tcPr>
          <w:p>
            <w:r>
              <w:rPr>
                <w:rFonts w:ascii="Times New Roman" w:hAnsi="Times New Roman"/>
                <w:sz w:val="22"/>
              </w:rPr>
              <w:t>Relaxase clustering</w:t>
            </w:r>
          </w:p>
        </w:tc>
        <w:tc>
          <w:tcPr>
            <w:tcW w:type="dxa" w:w="1337"/>
          </w:tcPr>
          <w:p>
            <w:r>
              <w:rPr>
                <w:rFonts w:ascii="Times New Roman" w:hAnsi="Times New Roman"/>
                <w:sz w:val="22"/>
              </w:rPr>
              <w:t>Host-range + mobility</w:t>
            </w:r>
          </w:p>
        </w:tc>
        <w:tc>
          <w:tcPr>
            <w:tcW w:type="dxa" w:w="1337"/>
          </w:tcPr>
          <w:p>
            <w:r>
              <w:rPr>
                <w:rFonts w:ascii="Times New Roman" w:hAnsi="Times New Roman"/>
                <w:sz w:val="22"/>
              </w:rPr>
              <w:t>Reference-free k-mer</w:t>
            </w:r>
          </w:p>
        </w:tc>
        <w:tc>
          <w:tcPr>
            <w:tcW w:type="dxa" w:w="1337"/>
          </w:tcPr>
          <w:p>
            <w:r>
              <w:rPr>
                <w:rFonts w:ascii="Times New Roman" w:hAnsi="Times New Roman"/>
                <w:sz w:val="22"/>
              </w:rPr>
              <w:t>Hierarchical 4-mer</w:t>
            </w:r>
          </w:p>
        </w:tc>
      </w:tr>
      <w:tr>
        <w:tc>
          <w:tcPr>
            <w:tcW w:type="dxa" w:w="1337"/>
          </w:tcPr>
          <w:p>
            <w:r>
              <w:rPr>
                <w:rFonts w:ascii="Times New Roman" w:hAnsi="Times New Roman"/>
                <w:sz w:val="22"/>
              </w:rPr>
              <w:t>**Resolution levels**</w:t>
            </w:r>
          </w:p>
        </w:tc>
        <w:tc>
          <w:tcPr>
            <w:tcW w:type="dxa" w:w="1337"/>
          </w:tcPr>
          <w:p>
            <w:r>
              <w:rPr>
                <w:rFonts w:ascii="Times New Roman" w:hAnsi="Times New Roman"/>
                <w:sz w:val="22"/>
              </w:rPr>
              <w:t>1 (Inc group)</w:t>
            </w:r>
          </w:p>
        </w:tc>
        <w:tc>
          <w:tcPr>
            <w:tcW w:type="dxa" w:w="1337"/>
          </w:tcPr>
          <w:p>
            <w:r>
              <w:rPr>
                <w:rFonts w:ascii="Times New Roman" w:hAnsi="Times New Roman"/>
                <w:sz w:val="22"/>
              </w:rPr>
              <w:t>1 (sequence type)</w:t>
            </w:r>
          </w:p>
        </w:tc>
        <w:tc>
          <w:tcPr>
            <w:tcW w:type="dxa" w:w="1337"/>
          </w:tcPr>
          <w:p>
            <w:r>
              <w:rPr>
                <w:rFonts w:ascii="Times New Roman" w:hAnsi="Times New Roman"/>
                <w:sz w:val="22"/>
              </w:rPr>
              <w:t>1 (cluster)</w:t>
            </w:r>
          </w:p>
        </w:tc>
        <w:tc>
          <w:tcPr>
            <w:tcW w:type="dxa" w:w="1337"/>
          </w:tcPr>
          <w:p>
            <w:r>
              <w:rPr>
                <w:rFonts w:ascii="Times New Roman" w:hAnsi="Times New Roman"/>
                <w:sz w:val="22"/>
              </w:rPr>
              <w:t>1 (PTU)</w:t>
            </w:r>
          </w:p>
        </w:tc>
        <w:tc>
          <w:tcPr>
            <w:tcW w:type="dxa" w:w="1337"/>
          </w:tcPr>
          <w:p>
            <w:r>
              <w:rPr>
                <w:rFonts w:ascii="Times New Roman" w:hAnsi="Times New Roman"/>
                <w:sz w:val="22"/>
              </w:rPr>
              <w:t>1 (cluster)</w:t>
            </w:r>
          </w:p>
        </w:tc>
        <w:tc>
          <w:tcPr>
            <w:tcW w:type="dxa" w:w="1337"/>
          </w:tcPr>
          <w:p>
            <w:r>
              <w:rPr>
                <w:rFonts w:ascii="Times New Roman" w:hAnsi="Times New Roman"/>
                <w:sz w:val="22"/>
              </w:rPr>
              <w:t>6 (L1--L6)</w:t>
            </w:r>
          </w:p>
        </w:tc>
      </w:tr>
      <w:tr>
        <w:tc>
          <w:tcPr>
            <w:tcW w:type="dxa" w:w="1337"/>
          </w:tcPr>
          <w:p>
            <w:r>
              <w:rPr>
                <w:rFonts w:ascii="Times New Roman" w:hAnsi="Times New Roman"/>
                <w:sz w:val="22"/>
              </w:rPr>
              <w:t>**Multi-resolution hierarchy**</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Partial</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r>
      <w:tr>
        <w:tc>
          <w:tcPr>
            <w:tcW w:type="dxa" w:w="1337"/>
          </w:tcPr>
          <w:p>
            <w:r>
              <w:rPr>
                <w:rFonts w:ascii="Times New Roman" w:hAnsi="Times New Roman"/>
                <w:sz w:val="22"/>
              </w:rPr>
              <w:t>**Stable nomenclature**</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r>
      <w:tr>
        <w:tc>
          <w:tcPr>
            <w:tcW w:type="dxa" w:w="1337"/>
          </w:tcPr>
          <w:p>
            <w:r>
              <w:rPr>
                <w:rFonts w:ascii="Times New Roman" w:hAnsi="Times New Roman"/>
                <w:sz w:val="22"/>
              </w:rPr>
              <w:t>**Discriminatory power (Simpson's D)**</w:t>
            </w:r>
          </w:p>
        </w:tc>
        <w:tc>
          <w:tcPr>
            <w:tcW w:type="dxa" w:w="1337"/>
          </w:tcPr>
          <w:p>
            <w:r>
              <w:rPr>
                <w:rFonts w:ascii="Times New Roman" w:hAnsi="Times New Roman"/>
                <w:sz w:val="22"/>
              </w:rPr>
              <w:t>0.641</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0.985</w:t>
            </w:r>
          </w:p>
        </w:tc>
      </w:tr>
      <w:tr>
        <w:tc>
          <w:tcPr>
            <w:tcW w:type="dxa" w:w="1337"/>
          </w:tcPr>
          <w:p>
            <w:r>
              <w:rPr>
                <w:rFonts w:ascii="Times New Roman" w:hAnsi="Times New Roman"/>
                <w:sz w:val="22"/>
              </w:rPr>
              <w:t>**Integrated AMR profiling**</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r>
      <w:tr>
        <w:tc>
          <w:tcPr>
            <w:tcW w:type="dxa" w:w="1337"/>
          </w:tcPr>
          <w:p>
            <w:r>
              <w:rPr>
                <w:rFonts w:ascii="Times New Roman" w:hAnsi="Times New Roman"/>
                <w:sz w:val="22"/>
              </w:rPr>
              <w:t>**Automated outbreak detection**</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r>
      <w:tr>
        <w:tc>
          <w:tcPr>
            <w:tcW w:type="dxa" w:w="1337"/>
          </w:tcPr>
          <w:p>
            <w:r>
              <w:rPr>
                <w:rFonts w:ascii="Times New Roman" w:hAnsi="Times New Roman"/>
                <w:sz w:val="22"/>
              </w:rPr>
              <w:t>**Clinical risk stratification**</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r>
      <w:tr>
        <w:tc>
          <w:tcPr>
            <w:tcW w:type="dxa" w:w="1337"/>
          </w:tcPr>
          <w:p>
            <w:r>
              <w:rPr>
                <w:rFonts w:ascii="Times New Roman" w:hAnsi="Times New Roman"/>
                <w:sz w:val="22"/>
              </w:rPr>
              <w:t>**Reference-free operation**</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r>
      <w:tr>
        <w:tc>
          <w:tcPr>
            <w:tcW w:type="dxa" w:w="1337"/>
          </w:tcPr>
          <w:p>
            <w:r>
              <w:rPr>
                <w:rFonts w:ascii="Times New Roman" w:hAnsi="Times New Roman"/>
                <w:sz w:val="22"/>
              </w:rPr>
              <w:t>**Open-source availability**</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r>
      <w:tr>
        <w:tc>
          <w:tcPr>
            <w:tcW w:type="dxa" w:w="1337"/>
          </w:tcPr>
          <w:p>
            <w:r>
              <w:rPr>
                <w:rFonts w:ascii="Times New Roman" w:hAnsi="Times New Roman"/>
                <w:sz w:val="22"/>
              </w:rPr>
              <w:t>**No. Inc/Rep groups supported**</w:t>
            </w:r>
          </w:p>
        </w:tc>
        <w:tc>
          <w:tcPr>
            <w:tcW w:type="dxa" w:w="1337"/>
          </w:tcPr>
          <w:p>
            <w:r>
              <w:rPr>
                <w:rFonts w:ascii="Times New Roman" w:hAnsi="Times New Roman"/>
                <w:sz w:val="22"/>
              </w:rPr>
              <w:t>&gt;30</w:t>
            </w:r>
          </w:p>
        </w:tc>
        <w:tc>
          <w:tcPr>
            <w:tcW w:type="dxa" w:w="1337"/>
          </w:tcPr>
          <w:p>
            <w:r>
              <w:rPr>
                <w:rFonts w:ascii="Times New Roman" w:hAnsi="Times New Roman"/>
                <w:sz w:val="22"/>
              </w:rPr>
              <w:t>~10</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28</w:t>
            </w:r>
          </w:p>
        </w:tc>
      </w:tr>
      <w:tr>
        <w:tc>
          <w:tcPr>
            <w:tcW w:type="dxa" w:w="1337"/>
          </w:tcPr>
          <w:p>
            <w:r>
              <w:rPr>
                <w:rFonts w:ascii="Times New Roman" w:hAnsi="Times New Roman"/>
                <w:sz w:val="22"/>
              </w:rPr>
              <w:t>**Scalability (&gt;50,000 plasmids)**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r>
    </w:tbl>
    <w:p/>
    <w:p>
      <w:pPr>
        <w:spacing w:after="120" w:before="0" w:line="480" w:lineRule="auto"/>
      </w:pPr>
      <w:r>
        <w:rPr>
          <w:rFonts w:ascii="Times New Roman" w:hAnsi="Times New Roman"/>
          <w:b w:val="0"/>
          <w:i w:val="0"/>
          <w:sz w:val="24"/>
        </w:rPr>
        <w:t>\* MOB-suite and COPLA reassign cluster identifiers with each database update, precluding longitudinal surveillance.</w:t>
      </w:r>
    </w:p>
    <w:p>
      <w:pPr>
        <w:spacing w:after="120" w:before="0" w:line="480" w:lineRule="auto"/>
      </w:pP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 xml:space="preserve"> pLIN operates reference-free for 4-mer computation and hierarchical clustering; the Inc group classifier requires the reference database.</w:t>
      </w:r>
    </w:p>
    <w:p>
      <w:pPr>
        <w:spacing w:after="120" w:before="0" w:line="480" w:lineRule="auto"/>
      </w:pPr>
      <w:r>
        <w:rPr>
          <w:rFonts w:ascii="Times New Roman" w:hAnsi="Times New Roman"/>
          <w:b w:val="0"/>
          <w:i w:val="0"/>
          <w:sz w:val="24"/>
        </w:rPr>
        <w:t>NA = not applicable or not reported.</w:t>
      </w:r>
    </w:p>
    <w:p/>
    <w:p>
      <w:pPr>
        <w:pStyle w:val="Heading1"/>
      </w:pPr>
      <w:r>
        <w:rPr>
          <w:rFonts w:ascii="Times New Roman" w:hAnsi="Times New Roman"/>
          <w:sz w:val="36"/>
        </w:rPr>
        <w:t>Table 2: pLIN hierarchical threshold definitions</w:t>
      </w:r>
    </w:p>
    <w:p>
      <w:pPr>
        <w:spacing w:after="120" w:before="0" w:line="480" w:lineRule="auto"/>
      </w:pPr>
      <w:r>
        <w:rPr>
          <w:rFonts w:ascii="Times New Roman" w:hAnsi="Times New Roman"/>
          <w:b w:val="0"/>
          <w:i w:val="0"/>
          <w:sz w:val="24"/>
        </w:rPr>
        <w:t>Six cosine distance thresholds define the hierarchical levels of the pLIN classification system. Thresholds were initially calibrated using the nearest-neighbour distance distribution of 178 IncX-like reference plasmids and validated against FastANI across 4,970 plasmid pairs from all 20 Inc groups.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Level</w:t>
            </w:r>
          </w:p>
        </w:tc>
        <w:tc>
          <w:tcPr>
            <w:tcW w:type="dxa" w:w="1560"/>
            <w:shd w:val="clear" w:color="auto" w:fill="2F5496"/>
          </w:tcPr>
          <w:p>
            <w:pPr>
              <w:jc w:val="center"/>
            </w:pPr>
            <w:r>
              <w:rPr>
                <w:rFonts w:ascii="Times New Roman" w:hAnsi="Times New Roman"/>
                <w:b/>
                <w:color w:val="FFFFFF"/>
                <w:sz w:val="22"/>
              </w:rPr>
              <w:t>Cosine distance (d)</w:t>
            </w:r>
          </w:p>
        </w:tc>
        <w:tc>
          <w:tcPr>
            <w:tcW w:type="dxa" w:w="1560"/>
            <w:shd w:val="clear" w:color="auto" w:fill="2F5496"/>
          </w:tcPr>
          <w:p>
            <w:pPr>
              <w:jc w:val="center"/>
            </w:pPr>
            <w:r>
              <w:rPr>
                <w:rFonts w:ascii="Times New Roman" w:hAnsi="Times New Roman"/>
                <w:b/>
                <w:color w:val="FFFFFF"/>
                <w:sz w:val="22"/>
              </w:rPr>
              <w:t>Approximate ANI</w:t>
            </w:r>
          </w:p>
        </w:tc>
        <w:tc>
          <w:tcPr>
            <w:tcW w:type="dxa" w:w="1560"/>
            <w:shd w:val="clear" w:color="auto" w:fill="2F5496"/>
          </w:tcPr>
          <w:p>
            <w:pPr>
              <w:jc w:val="center"/>
            </w:pPr>
            <w:r>
              <w:rPr>
                <w:rFonts w:ascii="Times New Roman" w:hAnsi="Times New Roman"/>
                <w:b/>
                <w:color w:val="FFFFFF"/>
                <w:sz w:val="22"/>
              </w:rPr>
              <w:t>Taxonomic analogy</w:t>
            </w:r>
          </w:p>
        </w:tc>
        <w:tc>
          <w:tcPr>
            <w:tcW w:type="dxa" w:w="1560"/>
            <w:shd w:val="clear" w:color="auto" w:fill="2F5496"/>
          </w:tcPr>
          <w:p>
            <w:pPr>
              <w:jc w:val="center"/>
            </w:pPr>
            <w:r>
              <w:rPr>
                <w:rFonts w:ascii="Times New Roman" w:hAnsi="Times New Roman"/>
                <w:b/>
                <w:color w:val="FFFFFF"/>
                <w:sz w:val="22"/>
              </w:rPr>
              <w:t>Clinical interpretation</w:t>
            </w:r>
          </w:p>
        </w:tc>
        <w:tc>
          <w:tcPr>
            <w:tcW w:type="dxa" w:w="1560"/>
            <w:shd w:val="clear" w:color="auto" w:fill="2F5496"/>
          </w:tcPr>
          <w:p>
            <w:pPr>
              <w:jc w:val="center"/>
            </w:pPr>
            <w:r>
              <w:rPr>
                <w:rFonts w:ascii="Times New Roman" w:hAnsi="Times New Roman"/>
                <w:b/>
                <w:color w:val="FFFFFF"/>
                <w:sz w:val="22"/>
              </w:rPr>
              <w:t>Calibration quantile</w:t>
            </w:r>
          </w:p>
        </w:tc>
      </w:tr>
      <w:tr>
        <w:tc>
          <w:tcPr>
            <w:tcW w:type="dxa" w:w="1560"/>
          </w:tcPr>
          <w:p>
            <w:r>
              <w:rPr>
                <w:rFonts w:ascii="Times New Roman" w:hAnsi="Times New Roman"/>
                <w:sz w:val="22"/>
              </w:rPr>
              <w:t>L1</w:t>
            </w:r>
          </w:p>
        </w:tc>
        <w:tc>
          <w:tcPr>
            <w:tcW w:type="dxa" w:w="1560"/>
          </w:tcPr>
          <w:p>
            <w:r>
              <w:rPr>
                <w:rFonts w:ascii="Times New Roman" w:hAnsi="Times New Roman"/>
                <w:sz w:val="22"/>
              </w:rPr>
              <w:t>&lt;=0.150</w:t>
            </w:r>
          </w:p>
        </w:tc>
        <w:tc>
          <w:tcPr>
            <w:tcW w:type="dxa" w:w="1560"/>
          </w:tcPr>
          <w:p>
            <w:r>
              <w:rPr>
                <w:rFonts w:ascii="Times New Roman" w:hAnsi="Times New Roman"/>
                <w:sz w:val="22"/>
              </w:rPr>
              <w:t>~85%</w:t>
            </w:r>
          </w:p>
        </w:tc>
        <w:tc>
          <w:tcPr>
            <w:tcW w:type="dxa" w:w="1560"/>
          </w:tcPr>
          <w:p>
            <w:r>
              <w:rPr>
                <w:rFonts w:ascii="Times New Roman" w:hAnsi="Times New Roman"/>
                <w:sz w:val="22"/>
              </w:rPr>
              <w:t>Plasmid superfamily</w:t>
            </w:r>
          </w:p>
        </w:tc>
        <w:tc>
          <w:tcPr>
            <w:tcW w:type="dxa" w:w="1560"/>
          </w:tcPr>
          <w:p>
            <w:r>
              <w:rPr>
                <w:rFonts w:ascii="Times New Roman" w:hAnsi="Times New Roman"/>
                <w:sz w:val="22"/>
              </w:rPr>
              <w:t>Broad plasmid family identification; incompatibility group-level</w:t>
            </w:r>
          </w:p>
        </w:tc>
        <w:tc>
          <w:tcPr>
            <w:tcW w:type="dxa" w:w="1560"/>
          </w:tcPr>
          <w:p>
            <w:r>
              <w:rPr>
                <w:rFonts w:ascii="Times New Roman" w:hAnsi="Times New Roman"/>
                <w:sz w:val="22"/>
              </w:rPr>
              <w:t>99th percentile</w:t>
            </w:r>
          </w:p>
        </w:tc>
      </w:tr>
      <w:tr>
        <w:tc>
          <w:tcPr>
            <w:tcW w:type="dxa" w:w="1560"/>
          </w:tcPr>
          <w:p>
            <w:r>
              <w:rPr>
                <w:rFonts w:ascii="Times New Roman" w:hAnsi="Times New Roman"/>
                <w:sz w:val="22"/>
              </w:rPr>
              <w:t>L2</w:t>
            </w:r>
          </w:p>
        </w:tc>
        <w:tc>
          <w:tcPr>
            <w:tcW w:type="dxa" w:w="1560"/>
          </w:tcPr>
          <w:p>
            <w:r>
              <w:rPr>
                <w:rFonts w:ascii="Times New Roman" w:hAnsi="Times New Roman"/>
                <w:sz w:val="22"/>
              </w:rPr>
              <w:t>&lt;=0.100</w:t>
            </w:r>
          </w:p>
        </w:tc>
        <w:tc>
          <w:tcPr>
            <w:tcW w:type="dxa" w:w="1560"/>
          </w:tcPr>
          <w:p>
            <w:r>
              <w:rPr>
                <w:rFonts w:ascii="Times New Roman" w:hAnsi="Times New Roman"/>
                <w:sz w:val="22"/>
              </w:rPr>
              <w:t>~90%</w:t>
            </w:r>
          </w:p>
        </w:tc>
        <w:tc>
          <w:tcPr>
            <w:tcW w:type="dxa" w:w="1560"/>
          </w:tcPr>
          <w:p>
            <w:r>
              <w:rPr>
                <w:rFonts w:ascii="Times New Roman" w:hAnsi="Times New Roman"/>
                <w:sz w:val="22"/>
              </w:rPr>
              <w:t>Major lineage</w:t>
            </w:r>
          </w:p>
        </w:tc>
        <w:tc>
          <w:tcPr>
            <w:tcW w:type="dxa" w:w="1560"/>
          </w:tcPr>
          <w:p>
            <w:r>
              <w:rPr>
                <w:rFonts w:ascii="Times New Roman" w:hAnsi="Times New Roman"/>
                <w:sz w:val="22"/>
              </w:rPr>
              <w:t>Epidemiological lineage grouping; regional surveillance</w:t>
            </w:r>
          </w:p>
        </w:tc>
        <w:tc>
          <w:tcPr>
            <w:tcW w:type="dxa" w:w="1560"/>
          </w:tcPr>
          <w:p>
            <w:r>
              <w:rPr>
                <w:rFonts w:ascii="Times New Roman" w:hAnsi="Times New Roman"/>
                <w:sz w:val="22"/>
              </w:rPr>
              <w:t>95th--99th percentile</w:t>
            </w:r>
          </w:p>
        </w:tc>
      </w:tr>
      <w:tr>
        <w:tc>
          <w:tcPr>
            <w:tcW w:type="dxa" w:w="1560"/>
          </w:tcPr>
          <w:p>
            <w:r>
              <w:rPr>
                <w:rFonts w:ascii="Times New Roman" w:hAnsi="Times New Roman"/>
                <w:sz w:val="22"/>
              </w:rPr>
              <w:t>L3</w:t>
            </w:r>
          </w:p>
        </w:tc>
        <w:tc>
          <w:tcPr>
            <w:tcW w:type="dxa" w:w="1560"/>
          </w:tcPr>
          <w:p>
            <w:r>
              <w:rPr>
                <w:rFonts w:ascii="Times New Roman" w:hAnsi="Times New Roman"/>
                <w:sz w:val="22"/>
              </w:rPr>
              <w:t>&lt;=0.050</w:t>
            </w:r>
          </w:p>
        </w:tc>
        <w:tc>
          <w:tcPr>
            <w:tcW w:type="dxa" w:w="1560"/>
          </w:tcPr>
          <w:p>
            <w:r>
              <w:rPr>
                <w:rFonts w:ascii="Times New Roman" w:hAnsi="Times New Roman"/>
                <w:sz w:val="22"/>
              </w:rPr>
              <w:t>~95%</w:t>
            </w:r>
          </w:p>
        </w:tc>
        <w:tc>
          <w:tcPr>
            <w:tcW w:type="dxa" w:w="1560"/>
          </w:tcPr>
          <w:p>
            <w:r>
              <w:rPr>
                <w:rFonts w:ascii="Times New Roman" w:hAnsi="Times New Roman"/>
                <w:sz w:val="22"/>
              </w:rPr>
              <w:t>Species-level cluster</w:t>
            </w:r>
          </w:p>
        </w:tc>
        <w:tc>
          <w:tcPr>
            <w:tcW w:type="dxa" w:w="1560"/>
          </w:tcPr>
          <w:p>
            <w:r>
              <w:rPr>
                <w:rFonts w:ascii="Times New Roman" w:hAnsi="Times New Roman"/>
                <w:sz w:val="22"/>
              </w:rPr>
              <w:t>Regional surveillance comparisons; epidemic context</w:t>
            </w:r>
          </w:p>
        </w:tc>
        <w:tc>
          <w:tcPr>
            <w:tcW w:type="dxa" w:w="1560"/>
          </w:tcPr>
          <w:p>
            <w:r>
              <w:rPr>
                <w:rFonts w:ascii="Times New Roman" w:hAnsi="Times New Roman"/>
                <w:sz w:val="22"/>
              </w:rPr>
              <w:t>95th percentile (d=0.048)</w:t>
            </w:r>
          </w:p>
        </w:tc>
      </w:tr>
      <w:tr>
        <w:tc>
          <w:tcPr>
            <w:tcW w:type="dxa" w:w="1560"/>
          </w:tcPr>
          <w:p>
            <w:r>
              <w:rPr>
                <w:rFonts w:ascii="Times New Roman" w:hAnsi="Times New Roman"/>
                <w:sz w:val="22"/>
              </w:rPr>
              <w:t>L4</w:t>
            </w:r>
          </w:p>
        </w:tc>
        <w:tc>
          <w:tcPr>
            <w:tcW w:type="dxa" w:w="1560"/>
          </w:tcPr>
          <w:p>
            <w:r>
              <w:rPr>
                <w:rFonts w:ascii="Times New Roman" w:hAnsi="Times New Roman"/>
                <w:sz w:val="22"/>
              </w:rPr>
              <w:t>&lt;=0.020</w:t>
            </w:r>
          </w:p>
        </w:tc>
        <w:tc>
          <w:tcPr>
            <w:tcW w:type="dxa" w:w="1560"/>
          </w:tcPr>
          <w:p>
            <w:r>
              <w:rPr>
                <w:rFonts w:ascii="Times New Roman" w:hAnsi="Times New Roman"/>
                <w:sz w:val="22"/>
              </w:rPr>
              <w:t>~98%</w:t>
            </w:r>
          </w:p>
        </w:tc>
        <w:tc>
          <w:tcPr>
            <w:tcW w:type="dxa" w:w="1560"/>
          </w:tcPr>
          <w:p>
            <w:r>
              <w:rPr>
                <w:rFonts w:ascii="Times New Roman" w:hAnsi="Times New Roman"/>
                <w:sz w:val="22"/>
              </w:rPr>
              <w:t>Sublineage</w:t>
            </w:r>
          </w:p>
        </w:tc>
        <w:tc>
          <w:tcPr>
            <w:tcW w:type="dxa" w:w="1560"/>
          </w:tcPr>
          <w:p>
            <w:r>
              <w:rPr>
                <w:rFonts w:ascii="Times New Roman" w:hAnsi="Times New Roman"/>
                <w:sz w:val="22"/>
              </w:rPr>
              <w:t>Inter-hospital transmission tracking</w:t>
            </w:r>
          </w:p>
        </w:tc>
        <w:tc>
          <w:tcPr>
            <w:tcW w:type="dxa" w:w="1560"/>
          </w:tcPr>
          <w:p>
            <w:r>
              <w:rPr>
                <w:rFonts w:ascii="Times New Roman" w:hAnsi="Times New Roman"/>
                <w:sz w:val="22"/>
              </w:rPr>
              <w:t>75th percentile (d=0.025)</w:t>
            </w:r>
          </w:p>
        </w:tc>
      </w:tr>
      <w:tr>
        <w:tc>
          <w:tcPr>
            <w:tcW w:type="dxa" w:w="1560"/>
          </w:tcPr>
          <w:p>
            <w:r>
              <w:rPr>
                <w:rFonts w:ascii="Times New Roman" w:hAnsi="Times New Roman"/>
                <w:sz w:val="22"/>
              </w:rPr>
              <w:t>L5</w:t>
            </w:r>
          </w:p>
        </w:tc>
        <w:tc>
          <w:tcPr>
            <w:tcW w:type="dxa" w:w="1560"/>
          </w:tcPr>
          <w:p>
            <w:r>
              <w:rPr>
                <w:rFonts w:ascii="Times New Roman" w:hAnsi="Times New Roman"/>
                <w:sz w:val="22"/>
              </w:rPr>
              <w:t>&lt;=0.010</w:t>
            </w:r>
          </w:p>
        </w:tc>
        <w:tc>
          <w:tcPr>
            <w:tcW w:type="dxa" w:w="1560"/>
          </w:tcPr>
          <w:p>
            <w:r>
              <w:rPr>
                <w:rFonts w:ascii="Times New Roman" w:hAnsi="Times New Roman"/>
                <w:sz w:val="22"/>
              </w:rPr>
              <w:t>~99%</w:t>
            </w:r>
          </w:p>
        </w:tc>
        <w:tc>
          <w:tcPr>
            <w:tcW w:type="dxa" w:w="1560"/>
          </w:tcPr>
          <w:p>
            <w:r>
              <w:rPr>
                <w:rFonts w:ascii="Times New Roman" w:hAnsi="Times New Roman"/>
                <w:sz w:val="22"/>
              </w:rPr>
              <w:t>Clone complex</w:t>
            </w:r>
          </w:p>
        </w:tc>
        <w:tc>
          <w:tcPr>
            <w:tcW w:type="dxa" w:w="1560"/>
          </w:tcPr>
          <w:p>
            <w:r>
              <w:rPr>
                <w:rFonts w:ascii="Times New Roman" w:hAnsi="Times New Roman"/>
                <w:sz w:val="22"/>
              </w:rPr>
              <w:t>Intra-hospital transmission investigation; ward-level spread</w:t>
            </w:r>
          </w:p>
        </w:tc>
        <w:tc>
          <w:tcPr>
            <w:tcW w:type="dxa" w:w="1560"/>
          </w:tcPr>
          <w:p>
            <w:r>
              <w:rPr>
                <w:rFonts w:ascii="Times New Roman" w:hAnsi="Times New Roman"/>
                <w:sz w:val="22"/>
              </w:rPr>
              <w:t>Median (d=0.011)</w:t>
            </w:r>
          </w:p>
        </w:tc>
      </w:tr>
      <w:tr>
        <w:tc>
          <w:tcPr>
            <w:tcW w:type="dxa" w:w="1560"/>
          </w:tcPr>
          <w:p>
            <w:r>
              <w:rPr>
                <w:rFonts w:ascii="Times New Roman" w:hAnsi="Times New Roman"/>
                <w:sz w:val="22"/>
              </w:rPr>
              <w:t>L6</w:t>
            </w:r>
          </w:p>
        </w:tc>
        <w:tc>
          <w:tcPr>
            <w:tcW w:type="dxa" w:w="1560"/>
          </w:tcPr>
          <w:p>
            <w:r>
              <w:rPr>
                <w:rFonts w:ascii="Times New Roman" w:hAnsi="Times New Roman"/>
                <w:sz w:val="22"/>
              </w:rPr>
              <w:t>&lt;=0.001</w:t>
            </w:r>
          </w:p>
        </w:tc>
        <w:tc>
          <w:tcPr>
            <w:tcW w:type="dxa" w:w="1560"/>
          </w:tcPr>
          <w:p>
            <w:r>
              <w:rPr>
                <w:rFonts w:ascii="Times New Roman" w:hAnsi="Times New Roman"/>
                <w:sz w:val="22"/>
              </w:rPr>
              <w:t>~99.9%</w:t>
            </w:r>
          </w:p>
        </w:tc>
        <w:tc>
          <w:tcPr>
            <w:tcW w:type="dxa" w:w="1560"/>
          </w:tcPr>
          <w:p>
            <w:r>
              <w:rPr>
                <w:rFonts w:ascii="Times New Roman" w:hAnsi="Times New Roman"/>
                <w:sz w:val="22"/>
              </w:rPr>
              <w:t>Strain / outbreak level</w:t>
            </w:r>
          </w:p>
        </w:tc>
        <w:tc>
          <w:tcPr>
            <w:tcW w:type="dxa" w:w="1560"/>
          </w:tcPr>
          <w:p>
            <w:r>
              <w:rPr>
                <w:rFonts w:ascii="Times New Roman" w:hAnsi="Times New Roman"/>
                <w:sz w:val="22"/>
              </w:rPr>
              <w:t>Outbreak confirmation; infection control action trigger</w:t>
            </w:r>
          </w:p>
        </w:tc>
        <w:tc>
          <w:tcPr>
            <w:tcW w:type="dxa" w:w="1560"/>
          </w:tcPr>
          <w:p>
            <w:r>
              <w:rPr>
                <w:rFonts w:ascii="Times New Roman" w:hAnsi="Times New Roman"/>
                <w:sz w:val="22"/>
              </w:rPr>
              <w:t>25th percentile (d=0.001)</w:t>
            </w:r>
          </w:p>
        </w:tc>
      </w:tr>
    </w:tbl>
    <w:p/>
    <w:p>
      <w:pPr>
        <w:spacing w:after="120" w:before="0" w:line="480" w:lineRule="auto"/>
      </w:pPr>
      <w:r>
        <w:rPr>
          <w:rFonts w:ascii="Times New Roman" w:hAnsi="Times New Roman"/>
          <w:b/>
          <w:i w:val="0"/>
          <w:sz w:val="24"/>
        </w:rPr>
        <w:t>FastANI validation (n=4,970 pairs):</w:t>
      </w:r>
      <w:r>
        <w:rPr>
          <w:rFonts w:ascii="Times New Roman" w:hAnsi="Times New Roman"/>
          <w:b w:val="0"/>
          <w:i w:val="0"/>
          <w:sz w:val="24"/>
        </w:rPr>
        <w:t xml:space="preserve"> At L6 (d&lt;=0.001), median ANI = 99.9% (IQR 98.8--100.0%). Overall Spearman rho = -0.348 (P &lt; 10^-141). Significant per-group correlations (P &lt; 0.001) were observed for 15 of 20 Inc groups; the five non-significant groups (IncX1, IncFII, IncFIBK, IncX4, IncX3) exhibited narrow within-group ANI ranges (&gt;89%), producing a floor effect consistent with high compositional homogeneity.</w:t>
      </w:r>
    </w:p>
    <w:p/>
    <w:p>
      <w:pPr>
        <w:pStyle w:val="Heading1"/>
      </w:pPr>
      <w:r>
        <w:rPr>
          <w:rFonts w:ascii="Times New Roman" w:hAnsi="Times New Roman"/>
          <w:sz w:val="36"/>
        </w:rPr>
        <w:t>Table 3: Training dataset summary -- 6,998 complete plasmid sequences across 20 Inc groups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Inc group</w:t>
            </w:r>
          </w:p>
        </w:tc>
        <w:tc>
          <w:tcPr>
            <w:tcW w:type="dxa" w:w="1337"/>
            <w:shd w:val="clear" w:color="auto" w:fill="2F5496"/>
          </w:tcPr>
          <w:p>
            <w:pPr>
              <w:jc w:val="center"/>
            </w:pPr>
            <w:r>
              <w:rPr>
                <w:rFonts w:ascii="Times New Roman" w:hAnsi="Times New Roman"/>
                <w:b/>
                <w:color w:val="FFFFFF"/>
                <w:sz w:val="22"/>
              </w:rPr>
              <w:t>n</w:t>
            </w:r>
          </w:p>
        </w:tc>
        <w:tc>
          <w:tcPr>
            <w:tcW w:type="dxa" w:w="1337"/>
            <w:shd w:val="clear" w:color="auto" w:fill="2F5496"/>
          </w:tcPr>
          <w:p>
            <w:pPr>
              <w:jc w:val="center"/>
            </w:pPr>
            <w:r>
              <w:rPr>
                <w:rFonts w:ascii="Times New Roman" w:hAnsi="Times New Roman"/>
                <w:b/>
                <w:color w:val="FFFFFF"/>
                <w:sz w:val="22"/>
              </w:rPr>
              <w:t>% of dataset</w:t>
            </w:r>
          </w:p>
        </w:tc>
        <w:tc>
          <w:tcPr>
            <w:tcW w:type="dxa" w:w="1337"/>
            <w:shd w:val="clear" w:color="auto" w:fill="2F5496"/>
          </w:tcPr>
          <w:p>
            <w:pPr>
              <w:jc w:val="center"/>
            </w:pPr>
            <w:r>
              <w:rPr>
                <w:rFonts w:ascii="Times New Roman" w:hAnsi="Times New Roman"/>
                <w:b/>
                <w:color w:val="FFFFFF"/>
                <w:sz w:val="22"/>
              </w:rPr>
              <w:t>Unique pLIN codes (L6)</w:t>
            </w:r>
          </w:p>
        </w:tc>
        <w:tc>
          <w:tcPr>
            <w:tcW w:type="dxa" w:w="1337"/>
            <w:shd w:val="clear" w:color="auto" w:fill="2F5496"/>
          </w:tcPr>
          <w:p>
            <w:pPr>
              <w:jc w:val="center"/>
            </w:pPr>
            <w:r>
              <w:rPr>
                <w:rFonts w:ascii="Times New Roman" w:hAnsi="Times New Roman"/>
                <w:b/>
                <w:color w:val="FFFFFF"/>
                <w:sz w:val="22"/>
              </w:rPr>
              <w:t>AMR carriage (%)</w:t>
            </w:r>
          </w:p>
        </w:tc>
        <w:tc>
          <w:tcPr>
            <w:tcW w:type="dxa" w:w="1337"/>
            <w:shd w:val="clear" w:color="auto" w:fill="2F5496"/>
          </w:tcPr>
          <w:p>
            <w:pPr>
              <w:jc w:val="center"/>
            </w:pPr>
            <w:r>
              <w:rPr>
                <w:rFonts w:ascii="Times New Roman" w:hAnsi="Times New Roman"/>
                <w:b/>
                <w:color w:val="FFFFFF"/>
                <w:sz w:val="22"/>
              </w:rPr>
              <w:t>Mean AMR genes</w:t>
            </w:r>
          </w:p>
        </w:tc>
        <w:tc>
          <w:tcPr>
            <w:tcW w:type="dxa" w:w="1337"/>
            <w:shd w:val="clear" w:color="auto" w:fill="2F5496"/>
          </w:tcPr>
          <w:p>
            <w:pPr>
              <w:jc w:val="center"/>
            </w:pPr>
            <w:r>
              <w:rPr>
                <w:rFonts w:ascii="Times New Roman" w:hAnsi="Times New Roman"/>
                <w:b/>
                <w:color w:val="FFFFFF"/>
                <w:sz w:val="22"/>
              </w:rPr>
              <w:t>Virulence (%)</w:t>
            </w:r>
          </w:p>
        </w:tc>
      </w:tr>
      <w:tr>
        <w:tc>
          <w:tcPr>
            <w:tcW w:type="dxa" w:w="1337"/>
          </w:tcPr>
          <w:p>
            <w:r>
              <w:rPr>
                <w:rFonts w:ascii="Times New Roman" w:hAnsi="Times New Roman"/>
                <w:sz w:val="22"/>
              </w:rPr>
              <w:t>IncFII</w:t>
            </w:r>
          </w:p>
        </w:tc>
        <w:tc>
          <w:tcPr>
            <w:tcW w:type="dxa" w:w="1337"/>
          </w:tcPr>
          <w:p>
            <w:r>
              <w:rPr>
                <w:rFonts w:ascii="Times New Roman" w:hAnsi="Times New Roman"/>
                <w:sz w:val="22"/>
              </w:rPr>
              <w:t>4,629</w:t>
            </w:r>
          </w:p>
        </w:tc>
        <w:tc>
          <w:tcPr>
            <w:tcW w:type="dxa" w:w="1337"/>
          </w:tcPr>
          <w:p>
            <w:r>
              <w:rPr>
                <w:rFonts w:ascii="Times New Roman" w:hAnsi="Times New Roman"/>
                <w:sz w:val="22"/>
              </w:rPr>
              <w:t>66.1</w:t>
            </w:r>
          </w:p>
        </w:tc>
        <w:tc>
          <w:tcPr>
            <w:tcW w:type="dxa" w:w="1337"/>
          </w:tcPr>
          <w:p>
            <w:r>
              <w:rPr>
                <w:rFonts w:ascii="Times New Roman" w:hAnsi="Times New Roman"/>
                <w:sz w:val="22"/>
              </w:rPr>
              <w:t>1,421</w:t>
            </w:r>
          </w:p>
        </w:tc>
        <w:tc>
          <w:tcPr>
            <w:tcW w:type="dxa" w:w="1337"/>
          </w:tcPr>
          <w:p>
            <w:r>
              <w:rPr>
                <w:rFonts w:ascii="Times New Roman" w:hAnsi="Times New Roman"/>
                <w:sz w:val="22"/>
              </w:rPr>
              <w:t>62.3</w:t>
            </w:r>
          </w:p>
        </w:tc>
        <w:tc>
          <w:tcPr>
            <w:tcW w:type="dxa" w:w="1337"/>
          </w:tcPr>
          <w:p>
            <w:r>
              <w:rPr>
                <w:rFonts w:ascii="Times New Roman" w:hAnsi="Times New Roman"/>
                <w:sz w:val="22"/>
              </w:rPr>
              <w:t>4.2</w:t>
            </w:r>
          </w:p>
        </w:tc>
        <w:tc>
          <w:tcPr>
            <w:tcW w:type="dxa" w:w="1337"/>
          </w:tcPr>
          <w:p>
            <w:r>
              <w:rPr>
                <w:rFonts w:ascii="Times New Roman" w:hAnsi="Times New Roman"/>
                <w:sz w:val="22"/>
              </w:rPr>
              <w:t>23.2</w:t>
            </w:r>
          </w:p>
        </w:tc>
      </w:tr>
      <w:tr>
        <w:tc>
          <w:tcPr>
            <w:tcW w:type="dxa" w:w="1337"/>
          </w:tcPr>
          <w:p>
            <w:r>
              <w:rPr>
                <w:rFonts w:ascii="Times New Roman" w:hAnsi="Times New Roman"/>
                <w:sz w:val="22"/>
              </w:rPr>
              <w:t>IncN</w:t>
            </w:r>
          </w:p>
        </w:tc>
        <w:tc>
          <w:tcPr>
            <w:tcW w:type="dxa" w:w="1337"/>
          </w:tcPr>
          <w:p>
            <w:r>
              <w:rPr>
                <w:rFonts w:ascii="Times New Roman" w:hAnsi="Times New Roman"/>
                <w:sz w:val="22"/>
              </w:rPr>
              <w:t>1,097</w:t>
            </w:r>
          </w:p>
        </w:tc>
        <w:tc>
          <w:tcPr>
            <w:tcW w:type="dxa" w:w="1337"/>
          </w:tcPr>
          <w:p>
            <w:r>
              <w:rPr>
                <w:rFonts w:ascii="Times New Roman" w:hAnsi="Times New Roman"/>
                <w:sz w:val="22"/>
              </w:rPr>
              <w:t>15.7</w:t>
            </w:r>
          </w:p>
        </w:tc>
        <w:tc>
          <w:tcPr>
            <w:tcW w:type="dxa" w:w="1337"/>
          </w:tcPr>
          <w:p>
            <w:r>
              <w:rPr>
                <w:rFonts w:ascii="Times New Roman" w:hAnsi="Times New Roman"/>
                <w:sz w:val="22"/>
              </w:rPr>
              <w:t>431</w:t>
            </w:r>
          </w:p>
        </w:tc>
        <w:tc>
          <w:tcPr>
            <w:tcW w:type="dxa" w:w="1337"/>
          </w:tcPr>
          <w:p>
            <w:r>
              <w:rPr>
                <w:rFonts w:ascii="Times New Roman" w:hAnsi="Times New Roman"/>
                <w:sz w:val="22"/>
              </w:rPr>
              <w:t>82.5</w:t>
            </w:r>
          </w:p>
        </w:tc>
        <w:tc>
          <w:tcPr>
            <w:tcW w:type="dxa" w:w="1337"/>
          </w:tcPr>
          <w:p>
            <w:r>
              <w:rPr>
                <w:rFonts w:ascii="Times New Roman" w:hAnsi="Times New Roman"/>
                <w:sz w:val="22"/>
              </w:rPr>
              <w:t>6.0</w:t>
            </w:r>
          </w:p>
        </w:tc>
        <w:tc>
          <w:tcPr>
            <w:tcW w:type="dxa" w:w="1337"/>
          </w:tcPr>
          <w:p>
            <w:r>
              <w:rPr>
                <w:rFonts w:ascii="Times New Roman" w:hAnsi="Times New Roman"/>
                <w:sz w:val="22"/>
              </w:rPr>
              <w:t>3.8</w:t>
            </w:r>
          </w:p>
        </w:tc>
      </w:tr>
      <w:tr>
        <w:tc>
          <w:tcPr>
            <w:tcW w:type="dxa" w:w="1337"/>
          </w:tcPr>
          <w:p>
            <w:r>
              <w:rPr>
                <w:rFonts w:ascii="Times New Roman" w:hAnsi="Times New Roman"/>
                <w:sz w:val="22"/>
              </w:rPr>
              <w:t>IncX1</w:t>
            </w:r>
          </w:p>
        </w:tc>
        <w:tc>
          <w:tcPr>
            <w:tcW w:type="dxa" w:w="1337"/>
          </w:tcPr>
          <w:p>
            <w:r>
              <w:rPr>
                <w:rFonts w:ascii="Times New Roman" w:hAnsi="Times New Roman"/>
                <w:sz w:val="22"/>
              </w:rPr>
              <w:t>705</w:t>
            </w:r>
          </w:p>
        </w:tc>
        <w:tc>
          <w:tcPr>
            <w:tcW w:type="dxa" w:w="1337"/>
          </w:tcPr>
          <w:p>
            <w:r>
              <w:rPr>
                <w:rFonts w:ascii="Times New Roman" w:hAnsi="Times New Roman"/>
                <w:sz w:val="22"/>
              </w:rPr>
              <w:t>10.1</w:t>
            </w:r>
          </w:p>
        </w:tc>
        <w:tc>
          <w:tcPr>
            <w:tcW w:type="dxa" w:w="1337"/>
          </w:tcPr>
          <w:p>
            <w:r>
              <w:rPr>
                <w:rFonts w:ascii="Times New Roman" w:hAnsi="Times New Roman"/>
                <w:sz w:val="22"/>
              </w:rPr>
              <w:t>420</w:t>
            </w:r>
          </w:p>
        </w:tc>
        <w:tc>
          <w:tcPr>
            <w:tcW w:type="dxa" w:w="1337"/>
          </w:tcPr>
          <w:p>
            <w:r>
              <w:rPr>
                <w:rFonts w:ascii="Times New Roman" w:hAnsi="Times New Roman"/>
                <w:sz w:val="22"/>
              </w:rPr>
              <w:t>71.4</w:t>
            </w:r>
          </w:p>
        </w:tc>
        <w:tc>
          <w:tcPr>
            <w:tcW w:type="dxa" w:w="1337"/>
          </w:tcPr>
          <w:p>
            <w:r>
              <w:rPr>
                <w:rFonts w:ascii="Times New Roman" w:hAnsi="Times New Roman"/>
                <w:sz w:val="22"/>
              </w:rPr>
              <w:t>5.1</w:t>
            </w:r>
          </w:p>
        </w:tc>
        <w:tc>
          <w:tcPr>
            <w:tcW w:type="dxa" w:w="1337"/>
          </w:tcPr>
          <w:p>
            <w:r>
              <w:rPr>
                <w:rFonts w:ascii="Times New Roman" w:hAnsi="Times New Roman"/>
                <w:sz w:val="22"/>
              </w:rPr>
              <w:t>8.6</w:t>
            </w:r>
          </w:p>
        </w:tc>
      </w:tr>
      <w:tr>
        <w:tc>
          <w:tcPr>
            <w:tcW w:type="dxa" w:w="1337"/>
          </w:tcPr>
          <w:p>
            <w:r>
              <w:rPr>
                <w:rFonts w:ascii="Times New Roman" w:hAnsi="Times New Roman"/>
                <w:sz w:val="22"/>
              </w:rPr>
              <w:t>IncFIB</w:t>
            </w:r>
          </w:p>
        </w:tc>
        <w:tc>
          <w:tcPr>
            <w:tcW w:type="dxa" w:w="1337"/>
          </w:tcPr>
          <w:p>
            <w:r>
              <w:rPr>
                <w:rFonts w:ascii="Times New Roman" w:hAnsi="Times New Roman"/>
                <w:sz w:val="22"/>
              </w:rPr>
              <w:t>97</w:t>
            </w:r>
          </w:p>
        </w:tc>
        <w:tc>
          <w:tcPr>
            <w:tcW w:type="dxa" w:w="1337"/>
          </w:tcPr>
          <w:p>
            <w:r>
              <w:rPr>
                <w:rFonts w:ascii="Times New Roman" w:hAnsi="Times New Roman"/>
                <w:sz w:val="22"/>
              </w:rPr>
              <w:t>1.4</w:t>
            </w:r>
          </w:p>
        </w:tc>
        <w:tc>
          <w:tcPr>
            <w:tcW w:type="dxa" w:w="1337"/>
          </w:tcPr>
          <w:p>
            <w:r>
              <w:rPr>
                <w:rFonts w:ascii="Times New Roman" w:hAnsi="Times New Roman"/>
                <w:sz w:val="22"/>
              </w:rPr>
              <w:t>42</w:t>
            </w:r>
          </w:p>
        </w:tc>
        <w:tc>
          <w:tcPr>
            <w:tcW w:type="dxa" w:w="1337"/>
          </w:tcPr>
          <w:p>
            <w:r>
              <w:rPr>
                <w:rFonts w:ascii="Times New Roman" w:hAnsi="Times New Roman"/>
                <w:sz w:val="22"/>
              </w:rPr>
              <w:t>68.0</w:t>
            </w:r>
          </w:p>
        </w:tc>
        <w:tc>
          <w:tcPr>
            <w:tcW w:type="dxa" w:w="1337"/>
          </w:tcPr>
          <w:p>
            <w:r>
              <w:rPr>
                <w:rFonts w:ascii="Times New Roman" w:hAnsi="Times New Roman"/>
                <w:sz w:val="22"/>
              </w:rPr>
              <w:t>4.8</w:t>
            </w:r>
          </w:p>
        </w:tc>
        <w:tc>
          <w:tcPr>
            <w:tcW w:type="dxa" w:w="1337"/>
          </w:tcPr>
          <w:p>
            <w:r>
              <w:rPr>
                <w:rFonts w:ascii="Times New Roman" w:hAnsi="Times New Roman"/>
                <w:sz w:val="22"/>
              </w:rPr>
              <w:t>15.5</w:t>
            </w:r>
          </w:p>
        </w:tc>
      </w:tr>
      <w:tr>
        <w:tc>
          <w:tcPr>
            <w:tcW w:type="dxa" w:w="1337"/>
          </w:tcPr>
          <w:p>
            <w:r>
              <w:rPr>
                <w:rFonts w:ascii="Times New Roman" w:hAnsi="Times New Roman"/>
                <w:sz w:val="22"/>
              </w:rPr>
              <w:t>ColRNAI</w:t>
            </w:r>
          </w:p>
        </w:tc>
        <w:tc>
          <w:tcPr>
            <w:tcW w:type="dxa" w:w="1337"/>
          </w:tcPr>
          <w:p>
            <w:r>
              <w:rPr>
                <w:rFonts w:ascii="Times New Roman" w:hAnsi="Times New Roman"/>
                <w:sz w:val="22"/>
              </w:rPr>
              <w:t>91</w:t>
            </w:r>
          </w:p>
        </w:tc>
        <w:tc>
          <w:tcPr>
            <w:tcW w:type="dxa" w:w="1337"/>
          </w:tcPr>
          <w:p>
            <w:r>
              <w:rPr>
                <w:rFonts w:ascii="Times New Roman" w:hAnsi="Times New Roman"/>
                <w:sz w:val="22"/>
              </w:rPr>
              <w:t>1.3</w:t>
            </w:r>
          </w:p>
        </w:tc>
        <w:tc>
          <w:tcPr>
            <w:tcW w:type="dxa" w:w="1337"/>
          </w:tcPr>
          <w:p>
            <w:r>
              <w:rPr>
                <w:rFonts w:ascii="Times New Roman" w:hAnsi="Times New Roman"/>
                <w:sz w:val="22"/>
              </w:rPr>
              <w:t>38</w:t>
            </w:r>
          </w:p>
        </w:tc>
        <w:tc>
          <w:tcPr>
            <w:tcW w:type="dxa" w:w="1337"/>
          </w:tcPr>
          <w:p>
            <w:r>
              <w:rPr>
                <w:rFonts w:ascii="Times New Roman" w:hAnsi="Times New Roman"/>
                <w:sz w:val="22"/>
              </w:rPr>
              <w:t>45.1</w:t>
            </w:r>
          </w:p>
        </w:tc>
        <w:tc>
          <w:tcPr>
            <w:tcW w:type="dxa" w:w="1337"/>
          </w:tcPr>
          <w:p>
            <w:r>
              <w:rPr>
                <w:rFonts w:ascii="Times New Roman" w:hAnsi="Times New Roman"/>
                <w:sz w:val="22"/>
              </w:rPr>
              <w:t>1.8</w:t>
            </w:r>
          </w:p>
        </w:tc>
        <w:tc>
          <w:tcPr>
            <w:tcW w:type="dxa" w:w="1337"/>
          </w:tcPr>
          <w:p>
            <w:r>
              <w:rPr>
                <w:rFonts w:ascii="Times New Roman" w:hAnsi="Times New Roman"/>
                <w:sz w:val="22"/>
              </w:rPr>
              <w:t>2.2</w:t>
            </w:r>
          </w:p>
        </w:tc>
      </w:tr>
      <w:tr>
        <w:tc>
          <w:tcPr>
            <w:tcW w:type="dxa" w:w="1337"/>
          </w:tcPr>
          <w:p>
            <w:r>
              <w:rPr>
                <w:rFonts w:ascii="Times New Roman" w:hAnsi="Times New Roman"/>
                <w:sz w:val="22"/>
              </w:rPr>
              <w:t>IncF</w:t>
            </w:r>
          </w:p>
        </w:tc>
        <w:tc>
          <w:tcPr>
            <w:tcW w:type="dxa" w:w="1337"/>
          </w:tcPr>
          <w:p>
            <w:r>
              <w:rPr>
                <w:rFonts w:ascii="Times New Roman" w:hAnsi="Times New Roman"/>
                <w:sz w:val="22"/>
              </w:rPr>
              <w:t>75</w:t>
            </w:r>
          </w:p>
        </w:tc>
        <w:tc>
          <w:tcPr>
            <w:tcW w:type="dxa" w:w="1337"/>
          </w:tcPr>
          <w:p>
            <w:r>
              <w:rPr>
                <w:rFonts w:ascii="Times New Roman" w:hAnsi="Times New Roman"/>
                <w:sz w:val="22"/>
              </w:rPr>
              <w:t>1.1</w:t>
            </w:r>
          </w:p>
        </w:tc>
        <w:tc>
          <w:tcPr>
            <w:tcW w:type="dxa" w:w="1337"/>
          </w:tcPr>
          <w:p>
            <w:r>
              <w:rPr>
                <w:rFonts w:ascii="Times New Roman" w:hAnsi="Times New Roman"/>
                <w:sz w:val="22"/>
              </w:rPr>
              <w:t>31</w:t>
            </w:r>
          </w:p>
        </w:tc>
        <w:tc>
          <w:tcPr>
            <w:tcW w:type="dxa" w:w="1337"/>
          </w:tcPr>
          <w:p>
            <w:r>
              <w:rPr>
                <w:rFonts w:ascii="Times New Roman" w:hAnsi="Times New Roman"/>
                <w:sz w:val="22"/>
              </w:rPr>
              <w:t>72.0</w:t>
            </w:r>
          </w:p>
        </w:tc>
        <w:tc>
          <w:tcPr>
            <w:tcW w:type="dxa" w:w="1337"/>
          </w:tcPr>
          <w:p>
            <w:r>
              <w:rPr>
                <w:rFonts w:ascii="Times New Roman" w:hAnsi="Times New Roman"/>
                <w:sz w:val="22"/>
              </w:rPr>
              <w:t>5.3</w:t>
            </w:r>
          </w:p>
        </w:tc>
        <w:tc>
          <w:tcPr>
            <w:tcW w:type="dxa" w:w="1337"/>
          </w:tcPr>
          <w:p>
            <w:r>
              <w:rPr>
                <w:rFonts w:ascii="Times New Roman" w:hAnsi="Times New Roman"/>
                <w:sz w:val="22"/>
              </w:rPr>
              <w:t>18.7</w:t>
            </w:r>
          </w:p>
        </w:tc>
      </w:tr>
      <w:tr>
        <w:tc>
          <w:tcPr>
            <w:tcW w:type="dxa" w:w="1337"/>
          </w:tcPr>
          <w:p>
            <w:r>
              <w:rPr>
                <w:rFonts w:ascii="Times New Roman" w:hAnsi="Times New Roman"/>
                <w:sz w:val="22"/>
              </w:rPr>
              <w:t>IncX3</w:t>
            </w:r>
          </w:p>
        </w:tc>
        <w:tc>
          <w:tcPr>
            <w:tcW w:type="dxa" w:w="1337"/>
          </w:tcPr>
          <w:p>
            <w:r>
              <w:rPr>
                <w:rFonts w:ascii="Times New Roman" w:hAnsi="Times New Roman"/>
                <w:sz w:val="22"/>
              </w:rPr>
              <w:t>56</w:t>
            </w:r>
          </w:p>
        </w:tc>
        <w:tc>
          <w:tcPr>
            <w:tcW w:type="dxa" w:w="1337"/>
          </w:tcPr>
          <w:p>
            <w:r>
              <w:rPr>
                <w:rFonts w:ascii="Times New Roman" w:hAnsi="Times New Roman"/>
                <w:sz w:val="22"/>
              </w:rPr>
              <w:t>0.8</w:t>
            </w:r>
          </w:p>
        </w:tc>
        <w:tc>
          <w:tcPr>
            <w:tcW w:type="dxa" w:w="1337"/>
          </w:tcPr>
          <w:p>
            <w:r>
              <w:rPr>
                <w:rFonts w:ascii="Times New Roman" w:hAnsi="Times New Roman"/>
                <w:sz w:val="22"/>
              </w:rPr>
              <w:t>24</w:t>
            </w:r>
          </w:p>
        </w:tc>
        <w:tc>
          <w:tcPr>
            <w:tcW w:type="dxa" w:w="1337"/>
          </w:tcPr>
          <w:p>
            <w:r>
              <w:rPr>
                <w:rFonts w:ascii="Times New Roman" w:hAnsi="Times New Roman"/>
                <w:sz w:val="22"/>
              </w:rPr>
              <w:t>87.5</w:t>
            </w:r>
          </w:p>
        </w:tc>
        <w:tc>
          <w:tcPr>
            <w:tcW w:type="dxa" w:w="1337"/>
          </w:tcPr>
          <w:p>
            <w:r>
              <w:rPr>
                <w:rFonts w:ascii="Times New Roman" w:hAnsi="Times New Roman"/>
                <w:sz w:val="22"/>
              </w:rPr>
              <w:t>3.9</w:t>
            </w:r>
          </w:p>
        </w:tc>
        <w:tc>
          <w:tcPr>
            <w:tcW w:type="dxa" w:w="1337"/>
          </w:tcPr>
          <w:p>
            <w:r>
              <w:rPr>
                <w:rFonts w:ascii="Times New Roman" w:hAnsi="Times New Roman"/>
                <w:sz w:val="22"/>
              </w:rPr>
              <w:t>1.8</w:t>
            </w:r>
          </w:p>
        </w:tc>
      </w:tr>
      <w:tr>
        <w:tc>
          <w:tcPr>
            <w:tcW w:type="dxa" w:w="1337"/>
          </w:tcPr>
          <w:p>
            <w:r>
              <w:rPr>
                <w:rFonts w:ascii="Times New Roman" w:hAnsi="Times New Roman"/>
                <w:sz w:val="22"/>
              </w:rPr>
              <w:t>IncHI2</w:t>
            </w:r>
          </w:p>
        </w:tc>
        <w:tc>
          <w:tcPr>
            <w:tcW w:type="dxa" w:w="1337"/>
          </w:tcPr>
          <w:p>
            <w:r>
              <w:rPr>
                <w:rFonts w:ascii="Times New Roman" w:hAnsi="Times New Roman"/>
                <w:sz w:val="22"/>
              </w:rPr>
              <w:t>36</w:t>
            </w:r>
          </w:p>
        </w:tc>
        <w:tc>
          <w:tcPr>
            <w:tcW w:type="dxa" w:w="1337"/>
          </w:tcPr>
          <w:p>
            <w:r>
              <w:rPr>
                <w:rFonts w:ascii="Times New Roman" w:hAnsi="Times New Roman"/>
                <w:sz w:val="22"/>
              </w:rPr>
              <w:t>0.5</w:t>
            </w:r>
          </w:p>
        </w:tc>
        <w:tc>
          <w:tcPr>
            <w:tcW w:type="dxa" w:w="1337"/>
          </w:tcPr>
          <w:p>
            <w:r>
              <w:rPr>
                <w:rFonts w:ascii="Times New Roman" w:hAnsi="Times New Roman"/>
                <w:sz w:val="22"/>
              </w:rPr>
              <w:t>18</w:t>
            </w:r>
          </w:p>
        </w:tc>
        <w:tc>
          <w:tcPr>
            <w:tcW w:type="dxa" w:w="1337"/>
          </w:tcPr>
          <w:p>
            <w:r>
              <w:rPr>
                <w:rFonts w:ascii="Times New Roman" w:hAnsi="Times New Roman"/>
                <w:sz w:val="22"/>
              </w:rPr>
              <w:t>100.0</w:t>
            </w:r>
          </w:p>
        </w:tc>
        <w:tc>
          <w:tcPr>
            <w:tcW w:type="dxa" w:w="1337"/>
          </w:tcPr>
          <w:p>
            <w:r>
              <w:rPr>
                <w:rFonts w:ascii="Times New Roman" w:hAnsi="Times New Roman"/>
                <w:sz w:val="22"/>
              </w:rPr>
              <w:t>10.8</w:t>
            </w:r>
          </w:p>
        </w:tc>
        <w:tc>
          <w:tcPr>
            <w:tcW w:type="dxa" w:w="1337"/>
          </w:tcPr>
          <w:p>
            <w:r>
              <w:rPr>
                <w:rFonts w:ascii="Times New Roman" w:hAnsi="Times New Roman"/>
                <w:sz w:val="22"/>
              </w:rPr>
              <w:t>5.6</w:t>
            </w:r>
          </w:p>
        </w:tc>
      </w:tr>
      <w:tr>
        <w:tc>
          <w:tcPr>
            <w:tcW w:type="dxa" w:w="1337"/>
          </w:tcPr>
          <w:p>
            <w:r>
              <w:rPr>
                <w:rFonts w:ascii="Times New Roman" w:hAnsi="Times New Roman"/>
                <w:sz w:val="22"/>
              </w:rPr>
              <w:t>IncI1</w:t>
            </w:r>
          </w:p>
        </w:tc>
        <w:tc>
          <w:tcPr>
            <w:tcW w:type="dxa" w:w="1337"/>
          </w:tcPr>
          <w:p>
            <w:r>
              <w:rPr>
                <w:rFonts w:ascii="Times New Roman" w:hAnsi="Times New Roman"/>
                <w:sz w:val="22"/>
              </w:rPr>
              <w:t>27</w:t>
            </w:r>
          </w:p>
        </w:tc>
        <w:tc>
          <w:tcPr>
            <w:tcW w:type="dxa" w:w="1337"/>
          </w:tcPr>
          <w:p>
            <w:r>
              <w:rPr>
                <w:rFonts w:ascii="Times New Roman" w:hAnsi="Times New Roman"/>
                <w:sz w:val="22"/>
              </w:rPr>
              <w:t>0.4</w:t>
            </w:r>
          </w:p>
        </w:tc>
        <w:tc>
          <w:tcPr>
            <w:tcW w:type="dxa" w:w="1337"/>
          </w:tcPr>
          <w:p>
            <w:r>
              <w:rPr>
                <w:rFonts w:ascii="Times New Roman" w:hAnsi="Times New Roman"/>
                <w:sz w:val="22"/>
              </w:rPr>
              <w:t>14</w:t>
            </w:r>
          </w:p>
        </w:tc>
        <w:tc>
          <w:tcPr>
            <w:tcW w:type="dxa" w:w="1337"/>
          </w:tcPr>
          <w:p>
            <w:r>
              <w:rPr>
                <w:rFonts w:ascii="Times New Roman" w:hAnsi="Times New Roman"/>
                <w:sz w:val="22"/>
              </w:rPr>
              <w:t>85.2</w:t>
            </w:r>
          </w:p>
        </w:tc>
        <w:tc>
          <w:tcPr>
            <w:tcW w:type="dxa" w:w="1337"/>
          </w:tcPr>
          <w:p>
            <w:r>
              <w:rPr>
                <w:rFonts w:ascii="Times New Roman" w:hAnsi="Times New Roman"/>
                <w:sz w:val="22"/>
              </w:rPr>
              <w:t>4.7</w:t>
            </w:r>
          </w:p>
        </w:tc>
        <w:tc>
          <w:tcPr>
            <w:tcW w:type="dxa" w:w="1337"/>
          </w:tcPr>
          <w:p>
            <w:r>
              <w:rPr>
                <w:rFonts w:ascii="Times New Roman" w:hAnsi="Times New Roman"/>
                <w:sz w:val="22"/>
              </w:rPr>
              <w:t>3.7</w:t>
            </w:r>
          </w:p>
        </w:tc>
      </w:tr>
      <w:tr>
        <w:tc>
          <w:tcPr>
            <w:tcW w:type="dxa" w:w="1337"/>
          </w:tcPr>
          <w:p>
            <w:r>
              <w:rPr>
                <w:rFonts w:ascii="Times New Roman" w:hAnsi="Times New Roman"/>
                <w:sz w:val="22"/>
              </w:rPr>
              <w:t>IncI2</w:t>
            </w:r>
          </w:p>
        </w:tc>
        <w:tc>
          <w:tcPr>
            <w:tcW w:type="dxa" w:w="1337"/>
          </w:tcPr>
          <w:p>
            <w:r>
              <w:rPr>
                <w:rFonts w:ascii="Times New Roman" w:hAnsi="Times New Roman"/>
                <w:sz w:val="22"/>
              </w:rPr>
              <w:t>25</w:t>
            </w:r>
          </w:p>
        </w:tc>
        <w:tc>
          <w:tcPr>
            <w:tcW w:type="dxa" w:w="1337"/>
          </w:tcPr>
          <w:p>
            <w:r>
              <w:rPr>
                <w:rFonts w:ascii="Times New Roman" w:hAnsi="Times New Roman"/>
                <w:sz w:val="22"/>
              </w:rPr>
              <w:t>0.4</w:t>
            </w:r>
          </w:p>
        </w:tc>
        <w:tc>
          <w:tcPr>
            <w:tcW w:type="dxa" w:w="1337"/>
          </w:tcPr>
          <w:p>
            <w:r>
              <w:rPr>
                <w:rFonts w:ascii="Times New Roman" w:hAnsi="Times New Roman"/>
                <w:sz w:val="22"/>
              </w:rPr>
              <w:t>13</w:t>
            </w:r>
          </w:p>
        </w:tc>
        <w:tc>
          <w:tcPr>
            <w:tcW w:type="dxa" w:w="1337"/>
          </w:tcPr>
          <w:p>
            <w:r>
              <w:rPr>
                <w:rFonts w:ascii="Times New Roman" w:hAnsi="Times New Roman"/>
                <w:sz w:val="22"/>
              </w:rPr>
              <w:t>80.0</w:t>
            </w:r>
          </w:p>
        </w:tc>
        <w:tc>
          <w:tcPr>
            <w:tcW w:type="dxa" w:w="1337"/>
          </w:tcPr>
          <w:p>
            <w:r>
              <w:rPr>
                <w:rFonts w:ascii="Times New Roman" w:hAnsi="Times New Roman"/>
                <w:sz w:val="22"/>
              </w:rPr>
              <w:t>3.2</w:t>
            </w:r>
          </w:p>
        </w:tc>
        <w:tc>
          <w:tcPr>
            <w:tcW w:type="dxa" w:w="1337"/>
          </w:tcPr>
          <w:p>
            <w:r>
              <w:rPr>
                <w:rFonts w:ascii="Times New Roman" w:hAnsi="Times New Roman"/>
                <w:sz w:val="22"/>
              </w:rPr>
              <w:t>4.0</w:t>
            </w:r>
          </w:p>
        </w:tc>
      </w:tr>
      <w:tr>
        <w:tc>
          <w:tcPr>
            <w:tcW w:type="dxa" w:w="1337"/>
          </w:tcPr>
          <w:p>
            <w:r>
              <w:rPr>
                <w:rFonts w:ascii="Times New Roman" w:hAnsi="Times New Roman"/>
                <w:sz w:val="22"/>
              </w:rPr>
              <w:t>IncX4</w:t>
            </w:r>
          </w:p>
        </w:tc>
        <w:tc>
          <w:tcPr>
            <w:tcW w:type="dxa" w:w="1337"/>
          </w:tcPr>
          <w:p>
            <w:r>
              <w:rPr>
                <w:rFonts w:ascii="Times New Roman" w:hAnsi="Times New Roman"/>
                <w:sz w:val="22"/>
              </w:rPr>
              <w:t>24</w:t>
            </w:r>
          </w:p>
        </w:tc>
        <w:tc>
          <w:tcPr>
            <w:tcW w:type="dxa" w:w="1337"/>
          </w:tcPr>
          <w:p>
            <w:r>
              <w:rPr>
                <w:rFonts w:ascii="Times New Roman" w:hAnsi="Times New Roman"/>
                <w:sz w:val="22"/>
              </w:rPr>
              <w:t>0.3</w:t>
            </w:r>
          </w:p>
        </w:tc>
        <w:tc>
          <w:tcPr>
            <w:tcW w:type="dxa" w:w="1337"/>
          </w:tcPr>
          <w:p>
            <w:r>
              <w:rPr>
                <w:rFonts w:ascii="Times New Roman" w:hAnsi="Times New Roman"/>
                <w:sz w:val="22"/>
              </w:rPr>
              <w:t>12</w:t>
            </w:r>
          </w:p>
        </w:tc>
        <w:tc>
          <w:tcPr>
            <w:tcW w:type="dxa" w:w="1337"/>
          </w:tcPr>
          <w:p>
            <w:r>
              <w:rPr>
                <w:rFonts w:ascii="Times New Roman" w:hAnsi="Times New Roman"/>
                <w:sz w:val="22"/>
              </w:rPr>
              <w:t>66.7</w:t>
            </w:r>
          </w:p>
        </w:tc>
        <w:tc>
          <w:tcPr>
            <w:tcW w:type="dxa" w:w="1337"/>
          </w:tcPr>
          <w:p>
            <w:r>
              <w:rPr>
                <w:rFonts w:ascii="Times New Roman" w:hAnsi="Times New Roman"/>
                <w:sz w:val="22"/>
              </w:rPr>
              <w:t>2.5</w:t>
            </w:r>
          </w:p>
        </w:tc>
        <w:tc>
          <w:tcPr>
            <w:tcW w:type="dxa" w:w="1337"/>
          </w:tcPr>
          <w:p>
            <w:r>
              <w:rPr>
                <w:rFonts w:ascii="Times New Roman" w:hAnsi="Times New Roman"/>
                <w:sz w:val="22"/>
              </w:rPr>
              <w:t>0.0</w:t>
            </w:r>
          </w:p>
        </w:tc>
      </w:tr>
      <w:tr>
        <w:tc>
          <w:tcPr>
            <w:tcW w:type="dxa" w:w="1337"/>
          </w:tcPr>
          <w:p>
            <w:r>
              <w:rPr>
                <w:rFonts w:ascii="Times New Roman" w:hAnsi="Times New Roman"/>
                <w:sz w:val="22"/>
              </w:rPr>
              <w:t>IncR</w:t>
            </w:r>
          </w:p>
        </w:tc>
        <w:tc>
          <w:tcPr>
            <w:tcW w:type="dxa" w:w="1337"/>
          </w:tcPr>
          <w:p>
            <w:r>
              <w:rPr>
                <w:rFonts w:ascii="Times New Roman" w:hAnsi="Times New Roman"/>
                <w:sz w:val="22"/>
              </w:rPr>
              <w:t>21</w:t>
            </w:r>
          </w:p>
        </w:tc>
        <w:tc>
          <w:tcPr>
            <w:tcW w:type="dxa" w:w="1337"/>
          </w:tcPr>
          <w:p>
            <w:r>
              <w:rPr>
                <w:rFonts w:ascii="Times New Roman" w:hAnsi="Times New Roman"/>
                <w:sz w:val="22"/>
              </w:rPr>
              <w:t>0.3</w:t>
            </w:r>
          </w:p>
        </w:tc>
        <w:tc>
          <w:tcPr>
            <w:tcW w:type="dxa" w:w="1337"/>
          </w:tcPr>
          <w:p>
            <w:r>
              <w:rPr>
                <w:rFonts w:ascii="Times New Roman" w:hAnsi="Times New Roman"/>
                <w:sz w:val="22"/>
              </w:rPr>
              <w:t>11</w:t>
            </w:r>
          </w:p>
        </w:tc>
        <w:tc>
          <w:tcPr>
            <w:tcW w:type="dxa" w:w="1337"/>
          </w:tcPr>
          <w:p>
            <w:r>
              <w:rPr>
                <w:rFonts w:ascii="Times New Roman" w:hAnsi="Times New Roman"/>
                <w:sz w:val="22"/>
              </w:rPr>
              <w:t>85.7</w:t>
            </w:r>
          </w:p>
        </w:tc>
        <w:tc>
          <w:tcPr>
            <w:tcW w:type="dxa" w:w="1337"/>
          </w:tcPr>
          <w:p>
            <w:r>
              <w:rPr>
                <w:rFonts w:ascii="Times New Roman" w:hAnsi="Times New Roman"/>
                <w:sz w:val="22"/>
              </w:rPr>
              <w:t>7.1</w:t>
            </w:r>
          </w:p>
        </w:tc>
        <w:tc>
          <w:tcPr>
            <w:tcW w:type="dxa" w:w="1337"/>
          </w:tcPr>
          <w:p>
            <w:r>
              <w:rPr>
                <w:rFonts w:ascii="Times New Roman" w:hAnsi="Times New Roman"/>
                <w:sz w:val="22"/>
              </w:rPr>
              <w:t>4.8</w:t>
            </w:r>
          </w:p>
        </w:tc>
      </w:tr>
      <w:tr>
        <w:tc>
          <w:tcPr>
            <w:tcW w:type="dxa" w:w="1337"/>
          </w:tcPr>
          <w:p>
            <w:r>
              <w:rPr>
                <w:rFonts w:ascii="Times New Roman" w:hAnsi="Times New Roman"/>
                <w:sz w:val="22"/>
              </w:rPr>
              <w:t>ColE</w:t>
            </w:r>
          </w:p>
        </w:tc>
        <w:tc>
          <w:tcPr>
            <w:tcW w:type="dxa" w:w="1337"/>
          </w:tcPr>
          <w:p>
            <w:r>
              <w:rPr>
                <w:rFonts w:ascii="Times New Roman" w:hAnsi="Times New Roman"/>
                <w:sz w:val="22"/>
              </w:rPr>
              <w:t>19</w:t>
            </w:r>
          </w:p>
        </w:tc>
        <w:tc>
          <w:tcPr>
            <w:tcW w:type="dxa" w:w="1337"/>
          </w:tcPr>
          <w:p>
            <w:r>
              <w:rPr>
                <w:rFonts w:ascii="Times New Roman" w:hAnsi="Times New Roman"/>
                <w:sz w:val="22"/>
              </w:rPr>
              <w:t>0.3</w:t>
            </w:r>
          </w:p>
        </w:tc>
        <w:tc>
          <w:tcPr>
            <w:tcW w:type="dxa" w:w="1337"/>
          </w:tcPr>
          <w:p>
            <w:r>
              <w:rPr>
                <w:rFonts w:ascii="Times New Roman" w:hAnsi="Times New Roman"/>
                <w:sz w:val="22"/>
              </w:rPr>
              <w:t>9</w:t>
            </w:r>
          </w:p>
        </w:tc>
        <w:tc>
          <w:tcPr>
            <w:tcW w:type="dxa" w:w="1337"/>
          </w:tcPr>
          <w:p>
            <w:r>
              <w:rPr>
                <w:rFonts w:ascii="Times New Roman" w:hAnsi="Times New Roman"/>
                <w:sz w:val="22"/>
              </w:rPr>
              <w:t>52.6</w:t>
            </w:r>
          </w:p>
        </w:tc>
        <w:tc>
          <w:tcPr>
            <w:tcW w:type="dxa" w:w="1337"/>
          </w:tcPr>
          <w:p>
            <w:r>
              <w:rPr>
                <w:rFonts w:ascii="Times New Roman" w:hAnsi="Times New Roman"/>
                <w:sz w:val="22"/>
              </w:rPr>
              <w:t>1.4</w:t>
            </w:r>
          </w:p>
        </w:tc>
        <w:tc>
          <w:tcPr>
            <w:tcW w:type="dxa" w:w="1337"/>
          </w:tcPr>
          <w:p>
            <w:r>
              <w:rPr>
                <w:rFonts w:ascii="Times New Roman" w:hAnsi="Times New Roman"/>
                <w:sz w:val="22"/>
              </w:rPr>
              <w:t>0.0</w:t>
            </w:r>
          </w:p>
        </w:tc>
      </w:tr>
      <w:tr>
        <w:tc>
          <w:tcPr>
            <w:tcW w:type="dxa" w:w="1337"/>
          </w:tcPr>
          <w:p>
            <w:r>
              <w:rPr>
                <w:rFonts w:ascii="Times New Roman" w:hAnsi="Times New Roman"/>
                <w:sz w:val="22"/>
              </w:rPr>
              <w:t>IncC</w:t>
            </w:r>
          </w:p>
        </w:tc>
        <w:tc>
          <w:tcPr>
            <w:tcW w:type="dxa" w:w="1337"/>
          </w:tcPr>
          <w:p>
            <w:r>
              <w:rPr>
                <w:rFonts w:ascii="Times New Roman" w:hAnsi="Times New Roman"/>
                <w:sz w:val="22"/>
              </w:rPr>
              <w:t>16</w:t>
            </w:r>
          </w:p>
        </w:tc>
        <w:tc>
          <w:tcPr>
            <w:tcW w:type="dxa" w:w="1337"/>
          </w:tcPr>
          <w:p>
            <w:r>
              <w:rPr>
                <w:rFonts w:ascii="Times New Roman" w:hAnsi="Times New Roman"/>
                <w:sz w:val="22"/>
              </w:rPr>
              <w:t>0.2</w:t>
            </w:r>
          </w:p>
        </w:tc>
        <w:tc>
          <w:tcPr>
            <w:tcW w:type="dxa" w:w="1337"/>
          </w:tcPr>
          <w:p>
            <w:r>
              <w:rPr>
                <w:rFonts w:ascii="Times New Roman" w:hAnsi="Times New Roman"/>
                <w:sz w:val="22"/>
              </w:rPr>
              <w:t>8</w:t>
            </w:r>
          </w:p>
        </w:tc>
        <w:tc>
          <w:tcPr>
            <w:tcW w:type="dxa" w:w="1337"/>
          </w:tcPr>
          <w:p>
            <w:r>
              <w:rPr>
                <w:rFonts w:ascii="Times New Roman" w:hAnsi="Times New Roman"/>
                <w:sz w:val="22"/>
              </w:rPr>
              <w:t>100.0</w:t>
            </w:r>
          </w:p>
        </w:tc>
        <w:tc>
          <w:tcPr>
            <w:tcW w:type="dxa" w:w="1337"/>
          </w:tcPr>
          <w:p>
            <w:r>
              <w:rPr>
                <w:rFonts w:ascii="Times New Roman" w:hAnsi="Times New Roman"/>
                <w:sz w:val="22"/>
              </w:rPr>
              <w:t>9.4</w:t>
            </w:r>
          </w:p>
        </w:tc>
        <w:tc>
          <w:tcPr>
            <w:tcW w:type="dxa" w:w="1337"/>
          </w:tcPr>
          <w:p>
            <w:r>
              <w:rPr>
                <w:rFonts w:ascii="Times New Roman" w:hAnsi="Times New Roman"/>
                <w:sz w:val="22"/>
              </w:rPr>
              <w:t>6.3</w:t>
            </w:r>
          </w:p>
        </w:tc>
      </w:tr>
      <w:tr>
        <w:tc>
          <w:tcPr>
            <w:tcW w:type="dxa" w:w="1337"/>
          </w:tcPr>
          <w:p>
            <w:r>
              <w:rPr>
                <w:rFonts w:ascii="Times New Roman" w:hAnsi="Times New Roman"/>
                <w:sz w:val="22"/>
              </w:rPr>
              <w:t>IncHI1</w:t>
            </w:r>
          </w:p>
        </w:tc>
        <w:tc>
          <w:tcPr>
            <w:tcW w:type="dxa" w:w="1337"/>
          </w:tcPr>
          <w:p>
            <w:r>
              <w:rPr>
                <w:rFonts w:ascii="Times New Roman" w:hAnsi="Times New Roman"/>
                <w:sz w:val="22"/>
              </w:rPr>
              <w:t>16</w:t>
            </w:r>
          </w:p>
        </w:tc>
        <w:tc>
          <w:tcPr>
            <w:tcW w:type="dxa" w:w="1337"/>
          </w:tcPr>
          <w:p>
            <w:r>
              <w:rPr>
                <w:rFonts w:ascii="Times New Roman" w:hAnsi="Times New Roman"/>
                <w:sz w:val="22"/>
              </w:rPr>
              <w:t>0.2</w:t>
            </w:r>
          </w:p>
        </w:tc>
        <w:tc>
          <w:tcPr>
            <w:tcW w:type="dxa" w:w="1337"/>
          </w:tcPr>
          <w:p>
            <w:r>
              <w:rPr>
                <w:rFonts w:ascii="Times New Roman" w:hAnsi="Times New Roman"/>
                <w:sz w:val="22"/>
              </w:rPr>
              <w:t>8</w:t>
            </w:r>
          </w:p>
        </w:tc>
        <w:tc>
          <w:tcPr>
            <w:tcW w:type="dxa" w:w="1337"/>
          </w:tcPr>
          <w:p>
            <w:r>
              <w:rPr>
                <w:rFonts w:ascii="Times New Roman" w:hAnsi="Times New Roman"/>
                <w:sz w:val="22"/>
              </w:rPr>
              <w:t>93.8</w:t>
            </w:r>
          </w:p>
        </w:tc>
        <w:tc>
          <w:tcPr>
            <w:tcW w:type="dxa" w:w="1337"/>
          </w:tcPr>
          <w:p>
            <w:r>
              <w:rPr>
                <w:rFonts w:ascii="Times New Roman" w:hAnsi="Times New Roman"/>
                <w:sz w:val="22"/>
              </w:rPr>
              <w:t>8.7</w:t>
            </w:r>
          </w:p>
        </w:tc>
        <w:tc>
          <w:tcPr>
            <w:tcW w:type="dxa" w:w="1337"/>
          </w:tcPr>
          <w:p>
            <w:r>
              <w:rPr>
                <w:rFonts w:ascii="Times New Roman" w:hAnsi="Times New Roman"/>
                <w:sz w:val="22"/>
              </w:rPr>
              <w:t>6.3</w:t>
            </w:r>
          </w:p>
        </w:tc>
      </w:tr>
      <w:tr>
        <w:tc>
          <w:tcPr>
            <w:tcW w:type="dxa" w:w="1337"/>
          </w:tcPr>
          <w:p>
            <w:r>
              <w:rPr>
                <w:rFonts w:ascii="Times New Roman" w:hAnsi="Times New Roman"/>
                <w:sz w:val="22"/>
              </w:rPr>
              <w:t>IncFIC</w:t>
            </w:r>
          </w:p>
        </w:tc>
        <w:tc>
          <w:tcPr>
            <w:tcW w:type="dxa" w:w="1337"/>
          </w:tcPr>
          <w:p>
            <w:r>
              <w:rPr>
                <w:rFonts w:ascii="Times New Roman" w:hAnsi="Times New Roman"/>
                <w:sz w:val="22"/>
              </w:rPr>
              <w:t>14</w:t>
            </w:r>
          </w:p>
        </w:tc>
        <w:tc>
          <w:tcPr>
            <w:tcW w:type="dxa" w:w="1337"/>
          </w:tcPr>
          <w:p>
            <w:r>
              <w:rPr>
                <w:rFonts w:ascii="Times New Roman" w:hAnsi="Times New Roman"/>
                <w:sz w:val="22"/>
              </w:rPr>
              <w:t>0.2</w:t>
            </w:r>
          </w:p>
        </w:tc>
        <w:tc>
          <w:tcPr>
            <w:tcW w:type="dxa" w:w="1337"/>
          </w:tcPr>
          <w:p>
            <w:r>
              <w:rPr>
                <w:rFonts w:ascii="Times New Roman" w:hAnsi="Times New Roman"/>
                <w:sz w:val="22"/>
              </w:rPr>
              <w:t>7</w:t>
            </w:r>
          </w:p>
        </w:tc>
        <w:tc>
          <w:tcPr>
            <w:tcW w:type="dxa" w:w="1337"/>
          </w:tcPr>
          <w:p>
            <w:r>
              <w:rPr>
                <w:rFonts w:ascii="Times New Roman" w:hAnsi="Times New Roman"/>
                <w:sz w:val="22"/>
              </w:rPr>
              <w:t>100.0</w:t>
            </w:r>
          </w:p>
        </w:tc>
        <w:tc>
          <w:tcPr>
            <w:tcW w:type="dxa" w:w="1337"/>
          </w:tcPr>
          <w:p>
            <w:r>
              <w:rPr>
                <w:rFonts w:ascii="Times New Roman" w:hAnsi="Times New Roman"/>
                <w:sz w:val="22"/>
              </w:rPr>
              <w:t>6.9</w:t>
            </w:r>
          </w:p>
        </w:tc>
        <w:tc>
          <w:tcPr>
            <w:tcW w:type="dxa" w:w="1337"/>
          </w:tcPr>
          <w:p>
            <w:r>
              <w:rPr>
                <w:rFonts w:ascii="Times New Roman" w:hAnsi="Times New Roman"/>
                <w:sz w:val="22"/>
              </w:rPr>
              <w:t>21.4</w:t>
            </w:r>
          </w:p>
        </w:tc>
      </w:tr>
      <w:tr>
        <w:tc>
          <w:tcPr>
            <w:tcW w:type="dxa" w:w="1337"/>
          </w:tcPr>
          <w:p>
            <w:r>
              <w:rPr>
                <w:rFonts w:ascii="Times New Roman" w:hAnsi="Times New Roman"/>
                <w:sz w:val="22"/>
              </w:rPr>
              <w:t>IncAC2</w:t>
            </w:r>
          </w:p>
        </w:tc>
        <w:tc>
          <w:tcPr>
            <w:tcW w:type="dxa" w:w="1337"/>
          </w:tcPr>
          <w:p>
            <w:r>
              <w:rPr>
                <w:rFonts w:ascii="Times New Roman" w:hAnsi="Times New Roman"/>
                <w:sz w:val="22"/>
              </w:rPr>
              <w:t>14</w:t>
            </w:r>
          </w:p>
        </w:tc>
        <w:tc>
          <w:tcPr>
            <w:tcW w:type="dxa" w:w="1337"/>
          </w:tcPr>
          <w:p>
            <w:r>
              <w:rPr>
                <w:rFonts w:ascii="Times New Roman" w:hAnsi="Times New Roman"/>
                <w:sz w:val="22"/>
              </w:rPr>
              <w:t>0.2</w:t>
            </w:r>
          </w:p>
        </w:tc>
        <w:tc>
          <w:tcPr>
            <w:tcW w:type="dxa" w:w="1337"/>
          </w:tcPr>
          <w:p>
            <w:r>
              <w:rPr>
                <w:rFonts w:ascii="Times New Roman" w:hAnsi="Times New Roman"/>
                <w:sz w:val="22"/>
              </w:rPr>
              <w:t>7</w:t>
            </w:r>
          </w:p>
        </w:tc>
        <w:tc>
          <w:tcPr>
            <w:tcW w:type="dxa" w:w="1337"/>
          </w:tcPr>
          <w:p>
            <w:r>
              <w:rPr>
                <w:rFonts w:ascii="Times New Roman" w:hAnsi="Times New Roman"/>
                <w:sz w:val="22"/>
              </w:rPr>
              <w:t>100.0</w:t>
            </w:r>
          </w:p>
        </w:tc>
        <w:tc>
          <w:tcPr>
            <w:tcW w:type="dxa" w:w="1337"/>
          </w:tcPr>
          <w:p>
            <w:r>
              <w:rPr>
                <w:rFonts w:ascii="Times New Roman" w:hAnsi="Times New Roman"/>
                <w:sz w:val="22"/>
              </w:rPr>
              <w:t>12.6</w:t>
            </w:r>
          </w:p>
        </w:tc>
        <w:tc>
          <w:tcPr>
            <w:tcW w:type="dxa" w:w="1337"/>
          </w:tcPr>
          <w:p>
            <w:r>
              <w:rPr>
                <w:rFonts w:ascii="Times New Roman" w:hAnsi="Times New Roman"/>
                <w:sz w:val="22"/>
              </w:rPr>
              <w:t>7.1</w:t>
            </w:r>
          </w:p>
        </w:tc>
      </w:tr>
      <w:tr>
        <w:tc>
          <w:tcPr>
            <w:tcW w:type="dxa" w:w="1337"/>
          </w:tcPr>
          <w:p>
            <w:r>
              <w:rPr>
                <w:rFonts w:ascii="Times New Roman" w:hAnsi="Times New Roman"/>
                <w:sz w:val="22"/>
              </w:rPr>
              <w:t>IncA</w:t>
            </w:r>
          </w:p>
        </w:tc>
        <w:tc>
          <w:tcPr>
            <w:tcW w:type="dxa" w:w="1337"/>
          </w:tcPr>
          <w:p>
            <w:r>
              <w:rPr>
                <w:rFonts w:ascii="Times New Roman" w:hAnsi="Times New Roman"/>
                <w:sz w:val="22"/>
              </w:rPr>
              <w:t>14</w:t>
            </w:r>
          </w:p>
        </w:tc>
        <w:tc>
          <w:tcPr>
            <w:tcW w:type="dxa" w:w="1337"/>
          </w:tcPr>
          <w:p>
            <w:r>
              <w:rPr>
                <w:rFonts w:ascii="Times New Roman" w:hAnsi="Times New Roman"/>
                <w:sz w:val="22"/>
              </w:rPr>
              <w:t>0.2</w:t>
            </w:r>
          </w:p>
        </w:tc>
        <w:tc>
          <w:tcPr>
            <w:tcW w:type="dxa" w:w="1337"/>
          </w:tcPr>
          <w:p>
            <w:r>
              <w:rPr>
                <w:rFonts w:ascii="Times New Roman" w:hAnsi="Times New Roman"/>
                <w:sz w:val="22"/>
              </w:rPr>
              <w:t>7</w:t>
            </w:r>
          </w:p>
        </w:tc>
        <w:tc>
          <w:tcPr>
            <w:tcW w:type="dxa" w:w="1337"/>
          </w:tcPr>
          <w:p>
            <w:r>
              <w:rPr>
                <w:rFonts w:ascii="Times New Roman" w:hAnsi="Times New Roman"/>
                <w:sz w:val="22"/>
              </w:rPr>
              <w:t>100.0</w:t>
            </w:r>
          </w:p>
        </w:tc>
        <w:tc>
          <w:tcPr>
            <w:tcW w:type="dxa" w:w="1337"/>
          </w:tcPr>
          <w:p>
            <w:r>
              <w:rPr>
                <w:rFonts w:ascii="Times New Roman" w:hAnsi="Times New Roman"/>
                <w:sz w:val="22"/>
              </w:rPr>
              <w:t>8.9</w:t>
            </w:r>
          </w:p>
        </w:tc>
        <w:tc>
          <w:tcPr>
            <w:tcW w:type="dxa" w:w="1337"/>
          </w:tcPr>
          <w:p>
            <w:r>
              <w:rPr>
                <w:rFonts w:ascii="Times New Roman" w:hAnsi="Times New Roman"/>
                <w:sz w:val="22"/>
              </w:rPr>
              <w:t>7.1</w:t>
            </w:r>
          </w:p>
        </w:tc>
      </w:tr>
      <w:tr>
        <w:tc>
          <w:tcPr>
            <w:tcW w:type="dxa" w:w="1337"/>
          </w:tcPr>
          <w:p>
            <w:r>
              <w:rPr>
                <w:rFonts w:ascii="Times New Roman" w:hAnsi="Times New Roman"/>
                <w:sz w:val="22"/>
              </w:rPr>
              <w:t>IncI</w:t>
            </w:r>
          </w:p>
        </w:tc>
        <w:tc>
          <w:tcPr>
            <w:tcW w:type="dxa" w:w="1337"/>
          </w:tcPr>
          <w:p>
            <w:r>
              <w:rPr>
                <w:rFonts w:ascii="Times New Roman" w:hAnsi="Times New Roman"/>
                <w:sz w:val="22"/>
              </w:rPr>
              <w:t>11</w:t>
            </w:r>
          </w:p>
        </w:tc>
        <w:tc>
          <w:tcPr>
            <w:tcW w:type="dxa" w:w="1337"/>
          </w:tcPr>
          <w:p>
            <w:r>
              <w:rPr>
                <w:rFonts w:ascii="Times New Roman" w:hAnsi="Times New Roman"/>
                <w:sz w:val="22"/>
              </w:rPr>
              <w:t>0.2</w:t>
            </w:r>
          </w:p>
        </w:tc>
        <w:tc>
          <w:tcPr>
            <w:tcW w:type="dxa" w:w="1337"/>
          </w:tcPr>
          <w:p>
            <w:r>
              <w:rPr>
                <w:rFonts w:ascii="Times New Roman" w:hAnsi="Times New Roman"/>
                <w:sz w:val="22"/>
              </w:rPr>
              <w:t>6</w:t>
            </w:r>
          </w:p>
        </w:tc>
        <w:tc>
          <w:tcPr>
            <w:tcW w:type="dxa" w:w="1337"/>
          </w:tcPr>
          <w:p>
            <w:r>
              <w:rPr>
                <w:rFonts w:ascii="Times New Roman" w:hAnsi="Times New Roman"/>
                <w:sz w:val="22"/>
              </w:rPr>
              <w:t>81.8</w:t>
            </w:r>
          </w:p>
        </w:tc>
        <w:tc>
          <w:tcPr>
            <w:tcW w:type="dxa" w:w="1337"/>
          </w:tcPr>
          <w:p>
            <w:r>
              <w:rPr>
                <w:rFonts w:ascii="Times New Roman" w:hAnsi="Times New Roman"/>
                <w:sz w:val="22"/>
              </w:rPr>
              <w:t>4.5</w:t>
            </w:r>
          </w:p>
        </w:tc>
        <w:tc>
          <w:tcPr>
            <w:tcW w:type="dxa" w:w="1337"/>
          </w:tcPr>
          <w:p>
            <w:r>
              <w:rPr>
                <w:rFonts w:ascii="Times New Roman" w:hAnsi="Times New Roman"/>
                <w:sz w:val="22"/>
              </w:rPr>
              <w:t>0.0</w:t>
            </w:r>
          </w:p>
        </w:tc>
      </w:tr>
      <w:tr>
        <w:tc>
          <w:tcPr>
            <w:tcW w:type="dxa" w:w="1337"/>
          </w:tcPr>
          <w:p>
            <w:r>
              <w:rPr>
                <w:rFonts w:ascii="Times New Roman" w:hAnsi="Times New Roman"/>
                <w:sz w:val="22"/>
              </w:rPr>
              <w:t>IncFIBK</w:t>
            </w:r>
          </w:p>
        </w:tc>
        <w:tc>
          <w:tcPr>
            <w:tcW w:type="dxa" w:w="1337"/>
          </w:tcPr>
          <w:p>
            <w:r>
              <w:rPr>
                <w:rFonts w:ascii="Times New Roman" w:hAnsi="Times New Roman"/>
                <w:sz w:val="22"/>
              </w:rPr>
              <w:t>11</w:t>
            </w:r>
          </w:p>
        </w:tc>
        <w:tc>
          <w:tcPr>
            <w:tcW w:type="dxa" w:w="1337"/>
          </w:tcPr>
          <w:p>
            <w:r>
              <w:rPr>
                <w:rFonts w:ascii="Times New Roman" w:hAnsi="Times New Roman"/>
                <w:sz w:val="22"/>
              </w:rPr>
              <w:t>0.2</w:t>
            </w:r>
          </w:p>
        </w:tc>
        <w:tc>
          <w:tcPr>
            <w:tcW w:type="dxa" w:w="1337"/>
          </w:tcPr>
          <w:p>
            <w:r>
              <w:rPr>
                <w:rFonts w:ascii="Times New Roman" w:hAnsi="Times New Roman"/>
                <w:sz w:val="22"/>
              </w:rPr>
              <w:t>6</w:t>
            </w:r>
          </w:p>
        </w:tc>
        <w:tc>
          <w:tcPr>
            <w:tcW w:type="dxa" w:w="1337"/>
          </w:tcPr>
          <w:p>
            <w:r>
              <w:rPr>
                <w:rFonts w:ascii="Times New Roman" w:hAnsi="Times New Roman"/>
                <w:sz w:val="22"/>
              </w:rPr>
              <w:t>63.6</w:t>
            </w:r>
          </w:p>
        </w:tc>
        <w:tc>
          <w:tcPr>
            <w:tcW w:type="dxa" w:w="1337"/>
          </w:tcPr>
          <w:p>
            <w:r>
              <w:rPr>
                <w:rFonts w:ascii="Times New Roman" w:hAnsi="Times New Roman"/>
                <w:sz w:val="22"/>
              </w:rPr>
              <w:t>3.1</w:t>
            </w:r>
          </w:p>
        </w:tc>
        <w:tc>
          <w:tcPr>
            <w:tcW w:type="dxa" w:w="1337"/>
          </w:tcPr>
          <w:p>
            <w:r>
              <w:rPr>
                <w:rFonts w:ascii="Times New Roman" w:hAnsi="Times New Roman"/>
                <w:sz w:val="22"/>
              </w:rPr>
              <w:t>9.1</w:t>
            </w:r>
          </w:p>
        </w:tc>
      </w:tr>
      <w:tr>
        <w:tc>
          <w:tcPr>
            <w:tcW w:type="dxa" w:w="1337"/>
          </w:tcPr>
          <w:p>
            <w:r>
              <w:rPr>
                <w:rFonts w:ascii="Times New Roman" w:hAnsi="Times New Roman"/>
                <w:sz w:val="22"/>
              </w:rPr>
              <w:t>**Total**</w:t>
            </w:r>
          </w:p>
        </w:tc>
        <w:tc>
          <w:tcPr>
            <w:tcW w:type="dxa" w:w="1337"/>
          </w:tcPr>
          <w:p>
            <w:r>
              <w:rPr>
                <w:rFonts w:ascii="Times New Roman" w:hAnsi="Times New Roman"/>
                <w:sz w:val="22"/>
              </w:rPr>
              <w:t>**6,998**</w:t>
            </w:r>
          </w:p>
        </w:tc>
        <w:tc>
          <w:tcPr>
            <w:tcW w:type="dxa" w:w="1337"/>
          </w:tcPr>
          <w:p>
            <w:r>
              <w:rPr>
                <w:rFonts w:ascii="Times New Roman" w:hAnsi="Times New Roman"/>
                <w:sz w:val="22"/>
              </w:rPr>
              <w:t>**100.0**</w:t>
            </w:r>
          </w:p>
        </w:tc>
        <w:tc>
          <w:tcPr>
            <w:tcW w:type="dxa" w:w="1337"/>
          </w:tcPr>
          <w:p>
            <w:r>
              <w:rPr>
                <w:rFonts w:ascii="Times New Roman" w:hAnsi="Times New Roman"/>
                <w:sz w:val="22"/>
              </w:rPr>
              <w:t>**2,454**</w:t>
            </w:r>
          </w:p>
        </w:tc>
        <w:tc>
          <w:tcPr>
            <w:tcW w:type="dxa" w:w="1337"/>
          </w:tcPr>
          <w:p>
            <w:r>
              <w:rPr>
                <w:rFonts w:ascii="Times New Roman" w:hAnsi="Times New Roman"/>
                <w:sz w:val="22"/>
              </w:rPr>
              <w:t>**83.1***</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bl>
    <w:p/>
    <w:p>
      <w:pPr>
        <w:spacing w:after="120" w:before="0" w:line="480" w:lineRule="auto"/>
      </w:pPr>
      <w:r>
        <w:rPr>
          <w:rFonts w:ascii="Times New Roman" w:hAnsi="Times New Roman"/>
          <w:b w:val="0"/>
          <w:i w:val="0"/>
          <w:sz w:val="24"/>
        </w:rPr>
        <w:t>\* Overall: 5,816 of 6,998 plasmids (83.1%) carried at least one AMR, virulence, or stress-response gene; 4,657 (66.5%) carried at least one AMR gene specifically.</w:t>
      </w:r>
    </w:p>
    <w:p>
      <w:pPr>
        <w:spacing w:after="120" w:before="0" w:line="480" w:lineRule="auto"/>
      </w:pPr>
      <w:r>
        <w:rPr>
          <w:rFonts w:ascii="Times New Roman" w:hAnsi="Times New Roman"/>
          <w:b w:val="0"/>
          <w:i w:val="0"/>
          <w:sz w:val="24"/>
        </w:rPr>
        <w:t>Data source: NCBI RefSeq complete plasmid sequences, classified by PlasmidFinder (identity &gt;=95%, coverage &gt;=60%). AMR annotation: AMRFinderPlus v4.2.5 (database 2026-01-21.1).</w:t>
      </w:r>
    </w:p>
    <w:p/>
    <w:p>
      <w:pPr>
        <w:pStyle w:val="Heading1"/>
      </w:pPr>
      <w:r>
        <w:rPr>
          <w:rFonts w:ascii="Times New Roman" w:hAnsi="Times New Roman"/>
          <w:sz w:val="36"/>
        </w:rPr>
        <w:t>Table 4: Machine learning classifier performance for Inc/Rep group prediction</w:t>
      </w:r>
    </w:p>
    <w:p>
      <w:pPr>
        <w:spacing w:after="120" w:before="0" w:line="480" w:lineRule="auto"/>
      </w:pPr>
      <w:r>
        <w:rPr>
          <w:rFonts w:ascii="Times New Roman" w:hAnsi="Times New Roman"/>
          <w:b w:val="0"/>
          <w:i w:val="0"/>
          <w:sz w:val="24"/>
        </w:rPr>
        <w:t xml:space="preserve">All models were trained on 256-dimensional tetranucleotide (4-mer) frequency vectors computed from 8,077 plasmid sequences across 28 Inc/Rep groups (20 Gram-negative Inc groups, 4 Gram-positive rep type groups, 2 </w:t>
      </w:r>
      <w:r>
        <w:rPr>
          <w:rFonts w:ascii="Times New Roman" w:hAnsi="Times New Roman"/>
          <w:b w:val="0"/>
          <w:i/>
          <w:sz w:val="24"/>
        </w:rPr>
        <w:t>Acinetobacter</w:t>
      </w:r>
      <w:r>
        <w:rPr>
          <w:rFonts w:ascii="Times New Roman" w:hAnsi="Times New Roman"/>
          <w:b w:val="0"/>
          <w:i w:val="0"/>
          <w:sz w:val="24"/>
        </w:rPr>
        <w:t xml:space="preserve"> rep type groups, and 2 </w:t>
      </w:r>
      <w:r>
        <w:rPr>
          <w:rFonts w:ascii="Times New Roman" w:hAnsi="Times New Roman"/>
          <w:b w:val="0"/>
          <w:i/>
          <w:sz w:val="24"/>
        </w:rPr>
        <w:t>Pseudomonas</w:t>
      </w:r>
      <w:r>
        <w:rPr>
          <w:rFonts w:ascii="Times New Roman" w:hAnsi="Times New Roman"/>
          <w:b w:val="0"/>
          <w:i w:val="0"/>
          <w:sz w:val="24"/>
        </w:rPr>
        <w:t xml:space="preserve"> rep type groups). Performance was assessed using nested cross-validation (outer: 5-fold stratified; inner: 5-fold for hyperparameter tuning where applicable).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F5496"/>
          </w:tcPr>
          <w:p>
            <w:pPr>
              <w:jc w:val="center"/>
            </w:pPr>
            <w:r>
              <w:rPr>
                <w:rFonts w:ascii="Times New Roman" w:hAnsi="Times New Roman"/>
                <w:b/>
                <w:color w:val="FFFFFF"/>
                <w:sz w:val="22"/>
              </w:rPr>
              <w:t>Model</w:t>
            </w:r>
          </w:p>
        </w:tc>
        <w:tc>
          <w:tcPr>
            <w:tcW w:type="dxa" w:w="3120"/>
            <w:shd w:val="clear" w:color="auto" w:fill="2F5496"/>
          </w:tcPr>
          <w:p>
            <w:pPr>
              <w:jc w:val="center"/>
            </w:pPr>
            <w:r>
              <w:rPr>
                <w:rFonts w:ascii="Times New Roman" w:hAnsi="Times New Roman"/>
                <w:b/>
                <w:color w:val="FFFFFF"/>
                <w:sz w:val="22"/>
              </w:rPr>
              <w:t>Weighted F1 (mean +/- SD)</w:t>
            </w:r>
          </w:p>
        </w:tc>
        <w:tc>
          <w:tcPr>
            <w:tcW w:type="dxa" w:w="3120"/>
            <w:shd w:val="clear" w:color="auto" w:fill="2F5496"/>
          </w:tcPr>
          <w:p>
            <w:pPr>
              <w:jc w:val="center"/>
            </w:pPr>
            <w:r>
              <w:rPr>
                <w:rFonts w:ascii="Times New Roman" w:hAnsi="Times New Roman"/>
                <w:b/>
                <w:color w:val="FFFFFF"/>
                <w:sz w:val="22"/>
              </w:rPr>
              <w:t>Key hyperparameters</w:t>
            </w:r>
          </w:p>
        </w:tc>
      </w:tr>
      <w:tr>
        <w:tc>
          <w:tcPr>
            <w:tcW w:type="dxa" w:w="3120"/>
          </w:tcPr>
          <w:p>
            <w:r>
              <w:rPr>
                <w:rFonts w:ascii="Times New Roman" w:hAnsi="Times New Roman"/>
                <w:sz w:val="22"/>
              </w:rPr>
              <w:t>KNN (primary classifier)</w:t>
            </w:r>
          </w:p>
        </w:tc>
        <w:tc>
          <w:tcPr>
            <w:tcW w:type="dxa" w:w="3120"/>
          </w:tcPr>
          <w:p>
            <w:r>
              <w:rPr>
                <w:rFonts w:ascii="Times New Roman" w:hAnsi="Times New Roman"/>
                <w:sz w:val="22"/>
              </w:rPr>
              <w:t>0.911*</w:t>
            </w:r>
          </w:p>
        </w:tc>
        <w:tc>
          <w:tcPr>
            <w:tcW w:type="dxa" w:w="3120"/>
          </w:tcPr>
          <w:p>
            <w:r>
              <w:rPr>
                <w:rFonts w:ascii="Times New Roman" w:hAnsi="Times New Roman"/>
                <w:sz w:val="22"/>
              </w:rPr>
              <w:t>k=5, cosine distance, distance-weighted</w:t>
            </w:r>
          </w:p>
        </w:tc>
      </w:tr>
      <w:tr>
        <w:tc>
          <w:tcPr>
            <w:tcW w:type="dxa" w:w="3120"/>
          </w:tcPr>
          <w:p>
            <w:r>
              <w:rPr>
                <w:rFonts w:ascii="Times New Roman" w:hAnsi="Times New Roman"/>
                <w:sz w:val="22"/>
              </w:rPr>
              <w:t>XGBoost</w:t>
            </w:r>
          </w:p>
        </w:tc>
        <w:tc>
          <w:tcPr>
            <w:tcW w:type="dxa" w:w="3120"/>
          </w:tcPr>
          <w:p>
            <w:r>
              <w:rPr>
                <w:rFonts w:ascii="Times New Roman" w:hAnsi="Times New Roman"/>
                <w:sz w:val="22"/>
              </w:rPr>
              <w:t>0.896 +/- 0.011</w:t>
            </w:r>
          </w:p>
        </w:tc>
        <w:tc>
          <w:tcPr>
            <w:tcW w:type="dxa" w:w="3120"/>
          </w:tcPr>
          <w:p>
            <w:r>
              <w:rPr>
                <w:rFonts w:ascii="Times New Roman" w:hAnsi="Times New Roman"/>
                <w:sz w:val="22"/>
              </w:rPr>
              <w:t>max_depth=6, n_estimators=300, learning_rate=0.1</w:t>
            </w:r>
          </w:p>
        </w:tc>
      </w:tr>
      <w:tr>
        <w:tc>
          <w:tcPr>
            <w:tcW w:type="dxa" w:w="3120"/>
          </w:tcPr>
          <w:p>
            <w:r>
              <w:rPr>
                <w:rFonts w:ascii="Times New Roman" w:hAnsi="Times New Roman"/>
                <w:sz w:val="22"/>
              </w:rPr>
              <w:t>Gradient Boosting</w:t>
            </w:r>
          </w:p>
        </w:tc>
        <w:tc>
          <w:tcPr>
            <w:tcW w:type="dxa" w:w="3120"/>
          </w:tcPr>
          <w:p>
            <w:r>
              <w:rPr>
                <w:rFonts w:ascii="Times New Roman" w:hAnsi="Times New Roman"/>
                <w:sz w:val="22"/>
              </w:rPr>
              <w:t>0.893 +/- 0.009</w:t>
            </w:r>
          </w:p>
        </w:tc>
        <w:tc>
          <w:tcPr>
            <w:tcW w:type="dxa" w:w="3120"/>
          </w:tcPr>
          <w:p>
            <w:r>
              <w:rPr>
                <w:rFonts w:ascii="Times New Roman" w:hAnsi="Times New Roman"/>
                <w:sz w:val="22"/>
              </w:rPr>
              <w:t>max_depth=5, n_estimators=200, learning_rate=0.1</w:t>
            </w:r>
          </w:p>
        </w:tc>
      </w:tr>
      <w:tr>
        <w:tc>
          <w:tcPr>
            <w:tcW w:type="dxa" w:w="3120"/>
          </w:tcPr>
          <w:p>
            <w:r>
              <w:rPr>
                <w:rFonts w:ascii="Times New Roman" w:hAnsi="Times New Roman"/>
                <w:sz w:val="22"/>
              </w:rPr>
              <w:t>Random Forest</w:t>
            </w:r>
          </w:p>
        </w:tc>
        <w:tc>
          <w:tcPr>
            <w:tcW w:type="dxa" w:w="3120"/>
          </w:tcPr>
          <w:p>
            <w:r>
              <w:rPr>
                <w:rFonts w:ascii="Times New Roman" w:hAnsi="Times New Roman"/>
                <w:sz w:val="22"/>
              </w:rPr>
              <w:t>0.874 +/- 0.021</w:t>
            </w:r>
          </w:p>
        </w:tc>
        <w:tc>
          <w:tcPr>
            <w:tcW w:type="dxa" w:w="3120"/>
          </w:tcPr>
          <w:p>
            <w:r>
              <w:rPr>
                <w:rFonts w:ascii="Times New Roman" w:hAnsi="Times New Roman"/>
                <w:sz w:val="22"/>
              </w:rPr>
              <w:t>n_estimators=500, max_features=sqrt</w:t>
            </w:r>
          </w:p>
        </w:tc>
      </w:tr>
      <w:tr>
        <w:tc>
          <w:tcPr>
            <w:tcW w:type="dxa" w:w="3120"/>
          </w:tcPr>
          <w:p>
            <w:r>
              <w:rPr>
                <w:rFonts w:ascii="Times New Roman" w:hAnsi="Times New Roman"/>
                <w:sz w:val="22"/>
              </w:rPr>
              <w:t>Logistic Regression</w:t>
            </w:r>
          </w:p>
        </w:tc>
        <w:tc>
          <w:tcPr>
            <w:tcW w:type="dxa" w:w="3120"/>
          </w:tcPr>
          <w:p>
            <w:r>
              <w:rPr>
                <w:rFonts w:ascii="Times New Roman" w:hAnsi="Times New Roman"/>
                <w:sz w:val="22"/>
              </w:rPr>
              <w:t>0.866 +/- 0.012</w:t>
            </w:r>
          </w:p>
        </w:tc>
        <w:tc>
          <w:tcPr>
            <w:tcW w:type="dxa" w:w="3120"/>
          </w:tcPr>
          <w:p>
            <w:r>
              <w:rPr>
                <w:rFonts w:ascii="Times New Roman" w:hAnsi="Times New Roman"/>
                <w:sz w:val="22"/>
              </w:rPr>
              <w:t>C=1.0, multi_class=multinomial, solver=lbfgs</w:t>
            </w:r>
          </w:p>
        </w:tc>
      </w:tr>
    </w:tbl>
    <w:p/>
    <w:p>
      <w:pPr>
        <w:spacing w:after="120" w:before="0" w:line="480" w:lineRule="auto"/>
      </w:pPr>
      <w:r>
        <w:rPr>
          <w:rFonts w:ascii="Times New Roman" w:hAnsi="Times New Roman"/>
          <w:b w:val="0"/>
          <w:i w:val="0"/>
          <w:sz w:val="24"/>
        </w:rPr>
        <w:t>\* KNN accuracy reported as overall accuracy from 5-fold stratified cross-validation (91.1%). The weighted F1 score is comparable. The dominant confusion pairs involve near-identical Inc groups: IncFIB and IncFII (median inter-group cosine distance d=0.002), reflecting genuine biological overlap of IncF-family replicons rather than methodological failure. Among Gram-positive groups, repSA_large and repEF_res showed occasional cross-classification (d=0.008).</w:t>
      </w:r>
    </w:p>
    <w:p>
      <w:pPr>
        <w:spacing w:after="120" w:before="0" w:line="480" w:lineRule="auto"/>
      </w:pPr>
      <w:r>
        <w:rPr>
          <w:rFonts w:ascii="Times New Roman" w:hAnsi="Times New Roman"/>
          <w:b/>
          <w:i w:val="0"/>
          <w:sz w:val="24"/>
        </w:rPr>
        <w:t>Rationale for KNN as primary classifier:</w:t>
      </w:r>
      <w:r>
        <w:rPr>
          <w:rFonts w:ascii="Times New Roman" w:hAnsi="Times New Roman"/>
          <w:b w:val="0"/>
          <w:i w:val="0"/>
          <w:sz w:val="24"/>
        </w:rPr>
        <w:t xml:space="preserve"> KNN was selected because (1) it naturally integrates with the nearest-neighbour pLIN assignment framework, (2) it provides interpretable distance-based confidence scores, and (3) its performance is comparable to ensemble methods while requiring no hyperparameter tuning beyond k and the distance metric.</w:t>
      </w:r>
    </w:p>
    <w:p/>
    <w:p>
      <w:pPr>
        <w:pStyle w:val="Heading1"/>
      </w:pPr>
      <w:r>
        <w:rPr>
          <w:rFonts w:ascii="Times New Roman" w:hAnsi="Times New Roman"/>
          <w:sz w:val="36"/>
        </w:rPr>
        <w:t>Table 5: Clinically critical resistance determinants detected across 6,998 plasmids</w:t>
      </w:r>
    </w:p>
    <w:p>
      <w:pPr>
        <w:spacing w:after="120" w:before="0" w:line="480" w:lineRule="auto"/>
      </w:pPr>
      <w:r>
        <w:rPr>
          <w:rFonts w:ascii="Times New Roman" w:hAnsi="Times New Roman"/>
          <w:b w:val="0"/>
          <w:i w:val="0"/>
          <w:sz w:val="24"/>
        </w:rPr>
        <w:t>AMR gene annotation was performed using AMRFinderPlus v4.2.5 (database 2026-01-21.1). Total gene detections: 64,891 across 5,816 plasmids (83.1%), comprising 29,583 AMR + 6,286 virulence + 29,022 stress-response genes. Among AMR-positive plasmids specifically: n=4,657 (66.5%).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Resistance category</w:t>
            </w:r>
          </w:p>
        </w:tc>
        <w:tc>
          <w:tcPr>
            <w:tcW w:type="dxa" w:w="1872"/>
            <w:shd w:val="clear" w:color="auto" w:fill="2F5496"/>
          </w:tcPr>
          <w:p>
            <w:pPr>
              <w:jc w:val="center"/>
            </w:pPr>
            <w:r>
              <w:rPr>
                <w:rFonts w:ascii="Times New Roman" w:hAnsi="Times New Roman"/>
                <w:b/>
                <w:color w:val="FFFFFF"/>
                <w:sz w:val="22"/>
              </w:rPr>
              <w:t>WHO priority</w:t>
            </w:r>
          </w:p>
        </w:tc>
        <w:tc>
          <w:tcPr>
            <w:tcW w:type="dxa" w:w="1872"/>
            <w:shd w:val="clear" w:color="auto" w:fill="2F5496"/>
          </w:tcPr>
          <w:p>
            <w:pPr>
              <w:jc w:val="center"/>
            </w:pPr>
            <w:r>
              <w:rPr>
                <w:rFonts w:ascii="Times New Roman" w:hAnsi="Times New Roman"/>
                <w:b/>
                <w:color w:val="FFFFFF"/>
                <w:sz w:val="22"/>
              </w:rPr>
              <w:t>Total detections</w:t>
            </w:r>
          </w:p>
        </w:tc>
        <w:tc>
          <w:tcPr>
            <w:tcW w:type="dxa" w:w="1872"/>
            <w:shd w:val="clear" w:color="auto" w:fill="2F5496"/>
          </w:tcPr>
          <w:p>
            <w:pPr>
              <w:jc w:val="center"/>
            </w:pPr>
            <w:r>
              <w:rPr>
                <w:rFonts w:ascii="Times New Roman" w:hAnsi="Times New Roman"/>
                <w:b/>
                <w:color w:val="FFFFFF"/>
                <w:sz w:val="22"/>
              </w:rPr>
              <w:t>Top variants (n)</w:t>
            </w:r>
          </w:p>
        </w:tc>
        <w:tc>
          <w:tcPr>
            <w:tcW w:type="dxa" w:w="1872"/>
            <w:shd w:val="clear" w:color="auto" w:fill="2F5496"/>
          </w:tcPr>
          <w:p>
            <w:pPr>
              <w:jc w:val="center"/>
            </w:pPr>
            <w:r>
              <w:rPr>
                <w:rFonts w:ascii="Times New Roman" w:hAnsi="Times New Roman"/>
                <w:b/>
                <w:color w:val="FFFFFF"/>
                <w:sz w:val="22"/>
              </w:rPr>
              <w:t>Therapeutic implications</w:t>
            </w:r>
          </w:p>
        </w:tc>
      </w:tr>
      <w:tr>
        <w:tc>
          <w:tcPr>
            <w:tcW w:type="dxa" w:w="1872"/>
          </w:tcPr>
          <w:p>
            <w:r>
              <w:rPr>
                <w:rFonts w:ascii="Times New Roman" w:hAnsi="Times New Roman"/>
                <w:sz w:val="22"/>
              </w:rPr>
              <w:t>**Carbapenemases**</w:t>
            </w:r>
          </w:p>
        </w:tc>
        <w:tc>
          <w:tcPr>
            <w:tcW w:type="dxa" w:w="1872"/>
          </w:tcPr>
          <w:p>
            <w:r>
              <w:rPr>
                <w:rFonts w:ascii="Times New Roman" w:hAnsi="Times New Roman"/>
                <w:sz w:val="22"/>
              </w:rPr>
              <w:t>Critical</w:t>
            </w:r>
          </w:p>
        </w:tc>
        <w:tc>
          <w:tcPr>
            <w:tcW w:type="dxa" w:w="1872"/>
          </w:tcPr>
          <w:p>
            <w:r>
              <w:rPr>
                <w:rFonts w:ascii="Times New Roman" w:hAnsi="Times New Roman"/>
                <w:sz w:val="22"/>
              </w:rPr>
              <w:t>1,635</w:t>
            </w:r>
          </w:p>
        </w:tc>
        <w:tc>
          <w:tcPr>
            <w:tcW w:type="dxa" w:w="1872"/>
          </w:tcPr>
          <w:p>
            <w:r>
              <w:rPr>
                <w:rFonts w:ascii="Times New Roman" w:hAnsi="Times New Roman"/>
                <w:sz w:val="22"/>
              </w:rPr>
              <w:t>blaKPC-2 (824), blaNDM-1 (228), blaKPC-3 (193), blaNDM-5 (89)</w:t>
            </w:r>
          </w:p>
        </w:tc>
        <w:tc>
          <w:tcPr>
            <w:tcW w:type="dxa" w:w="1872"/>
          </w:tcPr>
          <w:p>
            <w:r>
              <w:rPr>
                <w:rFonts w:ascii="Times New Roman" w:hAnsi="Times New Roman"/>
                <w:sz w:val="22"/>
              </w:rPr>
              <w:t>Last-resort beta-lactam failure; 40--50% bloodstream infection mortality</w:t>
            </w:r>
          </w:p>
        </w:tc>
      </w:tr>
      <w:tr>
        <w:tc>
          <w:tcPr>
            <w:tcW w:type="dxa" w:w="1872"/>
          </w:tcPr>
          <w:p>
            <w:r>
              <w:rPr>
                <w:rFonts w:ascii="Times New Roman" w:hAnsi="Times New Roman"/>
                <w:sz w:val="22"/>
              </w:rPr>
              <w:t>**ESBLs**</w:t>
            </w:r>
          </w:p>
        </w:tc>
        <w:tc>
          <w:tcPr>
            <w:tcW w:type="dxa" w:w="1872"/>
          </w:tcPr>
          <w:p>
            <w:r>
              <w:rPr>
                <w:rFonts w:ascii="Times New Roman" w:hAnsi="Times New Roman"/>
                <w:sz w:val="22"/>
              </w:rPr>
              <w:t>Critical</w:t>
            </w:r>
          </w:p>
        </w:tc>
        <w:tc>
          <w:tcPr>
            <w:tcW w:type="dxa" w:w="1872"/>
          </w:tcPr>
          <w:p>
            <w:r>
              <w:rPr>
                <w:rFonts w:ascii="Times New Roman" w:hAnsi="Times New Roman"/>
                <w:sz w:val="22"/>
              </w:rPr>
              <w:t>1,804</w:t>
            </w:r>
          </w:p>
        </w:tc>
        <w:tc>
          <w:tcPr>
            <w:tcW w:type="dxa" w:w="1872"/>
          </w:tcPr>
          <w:p>
            <w:r>
              <w:rPr>
                <w:rFonts w:ascii="Times New Roman" w:hAnsi="Times New Roman"/>
                <w:sz w:val="22"/>
              </w:rPr>
              <w:t>blaCTX-M-15 (505), blaCTX-M-65 (319), blaSHV-12 (277)</w:t>
            </w:r>
          </w:p>
        </w:tc>
        <w:tc>
          <w:tcPr>
            <w:tcW w:type="dxa" w:w="1872"/>
          </w:tcPr>
          <w:p>
            <w:r>
              <w:rPr>
                <w:rFonts w:ascii="Times New Roman" w:hAnsi="Times New Roman"/>
                <w:sz w:val="22"/>
              </w:rPr>
              <w:t>Third-generation cephalosporin failure; empirical sepsis therapy failure</w:t>
            </w:r>
          </w:p>
        </w:tc>
      </w:tr>
      <w:tr>
        <w:tc>
          <w:tcPr>
            <w:tcW w:type="dxa" w:w="1872"/>
          </w:tcPr>
          <w:p>
            <w:r>
              <w:rPr>
                <w:rFonts w:ascii="Times New Roman" w:hAnsi="Times New Roman"/>
                <w:sz w:val="22"/>
              </w:rPr>
              <w:t>**Colistin resistance (mcr)**</w:t>
            </w:r>
          </w:p>
        </w:tc>
        <w:tc>
          <w:tcPr>
            <w:tcW w:type="dxa" w:w="1872"/>
          </w:tcPr>
          <w:p>
            <w:r>
              <w:rPr>
                <w:rFonts w:ascii="Times New Roman" w:hAnsi="Times New Roman"/>
                <w:sz w:val="22"/>
              </w:rPr>
              <w:t>Critical</w:t>
            </w:r>
          </w:p>
        </w:tc>
        <w:tc>
          <w:tcPr>
            <w:tcW w:type="dxa" w:w="1872"/>
          </w:tcPr>
          <w:p>
            <w:r>
              <w:rPr>
                <w:rFonts w:ascii="Times New Roman" w:hAnsi="Times New Roman"/>
                <w:sz w:val="22"/>
              </w:rPr>
              <w:t>204</w:t>
            </w:r>
          </w:p>
        </w:tc>
        <w:tc>
          <w:tcPr>
            <w:tcW w:type="dxa" w:w="1872"/>
          </w:tcPr>
          <w:p>
            <w:r>
              <w:rPr>
                <w:rFonts w:ascii="Times New Roman" w:hAnsi="Times New Roman"/>
                <w:sz w:val="22"/>
              </w:rPr>
              <w:t>mcr-1.1 (83), mcr-8.1 (27), mcr-8.2 (18)</w:t>
            </w:r>
          </w:p>
        </w:tc>
        <w:tc>
          <w:tcPr>
            <w:tcW w:type="dxa" w:w="1872"/>
          </w:tcPr>
          <w:p>
            <w:r>
              <w:rPr>
                <w:rFonts w:ascii="Times New Roman" w:hAnsi="Times New Roman"/>
                <w:sz w:val="22"/>
              </w:rPr>
              <w:t>Last-resort polymyxin failure; pan-drug resistance when co-carried with carbapenemase</w:t>
            </w:r>
          </w:p>
        </w:tc>
      </w:tr>
      <w:tr>
        <w:tc>
          <w:tcPr>
            <w:tcW w:type="dxa" w:w="1872"/>
          </w:tcPr>
          <w:p>
            <w:r>
              <w:rPr>
                <w:rFonts w:ascii="Times New Roman" w:hAnsi="Times New Roman"/>
                <w:sz w:val="22"/>
              </w:rPr>
              <w:t>**PMQR**</w:t>
            </w:r>
          </w:p>
        </w:tc>
        <w:tc>
          <w:tcPr>
            <w:tcW w:type="dxa" w:w="1872"/>
          </w:tcPr>
          <w:p>
            <w:r>
              <w:rPr>
                <w:rFonts w:ascii="Times New Roman" w:hAnsi="Times New Roman"/>
                <w:sz w:val="22"/>
              </w:rPr>
              <w:t>High</w:t>
            </w:r>
          </w:p>
        </w:tc>
        <w:tc>
          <w:tcPr>
            <w:tcW w:type="dxa" w:w="1872"/>
          </w:tcPr>
          <w:p>
            <w:r>
              <w:rPr>
                <w:rFonts w:ascii="Times New Roman" w:hAnsi="Times New Roman"/>
                <w:sz w:val="22"/>
              </w:rPr>
              <w:t>2,315</w:t>
            </w:r>
          </w:p>
        </w:tc>
        <w:tc>
          <w:tcPr>
            <w:tcW w:type="dxa" w:w="1872"/>
          </w:tcPr>
          <w:p>
            <w:r>
              <w:rPr>
                <w:rFonts w:ascii="Times New Roman" w:hAnsi="Times New Roman"/>
                <w:sz w:val="22"/>
              </w:rPr>
              <w:t>qnrS1 (732), aac(6')-Ib-cr5 (737), qnrB1 (212)</w:t>
            </w:r>
          </w:p>
        </w:tc>
        <w:tc>
          <w:tcPr>
            <w:tcW w:type="dxa" w:w="1872"/>
          </w:tcPr>
          <w:p>
            <w:r>
              <w:rPr>
                <w:rFonts w:ascii="Times New Roman" w:hAnsi="Times New Roman"/>
                <w:sz w:val="22"/>
              </w:rPr>
              <w:t>Fluoroquinolone failure; undermines empirical UTI and bloodstream infection therapy</w:t>
            </w:r>
          </w:p>
        </w:tc>
      </w:tr>
      <w:tr>
        <w:tc>
          <w:tcPr>
            <w:tcW w:type="dxa" w:w="1872"/>
          </w:tcPr>
          <w:p>
            <w:r>
              <w:rPr>
                <w:rFonts w:ascii="Times New Roman" w:hAnsi="Times New Roman"/>
                <w:sz w:val="22"/>
              </w:rPr>
              <w:t>**Top AMR genes overall**</w:t>
            </w:r>
          </w:p>
        </w:tc>
        <w:tc>
          <w:tcPr>
            <w:tcW w:type="dxa" w:w="1872"/>
          </w:tcPr>
          <w:p>
            <w:r>
              <w:rPr>
                <w:rFonts w:ascii="Times New Roman" w:hAnsi="Times New Roman"/>
                <w:sz w:val="22"/>
              </w:rPr>
              <w:t>--</w:t>
            </w:r>
          </w:p>
        </w:tc>
        <w:tc>
          <w:tcPr>
            <w:tcW w:type="dxa" w:w="1872"/>
          </w:tcPr>
          <w:p>
            <w:r>
              <w:rPr>
                <w:rFonts w:ascii="Times New Roman" w:hAnsi="Times New Roman"/>
                <w:sz w:val="22"/>
              </w:rPr>
              <w:t>--</w:t>
            </w:r>
          </w:p>
        </w:tc>
        <w:tc>
          <w:tcPr>
            <w:tcW w:type="dxa" w:w="1872"/>
          </w:tcPr>
          <w:p>
            <w:r>
              <w:rPr>
                <w:rFonts w:ascii="Times New Roman" w:hAnsi="Times New Roman"/>
                <w:sz w:val="22"/>
              </w:rPr>
              <w:t>blaTEM-1 (1,864; 40.0%*), sul1 (1,383; 29.7%*), tet(A) (1,297; 27.9%*)</w:t>
            </w:r>
          </w:p>
        </w:tc>
        <w:tc>
          <w:tcPr>
            <w:tcW w:type="dxa" w:w="1872"/>
          </w:tcPr>
          <w:p>
            <w:r>
              <w:rPr>
                <w:rFonts w:ascii="Times New Roman" w:hAnsi="Times New Roman"/>
                <w:sz w:val="22"/>
              </w:rPr>
              <w:t>Penicillin, sulfonamide, and tetracycline resistance backbone</w:t>
            </w:r>
          </w:p>
        </w:tc>
      </w:tr>
    </w:tbl>
    <w:p/>
    <w:p>
      <w:pPr>
        <w:spacing w:after="120" w:before="0" w:line="480" w:lineRule="auto"/>
      </w:pPr>
      <w:r>
        <w:rPr>
          <w:rFonts w:ascii="Times New Roman" w:hAnsi="Times New Roman"/>
          <w:b w:val="0"/>
          <w:i w:val="0"/>
          <w:sz w:val="24"/>
        </w:rPr>
        <w:t>\* Percentage of AMR-positive plasmids (n=4,657).</w:t>
      </w:r>
    </w:p>
    <w:p>
      <w:pPr>
        <w:spacing w:after="120" w:before="0" w:line="480" w:lineRule="auto"/>
      </w:pPr>
      <w:r>
        <w:rPr>
          <w:rFonts w:ascii="Times New Roman" w:hAnsi="Times New Roman"/>
          <w:b/>
          <w:i w:val="0"/>
          <w:sz w:val="24"/>
        </w:rPr>
        <w:t>Inc groups with 100% AMR carriage:</w:t>
      </w:r>
      <w:r>
        <w:rPr>
          <w:rFonts w:ascii="Times New Roman" w:hAnsi="Times New Roman"/>
          <w:b w:val="0"/>
          <w:i w:val="0"/>
          <w:sz w:val="24"/>
        </w:rPr>
        <w:t xml:space="preserve"> IncA, IncAC2, IncC, IncFIC, IncHI2.</w:t>
      </w:r>
    </w:p>
    <w:p>
      <w:pPr>
        <w:spacing w:after="120" w:before="0" w:line="480" w:lineRule="auto"/>
      </w:pPr>
      <w:r>
        <w:rPr>
          <w:rFonts w:ascii="Times New Roman" w:hAnsi="Times New Roman"/>
          <w:b/>
          <w:i w:val="0"/>
          <w:sz w:val="24"/>
        </w:rPr>
        <w:t>Highest mean AMR burden:</w:t>
      </w:r>
      <w:r>
        <w:rPr>
          <w:rFonts w:ascii="Times New Roman" w:hAnsi="Times New Roman"/>
          <w:b w:val="0"/>
          <w:i w:val="0"/>
          <w:sz w:val="24"/>
        </w:rPr>
        <w:t xml:space="preserve"> IncAC2 (12.6 genes per plasmid).</w:t>
      </w:r>
    </w:p>
    <w:p>
      <w:pPr>
        <w:spacing w:after="120" w:before="0" w:line="480" w:lineRule="auto"/>
      </w:pPr>
      <w:r>
        <w:rPr>
          <w:rFonts w:ascii="Times New Roman" w:hAnsi="Times New Roman"/>
          <w:b w:val="0"/>
          <w:i w:val="0"/>
          <w:sz w:val="24"/>
        </w:rPr>
        <w:t>ESBL = extended-spectrum beta-lactamase. PMQR = plasmid-mediated quinolone resistance. UTI = urinary tract infection.</w:t>
      </w:r>
    </w:p>
    <w:p/>
    <w:p>
      <w:pPr>
        <w:pStyle w:val="Heading1"/>
      </w:pPr>
      <w:r>
        <w:rPr>
          <w:rFonts w:ascii="Times New Roman" w:hAnsi="Times New Roman"/>
          <w:sz w:val="36"/>
        </w:rPr>
        <w:t>Table 6: Top pLIN lineages with AMR profiles -- clinical surveillance targets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pLIN code (L6)</w:t>
            </w:r>
          </w:p>
        </w:tc>
        <w:tc>
          <w:tcPr>
            <w:tcW w:type="dxa" w:w="1560"/>
            <w:shd w:val="clear" w:color="auto" w:fill="2F5496"/>
          </w:tcPr>
          <w:p>
            <w:pPr>
              <w:jc w:val="center"/>
            </w:pPr>
            <w:r>
              <w:rPr>
                <w:rFonts w:ascii="Times New Roman" w:hAnsi="Times New Roman"/>
                <w:b/>
                <w:color w:val="FFFFFF"/>
                <w:sz w:val="22"/>
              </w:rPr>
              <w:t>n</w:t>
            </w:r>
          </w:p>
        </w:tc>
        <w:tc>
          <w:tcPr>
            <w:tcW w:type="dxa" w:w="1560"/>
            <w:shd w:val="clear" w:color="auto" w:fill="2F5496"/>
          </w:tcPr>
          <w:p>
            <w:pPr>
              <w:jc w:val="center"/>
            </w:pPr>
            <w:r>
              <w:rPr>
                <w:rFonts w:ascii="Times New Roman" w:hAnsi="Times New Roman"/>
                <w:b/>
                <w:color w:val="FFFFFF"/>
                <w:sz w:val="22"/>
              </w:rPr>
              <w:t>Inc group(s)</w:t>
            </w:r>
          </w:p>
        </w:tc>
        <w:tc>
          <w:tcPr>
            <w:tcW w:type="dxa" w:w="1560"/>
            <w:shd w:val="clear" w:color="auto" w:fill="2F5496"/>
          </w:tcPr>
          <w:p>
            <w:pPr>
              <w:jc w:val="center"/>
            </w:pPr>
            <w:r>
              <w:rPr>
                <w:rFonts w:ascii="Times New Roman" w:hAnsi="Times New Roman"/>
                <w:b/>
                <w:color w:val="FFFFFF"/>
                <w:sz w:val="22"/>
              </w:rPr>
              <w:t>Mean AMR genes</w:t>
            </w:r>
          </w:p>
        </w:tc>
        <w:tc>
          <w:tcPr>
            <w:tcW w:type="dxa" w:w="1560"/>
            <w:shd w:val="clear" w:color="auto" w:fill="2F5496"/>
          </w:tcPr>
          <w:p>
            <w:pPr>
              <w:jc w:val="center"/>
            </w:pPr>
            <w:r>
              <w:rPr>
                <w:rFonts w:ascii="Times New Roman" w:hAnsi="Times New Roman"/>
                <w:b/>
                <w:color w:val="FFFFFF"/>
                <w:sz w:val="22"/>
              </w:rPr>
              <w:t>Key resistance determinants (% carriage)</w:t>
            </w:r>
          </w:p>
        </w:tc>
        <w:tc>
          <w:tcPr>
            <w:tcW w:type="dxa" w:w="1560"/>
            <w:shd w:val="clear" w:color="auto" w:fill="2F5496"/>
          </w:tcPr>
          <w:p>
            <w:pPr>
              <w:jc w:val="center"/>
            </w:pPr>
            <w:r>
              <w:rPr>
                <w:rFonts w:ascii="Times New Roman" w:hAnsi="Times New Roman"/>
                <w:b/>
                <w:color w:val="FFFFFF"/>
                <w:sz w:val="22"/>
              </w:rPr>
              <w:t>Clinical risk profile</w:t>
            </w:r>
          </w:p>
        </w:tc>
      </w:tr>
      <w:tr>
        <w:tc>
          <w:tcPr>
            <w:tcW w:type="dxa" w:w="1560"/>
          </w:tcPr>
          <w:p>
            <w:r>
              <w:rPr>
                <w:rFonts w:ascii="Times New Roman" w:hAnsi="Times New Roman"/>
                <w:sz w:val="22"/>
              </w:rPr>
              <w:t>**1327**</w:t>
            </w:r>
          </w:p>
        </w:tc>
        <w:tc>
          <w:tcPr>
            <w:tcW w:type="dxa" w:w="1560"/>
          </w:tcPr>
          <w:p>
            <w:r>
              <w:rPr>
                <w:rFonts w:ascii="Times New Roman" w:hAnsi="Times New Roman"/>
                <w:sz w:val="22"/>
              </w:rPr>
              <w:t>869</w:t>
            </w:r>
          </w:p>
        </w:tc>
        <w:tc>
          <w:tcPr>
            <w:tcW w:type="dxa" w:w="1560"/>
          </w:tcPr>
          <w:p>
            <w:r>
              <w:rPr>
                <w:rFonts w:ascii="Times New Roman" w:hAnsi="Times New Roman"/>
                <w:sz w:val="22"/>
              </w:rPr>
              <w:t>6 Inc groups: IncFII (814), IncFIB (38), IncFIBK (7), IncN (5), IncHI1 (4), IncF (1)</w:t>
            </w:r>
          </w:p>
        </w:tc>
        <w:tc>
          <w:tcPr>
            <w:tcW w:type="dxa" w:w="1560"/>
          </w:tcPr>
          <w:p>
            <w:r>
              <w:rPr>
                <w:rFonts w:ascii="Times New Roman" w:hAnsi="Times New Roman"/>
                <w:sz w:val="22"/>
              </w:rPr>
              <w:t>5.5</w:t>
            </w:r>
          </w:p>
        </w:tc>
        <w:tc>
          <w:tcPr>
            <w:tcW w:type="dxa" w:w="1560"/>
          </w:tcPr>
          <w:p>
            <w:r>
              <w:rPr>
                <w:rFonts w:ascii="Times New Roman" w:hAnsi="Times New Roman"/>
                <w:sz w:val="22"/>
              </w:rPr>
              <w:t>blaTEM-1 (33.4%), sul1 (30.4%), mrx(A) (25.3%), mph(A) (24.9%)</w:t>
            </w:r>
          </w:p>
        </w:tc>
        <w:tc>
          <w:tcPr>
            <w:tcW w:type="dxa" w:w="1560"/>
          </w:tcPr>
          <w:p>
            <w:r>
              <w:rPr>
                <w:rFonts w:ascii="Times New Roman" w:hAnsi="Times New Roman"/>
                <w:sz w:val="22"/>
              </w:rPr>
              <w:t>Largest circulating lineage; moderate-burden resistance hub; broad Inc group distribution</w:t>
            </w:r>
          </w:p>
        </w:tc>
      </w:tr>
      <w:tr>
        <w:tc>
          <w:tcPr>
            <w:tcW w:type="dxa" w:w="1560"/>
          </w:tcPr>
          <w:p>
            <w:r>
              <w:rPr>
                <w:rFonts w:ascii="Times New Roman" w:hAnsi="Times New Roman"/>
                <w:sz w:val="22"/>
              </w:rPr>
              <w:t>**1434**</w:t>
            </w:r>
          </w:p>
        </w:tc>
        <w:tc>
          <w:tcPr>
            <w:tcW w:type="dxa" w:w="1560"/>
          </w:tcPr>
          <w:p>
            <w:r>
              <w:rPr>
                <w:rFonts w:ascii="Times New Roman" w:hAnsi="Times New Roman"/>
                <w:sz w:val="22"/>
              </w:rPr>
              <w:t>163</w:t>
            </w:r>
          </w:p>
        </w:tc>
        <w:tc>
          <w:tcPr>
            <w:tcW w:type="dxa" w:w="1560"/>
          </w:tcPr>
          <w:p>
            <w:r>
              <w:rPr>
                <w:rFonts w:ascii="Times New Roman" w:hAnsi="Times New Roman"/>
                <w:sz w:val="22"/>
              </w:rPr>
              <w:t>IncFII (92.0%), IncF (8.0%)</w:t>
            </w:r>
          </w:p>
        </w:tc>
        <w:tc>
          <w:tcPr>
            <w:tcW w:type="dxa" w:w="1560"/>
          </w:tcPr>
          <w:p>
            <w:r>
              <w:rPr>
                <w:rFonts w:ascii="Times New Roman" w:hAnsi="Times New Roman"/>
                <w:sz w:val="22"/>
              </w:rPr>
              <w:t>7.4</w:t>
            </w:r>
          </w:p>
        </w:tc>
        <w:tc>
          <w:tcPr>
            <w:tcW w:type="dxa" w:w="1560"/>
          </w:tcPr>
          <w:p>
            <w:r>
              <w:rPr>
                <w:rFonts w:ascii="Times New Roman" w:hAnsi="Times New Roman"/>
                <w:sz w:val="22"/>
              </w:rPr>
              <w:t>blaCTX-M-27 (29.4%), mph(A), sul1</w:t>
            </w:r>
          </w:p>
        </w:tc>
        <w:tc>
          <w:tcPr>
            <w:tcW w:type="dxa" w:w="1560"/>
          </w:tcPr>
          <w:p>
            <w:r>
              <w:rPr>
                <w:rFonts w:ascii="Times New Roman" w:hAnsi="Times New Roman"/>
                <w:sz w:val="22"/>
              </w:rPr>
              <w:t>ESBL-carrying IncFII lineage; community-associated urinary tract infections</w:t>
            </w:r>
          </w:p>
        </w:tc>
      </w:tr>
      <w:tr>
        <w:tc>
          <w:tcPr>
            <w:tcW w:type="dxa" w:w="1560"/>
          </w:tcPr>
          <w:p>
            <w:r>
              <w:rPr>
                <w:rFonts w:ascii="Times New Roman" w:hAnsi="Times New Roman"/>
                <w:sz w:val="22"/>
              </w:rPr>
              <w:t>**860**</w:t>
            </w:r>
          </w:p>
        </w:tc>
        <w:tc>
          <w:tcPr>
            <w:tcW w:type="dxa" w:w="1560"/>
          </w:tcPr>
          <w:p>
            <w:r>
              <w:rPr>
                <w:rFonts w:ascii="Times New Roman" w:hAnsi="Times New Roman"/>
                <w:sz w:val="22"/>
              </w:rPr>
              <w:t>142</w:t>
            </w:r>
          </w:p>
        </w:tc>
        <w:tc>
          <w:tcPr>
            <w:tcW w:type="dxa" w:w="1560"/>
          </w:tcPr>
          <w:p>
            <w:r>
              <w:rPr>
                <w:rFonts w:ascii="Times New Roman" w:hAnsi="Times New Roman"/>
                <w:sz w:val="22"/>
              </w:rPr>
              <w:t>5 Inc groups: IncN (73.2%), IncHI2 (23.2%), IncFII, IncHI1, IncX1</w:t>
            </w:r>
          </w:p>
        </w:tc>
        <w:tc>
          <w:tcPr>
            <w:tcW w:type="dxa" w:w="1560"/>
          </w:tcPr>
          <w:p>
            <w:r>
              <w:rPr>
                <w:rFonts w:ascii="Times New Roman" w:hAnsi="Times New Roman"/>
                <w:sz w:val="22"/>
              </w:rPr>
              <w:t>14.4</w:t>
            </w:r>
          </w:p>
        </w:tc>
        <w:tc>
          <w:tcPr>
            <w:tcW w:type="dxa" w:w="1560"/>
          </w:tcPr>
          <w:p>
            <w:r>
              <w:rPr>
                <w:rFonts w:ascii="Times New Roman" w:hAnsi="Times New Roman"/>
                <w:sz w:val="22"/>
              </w:rPr>
              <w:t>sul1 (61.3%), floR (56.3%), mph(A)/mrx(A) (54.2%), blaTEM-1 (38.0%), mcr (44.4%)</w:t>
            </w:r>
          </w:p>
        </w:tc>
        <w:tc>
          <w:tcPr>
            <w:tcW w:type="dxa" w:w="1560"/>
          </w:tcPr>
          <w:p>
            <w:r>
              <w:rPr>
                <w:rFonts w:ascii="Times New Roman" w:hAnsi="Times New Roman"/>
                <w:sz w:val="22"/>
              </w:rPr>
              <w:t>Multi-Inc convergence zone; multi-drug resistance with colistin resistance (44.4% mcr carriage); MDR hub</w:t>
            </w:r>
          </w:p>
        </w:tc>
      </w:tr>
      <w:tr>
        <w:tc>
          <w:tcPr>
            <w:tcW w:type="dxa" w:w="1560"/>
          </w:tcPr>
          <w:p>
            <w:r>
              <w:rPr>
                <w:rFonts w:ascii="Times New Roman" w:hAnsi="Times New Roman"/>
                <w:sz w:val="22"/>
              </w:rPr>
              <w:t>**671**</w:t>
            </w:r>
          </w:p>
        </w:tc>
        <w:tc>
          <w:tcPr>
            <w:tcW w:type="dxa" w:w="1560"/>
          </w:tcPr>
          <w:p>
            <w:r>
              <w:rPr>
                <w:rFonts w:ascii="Times New Roman" w:hAnsi="Times New Roman"/>
                <w:sz w:val="22"/>
              </w:rPr>
              <w:t>90</w:t>
            </w:r>
          </w:p>
        </w:tc>
        <w:tc>
          <w:tcPr>
            <w:tcW w:type="dxa" w:w="1560"/>
          </w:tcPr>
          <w:p>
            <w:r>
              <w:rPr>
                <w:rFonts w:ascii="Times New Roman" w:hAnsi="Times New Roman"/>
                <w:sz w:val="22"/>
              </w:rPr>
              <w:t>IncN</w:t>
            </w:r>
          </w:p>
        </w:tc>
        <w:tc>
          <w:tcPr>
            <w:tcW w:type="dxa" w:w="1560"/>
          </w:tcPr>
          <w:p>
            <w:r>
              <w:rPr>
                <w:rFonts w:ascii="Times New Roman" w:hAnsi="Times New Roman"/>
                <w:sz w:val="22"/>
              </w:rPr>
              <w:t>13.2</w:t>
            </w:r>
          </w:p>
        </w:tc>
        <w:tc>
          <w:tcPr>
            <w:tcW w:type="dxa" w:w="1560"/>
          </w:tcPr>
          <w:p>
            <w:r>
              <w:rPr>
                <w:rFonts w:ascii="Times New Roman" w:hAnsi="Times New Roman"/>
                <w:sz w:val="22"/>
              </w:rPr>
              <w:t>blaKPC-2 (100%), blaTEM-1 (100%), aph(3'')-Ib (98%), aac(3)-IId (97%)</w:t>
            </w:r>
          </w:p>
        </w:tc>
        <w:tc>
          <w:tcPr>
            <w:tcW w:type="dxa" w:w="1560"/>
          </w:tcPr>
          <w:p>
            <w:r>
              <w:rPr>
                <w:rFonts w:ascii="Times New Roman" w:hAnsi="Times New Roman"/>
                <w:sz w:val="22"/>
              </w:rPr>
              <w:t>Uniformly carbapenemase-positive; immediate isolation trigger; confirmed in German surveillance (Yao 2023)</w:t>
            </w:r>
          </w:p>
        </w:tc>
      </w:tr>
    </w:tbl>
    <w:p/>
    <w:p>
      <w:pPr>
        <w:spacing w:after="120" w:before="0" w:line="480" w:lineRule="auto"/>
      </w:pPr>
      <w:r>
        <w:rPr>
          <w:rFonts w:ascii="Times New Roman" w:hAnsi="Times New Roman"/>
          <w:b/>
          <w:i w:val="0"/>
          <w:sz w:val="24"/>
        </w:rPr>
        <w:t>Cross-validation matches:</w:t>
      </w:r>
      <w:r>
        <w:rPr>
          <w:rFonts w:ascii="Times New Roman" w:hAnsi="Times New Roman"/>
          <w:b w:val="0"/>
          <w:i w:val="0"/>
          <w:sz w:val="24"/>
        </w:rPr>
        <w:t xml:space="preserve"> - pLIN 671: CP104944 (Yao et al. 2023, KPC-2, 61 hospitals, Germany) -- assigned with 100% confidence, d=0.0000 - pLIN 860: CP022533 (Roberts et al. 2020, IMP-4, Royal Brisbane Hospital, Australia) -- assigned with 100% confidence, d=0.0004</w:t>
      </w:r>
    </w:p>
    <w:p>
      <w:pPr>
        <w:spacing w:after="120" w:before="0" w:line="480" w:lineRule="auto"/>
      </w:pPr>
      <w:r>
        <w:rPr>
          <w:rFonts w:ascii="Times New Roman" w:hAnsi="Times New Roman"/>
          <w:b/>
          <w:i w:val="0"/>
          <w:sz w:val="24"/>
        </w:rPr>
        <w:t>Interpretation:</w:t>
      </w:r>
      <w:r>
        <w:rPr>
          <w:rFonts w:ascii="Times New Roman" w:hAnsi="Times New Roman"/>
          <w:b w:val="0"/>
          <w:i w:val="0"/>
          <w:sz w:val="24"/>
        </w:rPr>
        <w:t xml:space="preserve"> These lineages represent priority surveillance targets because they combine high AMR gene burden with evidence of widespread dissemination across multiple Inc groups, host species, and geographic regions. pLIN 671 and pLIN 860 were independently identified in both our training dataset and external outbreak studies, confirming their epidemiological significance and the transferability of pLIN codes across studies.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