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igure-legends"/>
    <w:p>
      <w:pPr>
        <w:pStyle w:val="Heading1"/>
      </w:pPr>
      <w:r>
        <w:t xml:space="preserve">Figure legends</w:t>
      </w:r>
    </w:p>
    <w:bookmarkStart w:id="9" w:name="Xb59d8c555920e1c77b3686cde744c21c3e1d781"/>
    <w:p>
      <w:pPr>
        <w:pStyle w:val="Heading2"/>
      </w:pPr>
      <w:r>
        <w:t xml:space="preserve">Figure 1: Dataset overview and pLIN diversity</w:t>
      </w:r>
    </w:p>
    <w:p>
      <w:pPr>
        <w:pStyle w:val="FirstParagraph"/>
      </w:pPr>
      <w:r>
        <w:rPr>
          <w:b/>
          <w:bCs/>
        </w:rPr>
        <w:t xml:space="preserve">(A)</w:t>
      </w:r>
      <w:r>
        <w:t xml:space="preserve"> </w:t>
      </w:r>
      <w:r>
        <w:t xml:space="preserve">Distribution of 8,077 plasmid sequences across 28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Among Gram-negative groups, three dominate: IncFII (n=4,629; 62.5%), IncN (n=1,097; 14.8%), and IncX1 (n=705; 9.5%). The four Gram-positive rep type groups contribute 407 sequences: repSA_large (n=121), repSA_small (n=73), repEF_conj (n=92), and repEF_res (n=121).</w:t>
      </w:r>
      <w:r>
        <w:t xml:space="preserve"> </w:t>
      </w:r>
      <w:r>
        <w:rPr>
          <w:b/>
          <w:bCs/>
        </w:rPr>
        <w:t xml:space="preserve">(B)</w:t>
      </w:r>
      <w:r>
        <w:t xml:space="preserve"> </w:t>
      </w:r>
      <w:r>
        <w:t xml:space="preserve">Number of unique pLIN strain-level (L6) codes per group. A total of 2,681 unique codes were resolved, with 2,034 (75.9%) representing singletons. Gram-positive groups contributed 227 additional L6 codes.</w:t>
      </w:r>
      <w:r>
        <w:t xml:space="preserve"> </w:t>
      </w:r>
      <w:r>
        <w:rPr>
          <w:b/>
          <w:bCs/>
        </w:rPr>
        <w:t xml:space="preserve">(C)</w:t>
      </w:r>
      <w:r>
        <w:t xml:space="preserve"> </w:t>
      </w:r>
      <w:r>
        <w:t xml:space="preserve">Comparison of discriminatory power: pLIN (Simpson’s D = 0.982) versus Inc/rep typing alone (D = 0.541), representing a 1.81-fold improvement. Error bars indicate 95% confidence intervals.</w:t>
      </w:r>
    </w:p>
    <w:bookmarkEnd w:id="9"/>
    <w:bookmarkStart w:id="10" w:name="figure-2-amr-gene-prevalence-overview"/>
    <w:p>
      <w:pPr>
        <w:pStyle w:val="Heading2"/>
      </w:pPr>
      <w:r>
        <w:t xml:space="preserve">Figure 2: AMR gene prevalence overview</w:t>
      </w:r>
    </w:p>
    <w:p>
      <w:pPr>
        <w:pStyle w:val="FirstParagraph"/>
      </w:pPr>
      <w:r>
        <w:t xml:space="preserve">Prevalence of the top 20 most frequently detected AMR genes across 4,657 AMR-positive plasmids. The three most prevalent genes were blaTEM-1 (n=1,937; 41.6%), sul1 (n=1,728; 37.1%), and tet(A) (n=1,381; 29.7%). Gene detections were identified using AMRFinderPlus v4.2.5 (database 2026-01-21.1). Bars are coloured by drug class.</w:t>
      </w:r>
    </w:p>
    <w:bookmarkEnd w:id="10"/>
    <w:bookmarkStart w:id="11" w:name="Xd6c8831afdeb471599b2f181feace4297674b2f"/>
    <w:p>
      <w:pPr>
        <w:pStyle w:val="Heading2"/>
      </w:pPr>
      <w:r>
        <w:t xml:space="preserve">Figure 3: Clinically critical resistance determinants</w:t>
      </w:r>
    </w:p>
    <w:p>
      <w:pPr>
        <w:pStyle w:val="FirstParagraph"/>
      </w:pPr>
      <w:r>
        <w:rPr>
          <w:b/>
          <w:bCs/>
        </w:rPr>
        <w:t xml:space="preserve">(A)</w:t>
      </w:r>
      <w:r>
        <w:t xml:space="preserve"> </w:t>
      </w:r>
      <w:r>
        <w:t xml:space="preserve">Carbapenemase gene distribution: 1,623 total detections dominated by blaKPC-2 (n=824), blaNDM-1 (n=228), blaKPC-3 (n=193), and blaNDM-5 (n=89).</w:t>
      </w:r>
      <w:r>
        <w:t xml:space="preserve"> </w:t>
      </w:r>
      <w:r>
        <w:rPr>
          <w:b/>
          <w:bCs/>
        </w:rPr>
        <w:t xml:space="preserve">(B)</w:t>
      </w:r>
      <w:r>
        <w:t xml:space="preserve"> </w:t>
      </w:r>
      <w:r>
        <w:t xml:space="preserve">Extended-spectrum beta-lactamase (ESBL) gene distribution: 2,056 total detections led by blaCTX-M-15 (n=505), blaCTX-M-65 (n=319), and blaSHV-12 (n=277).</w:t>
      </w:r>
      <w:r>
        <w:t xml:space="preserve"> </w:t>
      </w:r>
      <w:r>
        <w:rPr>
          <w:b/>
          <w:bCs/>
        </w:rPr>
        <w:t xml:space="preserve">(C)</w:t>
      </w:r>
      <w:r>
        <w:t xml:space="preserve"> </w:t>
      </w:r>
      <w:r>
        <w:t xml:space="preserve">Mobile colistin resistance gene distribution: 204 total detections with mcr-1.1 (n=83), mcr-8.1 (n=27), and mcr-8.2 (n=18) predominating.</w:t>
      </w:r>
      <w:r>
        <w:t xml:space="preserve"> </w:t>
      </w:r>
      <w:r>
        <w:rPr>
          <w:b/>
          <w:bCs/>
        </w:rPr>
        <w:t xml:space="preserve">(D)</w:t>
      </w:r>
      <w:r>
        <w:t xml:space="preserve"> </w:t>
      </w:r>
      <w:r>
        <w:t xml:space="preserve">Plasmid-mediated quinolone resistance (PMQR) determinant distribution: 2,349 total detections led by aac(6’)-Ib-cr5 (n=737) and qnrS1 (n=732).</w:t>
      </w:r>
    </w:p>
    <w:bookmarkEnd w:id="11"/>
    <w:bookmarkStart w:id="12" w:name="Xc1fdff29229b05336020e6f45946f1fb27f1679"/>
    <w:p>
      <w:pPr>
        <w:pStyle w:val="Heading2"/>
      </w:pPr>
      <w:r>
        <w:t xml:space="preserve">Figure 4: AMR gene prevalence heatmap across pLIN lineages</w:t>
      </w:r>
    </w:p>
    <w:p>
      <w:pPr>
        <w:pStyle w:val="FirstParagraph"/>
      </w:pPr>
      <w:r>
        <w:t xml:space="preserve">Heatmap showing the prevalence of clinically important AMR genes across the top pLIN lineages (rows) ordered by total AMR burden. Columns represent individual resistance genes grouped by drug class. Colour intensity reflects prevalence within each lineage (0–100%). pLIN 671 (IncN) shows uniform blaKPC-2 carriage (100%), while pLIN 860 shows a distinctive multi-drug resistance signature spanning carbapenemases, aminoglycoside-modifying enzymes, and colistin resistance. White cells indicate absence of the gene in that lineage.</w:t>
      </w:r>
    </w:p>
    <w:bookmarkEnd w:id="12"/>
    <w:bookmarkStart w:id="13" w:name="X6dc74694a89f7b4cafdca11d0948832457edb77"/>
    <w:p>
      <w:pPr>
        <w:pStyle w:val="Heading2"/>
      </w:pPr>
      <w:r>
        <w:t xml:space="preserve">Figure 5: AMR gene burden and virulence distribution</w:t>
      </w:r>
    </w:p>
    <w:p>
      <w:pPr>
        <w:pStyle w:val="FirstParagraph"/>
      </w:pPr>
      <w:r>
        <w:rPr>
          <w:b/>
          <w:bCs/>
        </w:rPr>
        <w:t xml:space="preserve">(A)</w:t>
      </w:r>
      <w:r>
        <w:t xml:space="preserve"> </w:t>
      </w:r>
      <w:r>
        <w:t xml:space="preserve">Distribution of mean AMR gene count per plasmid across all 28 groups. Among Gram-negative Inc groups, IncAC2 carries the highest mean burden (12.6 genes per plasmid), followed by IncHI2 (10.8), IncC (9.4), and IncA (8.9). Five Gram-negative Inc groups show 100% AMR gene carriage: IncA, IncAC2, IncC, IncFIC, and IncHI2. Among Gram-positive groups, repEF_res shows the highest AMR burden (mean 8.3 genes per plasmid, 94.2% carriage), dominated by vancomycin resistance operons.</w:t>
      </w:r>
      <w:r>
        <w:t xml:space="preserve"> </w:t>
      </w:r>
      <w:r>
        <w:rPr>
          <w:b/>
          <w:bCs/>
        </w:rPr>
        <w:t xml:space="preserve">(B)</w:t>
      </w:r>
      <w:r>
        <w:t xml:space="preserve"> </w:t>
      </w:r>
      <w:r>
        <w:t xml:space="preserve">Virulence gene prevalence by group. IncFII has the highest virulence gene prevalence (23.2%), followed by IncFIC (21.4%) and IncF (18.7%), reflecting the known association of IncF-family replicons with uropathogenic</w:t>
      </w:r>
      <w:r>
        <w:t xml:space="preserve"> </w:t>
      </w:r>
      <w:r>
        <w:rPr>
          <w:i/>
          <w:iCs/>
        </w:rPr>
        <w:t xml:space="preserve">Escherichia coli</w:t>
      </w:r>
      <w:r>
        <w:t xml:space="preserve"> </w:t>
      </w:r>
      <w:r>
        <w:t xml:space="preserve">virulence factors.</w:t>
      </w:r>
    </w:p>
    <w:bookmarkEnd w:id="13"/>
    <w:bookmarkStart w:id="14" w:name="figure-6-plin-hierarchical-structure"/>
    <w:p>
      <w:pPr>
        <w:pStyle w:val="Heading2"/>
      </w:pPr>
      <w:r>
        <w:t xml:space="preserve">Figure 6: pLIN hierarchical structure</w:t>
      </w:r>
    </w:p>
    <w:p>
      <w:pPr>
        <w:pStyle w:val="FirstParagraph"/>
      </w:pPr>
      <w:r>
        <w:t xml:space="preserve">Dendrogram illustrating the six-level hierarchical clustering structure for a representative subset of plasmids. Horizontal dashed lines indicate the six distance thresholds: L1 (d&lt;=0.150), L2 (d&lt;=0.100), L3 (d&lt;=0.050), L4 (d&lt;=0.020), L5 (d&lt;=0.010), and L6 (d&lt;=0.001). Branch colours represent Inc/rep groups, with Gram-positive groups shown in warm tones (repSA_large: orange, repSA_small: coral, repEF_conj: magenta, repEF_res: red). The inset shows the FastANI validation: at L6 (d&lt;=0.001), median ANI = 99.9%; overall Spearman rho = -0.361 (P &lt; 10^-100) across 5,430 plasmid pairs from all 28 groups. All four Gram-positive rep type groups showed significant cosine-to-ANI correlations (P &lt; 0.001).</w:t>
      </w:r>
    </w:p>
    <w:bookmarkEnd w:id="14"/>
    <w:bookmarkStart w:id="15" w:name="figure-7-plin-analysis-pipeline-overview"/>
    <w:p>
      <w:pPr>
        <w:pStyle w:val="Heading2"/>
      </w:pPr>
      <w:r>
        <w:t xml:space="preserve">Figure 7: pLIN analysis pipeline overview</w:t>
      </w:r>
    </w:p>
    <w:p>
      <w:pPr>
        <w:pStyle w:val="FirstParagraph"/>
      </w:pPr>
      <w:r>
        <w:t xml:space="preserve">Schematic of the pLIN computational pipeline. Input: FASTA file(s) of assembled sequences (plasmid, chromosomal, or mixed assemblies). Step 1: tetranucleotide (4-mer) frequency computation (256-dimensional vector per sequence). Step 1b: automatic plasmid contig identification using multi-signal scoring (sequence length, cosine distance to nearest plasmid training vector, FASTA header keyword matching, and Inc/rep classifier confidence); contigs classified as chromosomal are excluded from downstream pLIN assignment. Step 2: KNN classification (k=5, cosine distance, distance-weighted) for Inc/rep group prediction across 28 groups (20 Gram-negative Inc, 4 Gram-positive, 2</w:t>
      </w:r>
      <w:r>
        <w:t xml:space="preserve"> </w:t>
      </w:r>
      <w:r>
        <w:rPr>
          <w:i/>
          <w:iCs/>
        </w:rPr>
        <w:t xml:space="preserve">Acinetobacter</w:t>
      </w:r>
      <w:r>
        <w:t xml:space="preserve">, 2</w:t>
      </w:r>
      <w:r>
        <w:t xml:space="preserve"> </w:t>
      </w:r>
      <w:r>
        <w:rPr>
          <w:i/>
          <w:iCs/>
        </w:rPr>
        <w:t xml:space="preserve">Pseudomonas</w:t>
      </w:r>
      <w:r>
        <w:t xml:space="preserve">). Step 3: within-group single-linkage hierarchical clustering for pLIN code assignment at six thresholds. Step 4: AMRFinderPlus annotation for AMR, virulence, and stress-response genes. Step 5 (optional): automated outbreak detection with clinical risk stratification (CRITICAL/HIGH/MODERATE). Step 6 (optional): analytical modules for assembly completeness assessment, database coverage and novelty detection, recombination detection, novel group discovery, evolutionary rate estimation, adaptive threshold calibration, and MGE boundary detection. Output: integrated report with pLIN codes, Inc/rep assignments, AMR profiles, outbreak alerts, and analytical module results.</w:t>
      </w:r>
    </w:p>
    <w:bookmarkEnd w:id="15"/>
    <w:bookmarkStart w:id="16" w:name="Xb364df9dfb8944d77a6acfa6c83fdf7611912d1"/>
    <w:p>
      <w:pPr>
        <w:pStyle w:val="Heading2"/>
      </w:pPr>
      <w:r>
        <w:t xml:space="preserve">Figure 8: pLIN hierarchical classification system</w:t>
      </w:r>
    </w:p>
    <w:p>
      <w:pPr>
        <w:pStyle w:val="FirstParagraph"/>
      </w:pPr>
      <w:r>
        <w:t xml:space="preserve">Conceptual illustration of the six-level pLIN code structure using pLIN 1.1.2.15.48.671 as an example. Each digit represents assignment at a progressively finer clustering threshold: L1 (superfamily) through L6 (strain/outbreak level). The figure demonstrates how a single plasmid is simultaneously classified at all six resolution levels, enabling multi-scale epidemiological investigation from broad plasmid family surveys to outbreak confirmation.</w:t>
      </w:r>
    </w:p>
    <w:bookmarkEnd w:id="16"/>
    <w:bookmarkStart w:id="17" w:name="Xa40fc8fdfcc8de39eca9d0d2576655078637b07"/>
    <w:p>
      <w:pPr>
        <w:pStyle w:val="Heading2"/>
      </w:pPr>
      <w:r>
        <w:t xml:space="preserve">Figure 9: Comparison of plasmid classification methods</w:t>
      </w:r>
    </w:p>
    <w:p>
      <w:pPr>
        <w:pStyle w:val="FirstParagraph"/>
      </w:pPr>
      <w:r>
        <w:t xml:space="preserve">Radar chart comparing pLIN with five existing plasmid classification approaches (PlasmidFinder, pMLST, MOB-suite, COPLA, mge-cluster) across seven clinical utility dimensions: discriminatory power, hierarchical resolution, nomenclature stability, AMR integration, outbreak detection, risk stratification, and reference-free operation. pLIN uniquely achieves high scores across all dimensions.</w:t>
      </w:r>
    </w:p>
    <w:bookmarkEnd w:id="17"/>
    <w:bookmarkStart w:id="18" w:name="X59c9166043650a6512a264f44a835c3eadcadb5"/>
    <w:p>
      <w:pPr>
        <w:pStyle w:val="Heading2"/>
      </w:pPr>
      <w:r>
        <w:t xml:space="preserve">Figure 10: Reference database expansion to 78,902 plasmids</w:t>
      </w:r>
    </w:p>
    <w:p>
      <w:pPr>
        <w:pStyle w:val="FirstParagraph"/>
      </w:pPr>
      <w:r>
        <w:rPr>
          <w:b/>
          <w:bCs/>
        </w:rPr>
        <w:t xml:space="preserve">(A)</w:t>
      </w:r>
      <w:r>
        <w:t xml:space="preserve"> </w:t>
      </w:r>
      <w:r>
        <w:t xml:space="preserve">Growth in unique pLIN codes from the training set (8,077 plasmids, 2,681 codes) to the expanded database (78,902 plasmids, 33,571 codes) – a 12.5-fold increase.</w:t>
      </w:r>
      <w:r>
        <w:t xml:space="preserve"> </w:t>
      </w:r>
      <w:r>
        <w:rPr>
          <w:b/>
          <w:bCs/>
        </w:rPr>
        <w:t xml:space="preserve">(B)</w:t>
      </w:r>
      <w:r>
        <w:t xml:space="preserve"> </w:t>
      </w:r>
      <w:r>
        <w:t xml:space="preserve">Classification rate: 96.8% of the 78,902 sequences received a pLIN assignment; 2,524 (3.2%) were classified as Unknown/Novel.</w:t>
      </w:r>
      <w:r>
        <w:t xml:space="preserve"> </w:t>
      </w:r>
      <w:r>
        <w:rPr>
          <w:b/>
          <w:bCs/>
        </w:rPr>
        <w:t xml:space="preserve">(C)</w:t>
      </w:r>
      <w:r>
        <w:t xml:space="preserve"> </w:t>
      </w:r>
      <w:r>
        <w:t xml:space="preserve">Distribution of Inc/rep group assignments across the expanded database, with Gram-positive rep type groups shown separately.</w:t>
      </w:r>
    </w:p>
    <w:bookmarkEnd w:id="18"/>
    <w:bookmarkStart w:id="19" w:name="X39b0e331cf939e4742028eadb6f6674f1044782"/>
    <w:p>
      <w:pPr>
        <w:pStyle w:val="Heading2"/>
      </w:pPr>
      <w:r>
        <w:t xml:space="preserve">Figure 11: Cross-validation against published outbreak datasets</w:t>
      </w:r>
    </w:p>
    <w:p>
      <w:pPr>
        <w:pStyle w:val="FirstParagraph"/>
      </w:pPr>
      <w:r>
        <w:rPr>
          <w:b/>
          <w:bCs/>
        </w:rPr>
        <w:t xml:space="preserve">(A)</w:t>
      </w:r>
      <w:r>
        <w:t xml:space="preserve"> </w:t>
      </w:r>
      <w:r>
        <w:t xml:space="preserve">Study 1 (Yao et al. 2023): three KPC-2 plasmids from a 61-hospital German surveillance network. CP104944 was assigned pLIN 671 (d=0.0000), matching the independently identified KPC-2 hotspot lineage. CP104940 and CP104949, from different bacterial species, shared pLIN 725.</w:t>
      </w:r>
      <w:r>
        <w:t xml:space="preserve"> </w:t>
      </w:r>
      <w:r>
        <w:rPr>
          <w:b/>
          <w:bCs/>
        </w:rPr>
        <w:t xml:space="preserve">(B)</w:t>
      </w:r>
      <w:r>
        <w:t xml:space="preserve"> </w:t>
      </w:r>
      <w:r>
        <w:t xml:space="preserve">Study 2 (Weber et al. 2019): 12 NDM-1 plasmids from a polyclonal single-hospital outbreak resolved into 9 unique L6 codes within 1 L3 cluster. Four plasmids sharing an IncA/C2 backbone grouped under pLIN 492.</w:t>
      </w:r>
      <w:r>
        <w:t xml:space="preserve"> </w:t>
      </w:r>
      <w:r>
        <w:rPr>
          <w:b/>
          <w:bCs/>
        </w:rPr>
        <w:t xml:space="preserve">(C)</w:t>
      </w:r>
      <w:r>
        <w:t xml:space="preserve"> </w:t>
      </w:r>
      <w:r>
        <w:t xml:space="preserve">Study 3 (Marimuthu et al. 2022): a nationally disseminated KPC-2 plasmid from Singapore (MN542377) assigned pLIN 2455 (IncN, 60.9% confidence, d=0.0058), representing a novel strain-level variant.</w:t>
      </w:r>
      <w:r>
        <w:t xml:space="preserve"> </w:t>
      </w:r>
      <w:r>
        <w:rPr>
          <w:b/>
          <w:bCs/>
        </w:rPr>
        <w:t xml:space="preserve">(D)</w:t>
      </w:r>
      <w:r>
        <w:t xml:space="preserve"> </w:t>
      </w:r>
      <w:r>
        <w:t xml:space="preserve">Study 4 (Roberts et al. 2020): an IMP-4-carrying IncHI2 outbreak plasmid from Australia (CP022533) assigned pLIN 860 (100% confidence, d=0.0004) – the same multi-drug resistance hub lineage identified in the training data.</w:t>
      </w:r>
    </w:p>
    <w:bookmarkEnd w:id="19"/>
    <w:bookmarkStart w:id="20" w:name="X40625ba482f6817920ed7a6c3be51ada6a632f6"/>
    <w:p>
      <w:pPr>
        <w:pStyle w:val="Heading2"/>
      </w:pPr>
      <w:r>
        <w:t xml:space="preserve">Figure 12: Resolution comparison across plasmid classification methods</w:t>
      </w:r>
    </w:p>
    <w:p>
      <w:pPr>
        <w:pStyle w:val="FirstParagraph"/>
      </w:pPr>
      <w:r>
        <w:t xml:space="preserve">Alluvial flow diagram showing how 74 outbreak plasmids from 27 studies across 13 countries are resolved by six classification methods, ordered by increasing resolution. Ribbons are coloured by resistance mechanism (KPC, NDM, OXA-48, mcr, CTX-M, VIM, IMP). PlasmidFinder produces 11 flat Inc group labels with 100% coverage but no hierarchical structure; pMLST resolves 10 sequence types but 39% of plasmids lack a typing scheme; MOB-suite classifies 61% into 8 cluster IDs (39% unclassified, grey bands); COPLA/PTU classifies 57% into 6 PTU groups (43% unclassified); mge-cluster resolves 22 clusters with 100% coverage but produces no permanent codes (dashed borders). pLIN resolves all 74 plasmids into 42 unique hierarchical codes with 100% coverage and permanent nomenclature. Callout annotations highlight three key outbreak examples: Ho 2019 NDM (12/13 plasmids share pLIN 475 vs all labelled</w:t>
      </w:r>
      <w:r>
        <w:t xml:space="preserve"> </w:t>
      </w:r>
      <w:r>
        <w:t xml:space="preserve">“IncX3”</w:t>
      </w:r>
      <w:r>
        <w:t xml:space="preserve"> </w:t>
      </w:r>
      <w:r>
        <w:t xml:space="preserve">by PlasmidFinder), OXA-48 cross-country transmission (5/6 share pLIN 1688 across Turkey, Netherlands, and France), and mcr-1 backbone separation (pLIN 87 for IncI2 carriers vs pLIN 340 for IncX4 carriers).</w:t>
      </w:r>
    </w:p>
    <w:bookmarkEnd w:id="20"/>
    <w:bookmarkStart w:id="21" w:name="X8181e5c59910d90acee78222173f68aec6e0e8a"/>
    <w:p>
      <w:pPr>
        <w:pStyle w:val="Heading2"/>
      </w:pPr>
      <w:r>
        <w:t xml:space="preserve">Figure 13: Combined chromosomal-plasmid typing: transmission mode discrimination</w:t>
      </w:r>
    </w:p>
    <w:p>
      <w:pPr>
        <w:pStyle w:val="FirstParagraph"/>
      </w:pPr>
      <w:r>
        <w:rPr>
          <w:b/>
          <w:bCs/>
        </w:rPr>
        <w:t xml:space="preserve">(A)</w:t>
      </w:r>
      <w:r>
        <w:t xml:space="preserve"> </w:t>
      </w:r>
      <w:r>
        <w:t xml:space="preserve">Bipartite network showing MLST sequence type (ST) nodes (left, coloured by host species) connected to pLIN L6 code nodes (right). Edges represent co-occurrence of an ST and pLIN code within the same outbreak study. Edge colours indicate transmission mode: red = clonal spread (same ST, same pLIN), orange = horizontal plasmid transfer (different ST, same pLIN). Seven host species are represented:</w:t>
      </w:r>
      <w:r>
        <w:t xml:space="preserve"> </w:t>
      </w:r>
      <w:r>
        <w:rPr>
          <w:i/>
          <w:iCs/>
        </w:rPr>
        <w:t xml:space="preserve">Escherichia coli</w:t>
      </w:r>
      <w:r>
        <w:t xml:space="preserve">,</w:t>
      </w:r>
      <w:r>
        <w:t xml:space="preserve"> </w:t>
      </w:r>
      <w:r>
        <w:rPr>
          <w:i/>
          <w:iCs/>
        </w:rPr>
        <w:t xml:space="preserve">Klebsiella pneumoniae</w:t>
      </w:r>
      <w:r>
        <w:t xml:space="preserve">,</w:t>
      </w:r>
      <w:r>
        <w:t xml:space="preserve"> </w:t>
      </w:r>
      <w:r>
        <w:rPr>
          <w:i/>
          <w:iCs/>
        </w:rPr>
        <w:t xml:space="preserve">Enterobacter cloacae</w:t>
      </w:r>
      <w:r>
        <w:t xml:space="preserve">,</w:t>
      </w:r>
      <w:r>
        <w:t xml:space="preserve"> </w:t>
      </w:r>
      <w:r>
        <w:rPr>
          <w:i/>
          <w:iCs/>
        </w:rPr>
        <w:t xml:space="preserve">Citrobacter freundii</w:t>
      </w:r>
      <w:r>
        <w:t xml:space="preserve">,</w:t>
      </w:r>
      <w:r>
        <w:t xml:space="preserve"> </w:t>
      </w:r>
      <w:r>
        <w:rPr>
          <w:i/>
          <w:iCs/>
        </w:rPr>
        <w:t xml:space="preserve">Enterobacter hormaechei</w:t>
      </w:r>
      <w:r>
        <w:t xml:space="preserve">,</w:t>
      </w:r>
      <w:r>
        <w:t xml:space="preserve"> </w:t>
      </w:r>
      <w:r>
        <w:rPr>
          <w:i/>
          <w:iCs/>
        </w:rPr>
        <w:t xml:space="preserve">Salmonella enterica</w:t>
      </w:r>
      <w:r>
        <w:t xml:space="preserve">, and</w:t>
      </w:r>
      <w:r>
        <w:t xml:space="preserve"> </w:t>
      </w:r>
      <w:r>
        <w:rPr>
          <w:i/>
          <w:iCs/>
        </w:rPr>
        <w:t xml:space="preserve">Acinetobacter baumannii</w:t>
      </w:r>
      <w:r>
        <w:t xml:space="preserve">.</w:t>
      </w:r>
      <w:r>
        <w:t xml:space="preserve"> </w:t>
      </w:r>
      <w:r>
        <w:rPr>
          <w:b/>
          <w:bCs/>
        </w:rPr>
        <w:t xml:space="preserve">(B)</w:t>
      </w:r>
      <w:r>
        <w:t xml:space="preserve"> </w:t>
      </w:r>
      <w:r>
        <w:t xml:space="preserve">Stacked horizontal bar chart showing the distribution of transmission modes (clonal spread, horizontal transfer, independent) across 13 outbreak studies, ordered by total pairwise comparisons. The Ho 2019 NDM Hong Kong study contributed the most pairwise comparisons (n=78), with 19 clonal pairs and 47 horizontal transfer pairs across four STs.</w:t>
      </w:r>
      <w:r>
        <w:t xml:space="preserve"> </w:t>
      </w:r>
      <w:r>
        <w:rPr>
          <w:b/>
          <w:bCs/>
        </w:rPr>
        <w:t xml:space="preserve">(C)</w:t>
      </w:r>
      <w:r>
        <w:t xml:space="preserve"> </w:t>
      </w:r>
      <w:r>
        <w:t xml:space="preserve">Summary validation metrics: 13 studies evaluated, 7 host species, 20 unique MLST STs, 92.3% overall concordance (12/13), 100% multi-ST diversity detection (13/13), and 92.3% clonal spread detection (12/13).</w:t>
      </w:r>
    </w:p>
    <w:bookmarkEnd w:id="21"/>
    <w:bookmarkStart w:id="22" w:name="X2e21a7a9c2390b339c058af268859e7063d1c81"/>
    <w:p>
      <w:pPr>
        <w:pStyle w:val="Heading2"/>
      </w:pPr>
      <w:r>
        <w:t xml:space="preserve">Figure 14: Analytical module validation summary</w:t>
      </w:r>
    </w:p>
    <w:p>
      <w:pPr>
        <w:pStyle w:val="FirstParagraph"/>
      </w:pPr>
      <w:r>
        <w:t xml:space="preserve">Overview of validation performance for the analytical modules developed to address previously identified limitations of the pLIN framework.</w:t>
      </w:r>
      <w:r>
        <w:t xml:space="preserve"> </w:t>
      </w:r>
      <w:r>
        <w:rPr>
          <w:b/>
          <w:bCs/>
        </w:rPr>
        <w:t xml:space="preserve">(A)</w:t>
      </w:r>
      <w:r>
        <w:t xml:space="preserve"> </w:t>
      </w:r>
      <w:r>
        <w:t xml:space="preserve">Assembly completeness assessment: receiver operating characteristic (ROC) curves for each of the five sub-scores (circular topology signal AUC=0.97, contig count AUC=0.94, N50 ratio AUC=0.91, coding density AUC=0.87, N-gap presence AUC=0.84) and the composite score (AUC=0.96), validated against 500 plasmid sequences with known assembly status (250 complete, 250 draft). Confusion matrix shows 94.2% correct categorisation of complete assemblies and 91.6% correct categorisation of fragmented/poor assemblies.</w:t>
      </w:r>
      <w:r>
        <w:t xml:space="preserve"> </w:t>
      </w:r>
      <w:r>
        <w:rPr>
          <w:b/>
          <w:bCs/>
        </w:rPr>
        <w:t xml:space="preserve">(B)</w:t>
      </w:r>
      <w:r>
        <w:t xml:space="preserve"> </w:t>
      </w:r>
      <w:r>
        <w:t xml:space="preserve">Plasmid contig identification: validation of the multi-signal scoring system against 1,200 mixed contigs (600 chromosomal, 600 plasmid). Left: composite score distributions for chromosomal (blue) and plasmid (red) contigs, with decision boundaries at -10 and +10 shown as vertical dashed lines. Centre: per-signal contribution analysis showing the relative discriminatory power of each of the four signals (sequence length, cosine distance, header keywords, classifier confidence) by contig size category. Right: confusion matrix showing &gt;95% specificity for chromosomal exclusion and &gt;98% sensitivity for plasmid retention.</w:t>
      </w:r>
      <w:r>
        <w:t xml:space="preserve"> </w:t>
      </w:r>
      <w:r>
        <w:rPr>
          <w:b/>
          <w:bCs/>
        </w:rPr>
        <w:t xml:space="preserve">(C)</w:t>
      </w:r>
      <w:r>
        <w:t xml:space="preserve"> </w:t>
      </w:r>
      <w:r>
        <w:t xml:space="preserve">Database coverage and novelty detection: distribution of nearest-neighbour distance percentiles across 8,077 training sequences (leave-one-out). Traffic-light thresholds shown as vertical lines: GREEN (&lt;75th percentile, n=5,782, 78.1%), YELLOW (75th–95th, n=1,186, 16.0%), RED (&gt;95th, n=437, 5.9%). Inset: proportion of RED-flagged sequences exceeding the L3 distance threshold (89.2%).</w:t>
      </w:r>
      <w:r>
        <w:t xml:space="preserve"> </w:t>
      </w:r>
      <w:r>
        <w:rPr>
          <w:b/>
          <w:bCs/>
        </w:rPr>
        <w:t xml:space="preserve">(D)</w:t>
      </w:r>
      <w:r>
        <w:t xml:space="preserve"> </w:t>
      </w:r>
      <w:r>
        <w:t xml:space="preserve">Recombination detection: sensitivity-specificity trade-off across recombination score thresholds. At the selected threshold, sensitivity=87.3% and specificity=94.1% against 150 known mosaic and 350 non-mosaic control plasmids. Box plots compare alignment block counts between mosaic (median 4.7) and non-mosaic (median 1.3) sequences.</w:t>
      </w:r>
    </w:p>
    <w:bookmarkEnd w:id="22"/>
    <w:bookmarkStart w:id="23" w:name="X11687bb84a533a1ff1b5eeceb47d97442c4000d"/>
    <w:p>
      <w:pPr>
        <w:pStyle w:val="Heading2"/>
      </w:pPr>
      <w:r>
        <w:t xml:space="preserve">Figure 15: Novel Inc/rep group discovery and evolutionary rate estimation</w:t>
      </w:r>
    </w:p>
    <w:p>
      <w:pPr>
        <w:pStyle w:val="FirstParagraph"/>
      </w:pPr>
      <w:r>
        <w:rPr>
          <w:b/>
          <w:bCs/>
        </w:rPr>
        <w:t xml:space="preserve">(A)</w:t>
      </w:r>
      <w:r>
        <w:t xml:space="preserve"> </w:t>
      </w:r>
      <w:r>
        <w:t xml:space="preserve">Novel group discovery: UMAP projection of 2,524 unclassified sequences from the expanded 78,902-plasmid database, coloured by putative novel cluster membership. Eighteen putative novel Inc/rep groups (&gt;=3 members each) are highlighted, comprising 247 plasmids (9.8% of unclassified sequences). The largest cluster (31 members, mean intra-cluster distance 0.028) is annotated, with its distance to the nearest known group centroid (IncR, d=0.142) shown. Grey points represent unclassified sequences not assigned to any putative group.</w:t>
      </w:r>
      <w:r>
        <w:t xml:space="preserve"> </w:t>
      </w:r>
      <w:r>
        <w:rPr>
          <w:b/>
          <w:bCs/>
        </w:rPr>
        <w:t xml:space="preserve">(B)</w:t>
      </w:r>
      <w:r>
        <w:t xml:space="preserve"> </w:t>
      </w:r>
      <w:r>
        <w:t xml:space="preserve">Distance matrix heatmap showing mean cosine distances between each of the 18 putative novel groups and the 28 established Inc/rep groups. Six putative groups with distances below 0.080 to known groups are marked with asterisks, indicating possible divergent variants rather than truly novel families.</w:t>
      </w:r>
      <w:r>
        <w:t xml:space="preserve"> </w:t>
      </w:r>
      <w:r>
        <w:rPr>
          <w:b/>
          <w:bCs/>
        </w:rPr>
        <w:t xml:space="preserve">(C)</w:t>
      </w:r>
      <w:r>
        <w:t xml:space="preserve"> </w:t>
      </w:r>
      <w:r>
        <w:t xml:space="preserve">Evolutionary rate estimation: scatter plots of pairwise SNP distance versus temporal distance (years) for the 8 of 12 dated L6 clusters with significant temporal signal (R^2 &gt; 0.3). Regression lines and 95% confidence intervals are shown. Estimated substitution rates range from 1.8 x 10^-6 to 8.4 x 10^-6 substitutions per site per year. The grey shaded band indicates the expected plasmid evolutionary rate range (10^-6 to 10^-5 subs/site/year).</w:t>
      </w:r>
    </w:p>
    <w:bookmarkEnd w:id="23"/>
    <w:bookmarkStart w:id="24" w:name="X92870fea36cc7b4f5e52f8b96f8f64c6afd7fec"/>
    <w:p>
      <w:pPr>
        <w:pStyle w:val="Heading2"/>
      </w:pPr>
      <w:r>
        <w:t xml:space="preserve">Figure 16: Adaptive thresholds and cluster stability</w:t>
      </w:r>
    </w:p>
    <w:p>
      <w:pPr>
        <w:pStyle w:val="FirstParagraph"/>
      </w:pPr>
      <w:r>
        <w:rPr>
          <w:b/>
          <w:bCs/>
        </w:rPr>
        <w:t xml:space="preserve">(A)</w:t>
      </w:r>
      <w:r>
        <w:t xml:space="preserve"> </w:t>
      </w:r>
      <w:r>
        <w:t xml:space="preserve">Bootstrap cluster stability scores across 28 Inc/rep groups. For each group, 50 bootstrap iterations (80% resampling) were performed and cluster co-assignment frequencies computed. Box plots show the distribution of pairwise stability scores. Twenty groups achieved mean Adjusted Rand Index (ARI) &gt; 0.85 (high stability, green), while four groups (IncFII, IncFIB, repSA_large, repEF_res) showed moderate stability (ARI 0.70–0.84, yellow).</w:t>
      </w:r>
      <w:r>
        <w:t xml:space="preserve"> </w:t>
      </w:r>
      <w:r>
        <w:rPr>
          <w:b/>
          <w:bCs/>
        </w:rPr>
        <w:t xml:space="preserve">(B)</w:t>
      </w:r>
      <w:r>
        <w:t xml:space="preserve"> </w:t>
      </w:r>
      <w:r>
        <w:t xml:space="preserve">Comparison of single-linkage, complete-linkage, and average-linkage hierarchical clustering methods. Heatmap of ARI values for each group and linkage method, with the optimal method highlighted. Single-linkage was optimal for 16 groups, average-linkage for 5, and complete-linkage for 3.</w:t>
      </w:r>
      <w:r>
        <w:t xml:space="preserve"> </w:t>
      </w:r>
      <w:r>
        <w:rPr>
          <w:b/>
          <w:bCs/>
        </w:rPr>
        <w:t xml:space="preserve">(C)</w:t>
      </w:r>
      <w:r>
        <w:t xml:space="preserve"> </w:t>
      </w:r>
      <w:r>
        <w:t xml:space="preserve">Inc/rep-group-specific calibrated L3 thresholds versus the default threshold (d=0.050, dashed horizontal line). Deviations ranged from 0.000 to 0.019, with repSA_large showing the largest upward deviation (optimal L3=0.062) and IncFII the largest downward deviation (optimal L3=0.042). Error bars represent 95% confidence intervals from bootstrap resampling.</w:t>
      </w:r>
    </w:p>
    <w:bookmarkEnd w:id="24"/>
    <w:bookmarkStart w:id="25" w:name="Xb3eeadab051df20c1133338465a0e71a4ac22e9"/>
    <w:p>
      <w:pPr>
        <w:pStyle w:val="Heading2"/>
      </w:pPr>
      <w:r>
        <w:t xml:space="preserve">Figure 17: Mobile genetic element boundary detection</w:t>
      </w:r>
    </w:p>
    <w:p>
      <w:pPr>
        <w:pStyle w:val="FirstParagraph"/>
      </w:pPr>
      <w:r>
        <w:rPr>
          <w:b/>
          <w:bCs/>
        </w:rPr>
        <w:t xml:space="preserve">(A)</w:t>
      </w:r>
      <w:r>
        <w:t xml:space="preserve"> </w:t>
      </w:r>
      <w:r>
        <w:t xml:space="preserve">Summary of IS element detection across 8,077 training plasmids: 94.7% sensitivity against curated ISfinder annotations, with 8.3% false discovery rate. Bar chart shows the 15 most frequently detected IS families, with IS26 (n=1,247), ISEcp1 (n=412), and IS1 (n=389) predominating among Gram-negative plasmids, and IS256 (n=87), IS257 (n=64), and IS16 (n=52) predominating among Gram-positive plasmids.</w:t>
      </w:r>
      <w:r>
        <w:t xml:space="preserve"> </w:t>
      </w:r>
      <w:r>
        <w:rPr>
          <w:b/>
          <w:bCs/>
        </w:rPr>
        <w:t xml:space="preserve">(B)</w:t>
      </w:r>
      <w:r>
        <w:t xml:space="preserve"> </w:t>
      </w:r>
      <w:r>
        <w:t xml:space="preserve">Representative colour-coded linear gene maps for three plasmids illustrating composite transposon structures: (top) IS26-flanked blaTEM-1 on an IncN plasmid, (middle) ISEcp1-associated blaCTX-M-15 on an IncFII plasmid, (bottom) IS256-flanked aac(6’)-Ie-aph(2’’)-Ia on a repSA_large plasmid. Colour scheme: IS elements (red), integrases/recombinases (orange), AMR genes (blue), virulence genes (green), backbone genes (grey). Gene orientation is indicated by arrow direction.</w:t>
      </w:r>
      <w:r>
        <w:t xml:space="preserve"> </w:t>
      </w:r>
      <w:r>
        <w:rPr>
          <w:b/>
          <w:bCs/>
        </w:rPr>
        <w:t xml:space="preserve">(C)</w:t>
      </w:r>
      <w:r>
        <w:t xml:space="preserve"> </w:t>
      </w:r>
      <w:r>
        <w:t xml:space="preserve">Frequency of composite transposon structures by Inc/rep group (623 total detections across 8,077 plasmids, 7.7%). The three most common IS-resistance gene associations are annotated: IS26-blaTEM-1 (n=187), ISEcp1-blaCTX-M (n=94), and IS26-aadA (n=78). Gram-positive groups show IS256-aminoglycoside resistance as the dominant composite transposon type (n=23).</w:t>
      </w:r>
    </w:p>
    <w:bookmarkEnd w:id="25"/>
    <w:bookmarkStart w:id="26" w:name="X3bf35c7413f12586b827a4f444e8da02f630e03"/>
    <w:p>
      <w:pPr>
        <w:pStyle w:val="Heading2"/>
      </w:pPr>
      <w:r>
        <w:t xml:space="preserve">Figure 18: Plasmid versus chromosome contig classification</w:t>
      </w:r>
    </w:p>
    <w:p>
      <w:pPr>
        <w:pStyle w:val="FirstParagraph"/>
      </w:pPr>
      <w:r>
        <w:t xml:space="preserve">Overview of the multi-signal scoring system for automatic plasmid contig identification.</w:t>
      </w:r>
      <w:r>
        <w:t xml:space="preserve"> </w:t>
      </w:r>
      <w:r>
        <w:rPr>
          <w:b/>
          <w:bCs/>
        </w:rPr>
        <w:t xml:space="preserve">(A)</w:t>
      </w:r>
      <w:r>
        <w:t xml:space="preserve"> </w:t>
      </w:r>
      <w:r>
        <w:t xml:space="preserve">Schematic of the four-signal scoring architecture: sequence length scoring (left; contigs &gt;1 Mb receive -50 points, &gt;500 kb receive -30 points, &lt;300 kb receive +20 points, &lt;20 kb receive +10 points), cosine distance to the nearest plasmid training vector (centre-left; shorter distances indicate greater plasmid similarity), FASTA header keyword matching (centre-right; plasmid-associated and chromosome-associated keyword lists with corresponding positive and negative score contributions), and KNN classifier confidence (right; Inc/rep group assignment probability contributing to the composite score). Composite scores are summed and classified: score &gt;=10 denotes plasmid, score &lt;=-10 denotes chromosome, and borderline scores (-10 to +10) default to plasmid (conservative).</w:t>
      </w:r>
      <w:r>
        <w:t xml:space="preserve"> </w:t>
      </w:r>
      <w:r>
        <w:rPr>
          <w:b/>
          <w:bCs/>
        </w:rPr>
        <w:t xml:space="preserve">(B)</w:t>
      </w:r>
      <w:r>
        <w:t xml:space="preserve"> </w:t>
      </w:r>
      <w:r>
        <w:t xml:space="preserve">Validation on 1,200 mixed contigs (600 chromosomal, 600 plasmid). Violin plots show the distribution of composite scores for chromosomal contigs (median -38.2) and plasmid contigs (median +27.4), with clear separation at the decision boundaries.</w:t>
      </w:r>
      <w:r>
        <w:t xml:space="preserve"> </w:t>
      </w:r>
      <w:r>
        <w:rPr>
          <w:b/>
          <w:bCs/>
        </w:rPr>
        <w:t xml:space="preserve">(C)</w:t>
      </w:r>
      <w:r>
        <w:t xml:space="preserve"> </w:t>
      </w:r>
      <w:r>
        <w:t xml:space="preserve">Performance stratified by contig size: contigs &gt;500 kb (predominantly chromosomal, &gt;95% specificity), contigs 50–500 kb (mixed, 89.4% correct classification from combined signals), and contigs &lt;50 kb (predominantly plasmid, &gt;98% sensitivity). Stacked bar charts show the relative contribution of each signal to correct classification within each size category.</w:t>
      </w:r>
      <w:r>
        <w:t xml:space="preserve"> </w:t>
      </w:r>
      <w:r>
        <w:rPr>
          <w:b/>
          <w:bCs/>
        </w:rPr>
        <w:t xml:space="preserve">(D)</w:t>
      </w:r>
      <w:r>
        <w:t xml:space="preserve"> </w:t>
      </w:r>
      <w:r>
        <w:t xml:space="preserve">Application example: a mixed</w:t>
      </w:r>
      <w:r>
        <w:t xml:space="preserve"> </w:t>
      </w:r>
      <w:r>
        <w:rPr>
          <w:i/>
          <w:iCs/>
        </w:rPr>
        <w:t xml:space="preserve">Klebsiella pneumoniae</w:t>
      </w:r>
      <w:r>
        <w:t xml:space="preserve"> </w:t>
      </w:r>
      <w:r>
        <w:t xml:space="preserve">assembly containing one 5.2 Mb chromosomal contig and three plasmid contigs (180 kb, 85 kb, and 9 kb). The contig classifier correctly identifies and excludes the chromosomal contig (composite score -62) while retaining all three plasmid contigs (composite scores +34, +28, and +19) for downstream pLIN assignment.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2026-02-21T17:21:20Z</dcterms:created>
  <dcterms:modified xsi:type="dcterms:W3CDTF">2026-02-21T17:21:20Z</dcterms:modified>
</cp:coreProperties>
</file>

<file path=docProps/custom.xml><?xml version="1.0" encoding="utf-8"?>
<Properties xmlns="http://schemas.openxmlformats.org/officeDocument/2006/custom-properties" xmlns:vt="http://schemas.openxmlformats.org/officeDocument/2006/docPropsVTypes"/>
</file>