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funcional de módulos</w:t>
      </w:r>
    </w:p>
    <w:p>
      <w:pPr>
        <w:pStyle w:val="Subtitle"/>
      </w:pPr>
      <w:r>
        <w:t>Sistema de Gestión de Bar · Sprint 2 · Apoyo a SCRUM-64 / ST02</w:t>
      </w:r>
    </w:p>
    <w:p>
      <w:r>
        <w:rPr>
          <w:i/>
          <w:color w:val="526069"/>
          <w:sz w:val="18"/>
        </w:rPr>
        <w:t>Estado: documento de análisis y diseño  •  25 de octubre de 2026  •  Responsable documental: equipo de desarrollo</w:t>
      </w:r>
    </w:p>
    <w:p>
      <w:pPr>
        <w:pStyle w:val="Heading1"/>
      </w:pPr>
      <w:r>
        <w:t>1. Propósito y criterio de alcance</w:t>
      </w:r>
    </w:p>
    <w:p>
      <w:r>
        <w:t>Consolidar los módulos lógicos que deben reflejarse coherentemente en los diagramas UML, la arquitectura de aplicación y el prototipo de interfaz de la Práctica 02. El catálogo se deriva del levantamiento inicial, de las 11 historias originales y de las nuevas US-12 (cuenta abierta) y US-13 (nota de venta).</w:t>
      </w:r>
    </w:p>
    <w:p>
      <w:pPr>
        <w:spacing w:before="80"/>
      </w:pPr>
      <w:r>
        <w:rPr>
          <w:b/>
          <w:color w:val="007A8B"/>
        </w:rPr>
        <w:t xml:space="preserve">Distinción importante.  </w:t>
      </w:r>
      <w:r>
        <w:t>Un módulo lógico no equivale a una épica de Jira ni exige una aplicación independiente. El proyecto conserva las ocho épicas ya definidas.</w:t>
      </w:r>
    </w:p>
    <w:p>
      <w:pPr>
        <w:pStyle w:val="Heading1"/>
      </w:pPr>
      <w:r>
        <w:t>2. Catálogo de módulos y responsabilidades</w:t>
      </w:r>
    </w:p>
    <w:p>
      <w:pPr>
        <w:pStyle w:val="Heading2"/>
      </w:pPr>
      <w:r>
        <w:t>M01 — Clientes y consulta del menú</w:t>
      </w:r>
    </w:p>
    <w:p>
      <w:r>
        <w:t>Consulta del catálogo de productos y combos; disponibilidad, precios y descripciones; personalización de comidas mediante salsas.</w:t>
      </w:r>
    </w:p>
    <w:p>
      <w:r>
        <w:rPr>
          <w:b/>
        </w:rPr>
        <w:t xml:space="preserve">Trazabilidad: </w:t>
      </w:r>
      <w:r>
        <w:t>US-01, US-02</w:t>
      </w:r>
    </w:p>
    <w:p>
      <w:r>
        <w:rPr>
          <w:b/>
        </w:rPr>
        <w:t xml:space="preserve">Actores principales: </w:t>
      </w:r>
      <w:r>
        <w:t>Cliente; Mesero (asistencia)</w:t>
      </w:r>
    </w:p>
    <w:p>
      <w:pPr>
        <w:pStyle w:val="Heading2"/>
      </w:pPr>
      <w:r>
        <w:t>M02 — Pedidos y mesas</w:t>
      </w:r>
    </w:p>
    <w:p>
      <w:r>
        <w:t>Identificación de mesas; registro de pedidos asociados a mesa; consulta de pedidos, estados y mesa de entrega; confirmación de entrega.</w:t>
      </w:r>
    </w:p>
    <w:p>
      <w:r>
        <w:rPr>
          <w:b/>
        </w:rPr>
        <w:t xml:space="preserve">Trazabilidad: </w:t>
      </w:r>
      <w:r>
        <w:t>US-03, US-05</w:t>
      </w:r>
    </w:p>
    <w:p>
      <w:r>
        <w:rPr>
          <w:b/>
        </w:rPr>
        <w:t xml:space="preserve">Actores principales: </w:t>
      </w:r>
      <w:r>
        <w:t>Mesero; Cajero (según permisos)</w:t>
      </w:r>
    </w:p>
    <w:p>
      <w:pPr>
        <w:pStyle w:val="Heading2"/>
      </w:pPr>
      <w:r>
        <w:t>M03 — Cuentas abiertas y saldos pendientes</w:t>
      </w:r>
    </w:p>
    <w:p>
      <w:r>
        <w:t>Apertura y consulta de cuenta por mesa; asociación de varios pedidos; cálculo del consumo acumulado y saldo pendiente; cierre de cuenta.</w:t>
      </w:r>
    </w:p>
    <w:p>
      <w:r>
        <w:rPr>
          <w:b/>
        </w:rPr>
        <w:t xml:space="preserve">Trazabilidad: </w:t>
      </w:r>
      <w:r>
        <w:t>US-12; relacionado con US-03 y US-06</w:t>
      </w:r>
    </w:p>
    <w:p>
      <w:r>
        <w:rPr>
          <w:b/>
        </w:rPr>
        <w:t xml:space="preserve">Actores principales: </w:t>
      </w:r>
      <w:r>
        <w:t>Mesero; Cajero</w:t>
      </w:r>
    </w:p>
    <w:p>
      <w:pPr>
        <w:pStyle w:val="Heading2"/>
      </w:pPr>
      <w:r>
        <w:t>M04 — Preparación en cocina y bar</w:t>
      </w:r>
    </w:p>
    <w:p>
      <w:r>
        <w:t>Emisión de tickets por área; recepción de tickets; consulta de detalles y personalizaciones; marcado de pedido listo y notificación para entrega.</w:t>
      </w:r>
    </w:p>
    <w:p>
      <w:r>
        <w:rPr>
          <w:b/>
        </w:rPr>
        <w:t xml:space="preserve">Trazabilidad: </w:t>
      </w:r>
      <w:r>
        <w:t>US-04; relacionado con US-05</w:t>
      </w:r>
    </w:p>
    <w:p>
      <w:r>
        <w:rPr>
          <w:b/>
        </w:rPr>
        <w:t xml:space="preserve">Actores principales: </w:t>
      </w:r>
      <w:r>
        <w:t>Chef; Bartender; Mesero</w:t>
      </w:r>
    </w:p>
    <w:p>
      <w:pPr>
        <w:pStyle w:val="Heading2"/>
      </w:pPr>
      <w:r>
        <w:t>M05 — Productos, combos y menú</w:t>
      </w:r>
    </w:p>
    <w:p>
      <w:r>
        <w:t>Gestión de productos, precios, combos, salsas, categorías y disponibilidad; activación/desactivación de elementos de menú.</w:t>
      </w:r>
    </w:p>
    <w:p>
      <w:r>
        <w:rPr>
          <w:b/>
        </w:rPr>
        <w:t xml:space="preserve">Trazabilidad: </w:t>
      </w:r>
      <w:r>
        <w:t>US-09; relacionado con US-01 y US-02</w:t>
      </w:r>
    </w:p>
    <w:p>
      <w:r>
        <w:rPr>
          <w:b/>
        </w:rPr>
        <w:t xml:space="preserve">Actores principales: </w:t>
      </w:r>
      <w:r>
        <w:t>Administrador</w:t>
      </w:r>
    </w:p>
    <w:p>
      <w:pPr>
        <w:pStyle w:val="Heading2"/>
      </w:pPr>
      <w:r>
        <w:t>M06 — Inventario y suministros</w:t>
      </w:r>
    </w:p>
    <w:p>
      <w:r>
        <w:t>Inventario perpetuo de insumos; ingresos, movimientos, ubicación, alertas de bajo stock y producto agotado; seguimiento del consumo según reglas de receta y ventas.</w:t>
      </w:r>
    </w:p>
    <w:p>
      <w:r>
        <w:rPr>
          <w:b/>
        </w:rPr>
        <w:t xml:space="preserve">Trazabilidad: </w:t>
      </w:r>
      <w:r>
        <w:t>US-08; relacionado con US-09</w:t>
      </w:r>
    </w:p>
    <w:p>
      <w:r>
        <w:rPr>
          <w:b/>
        </w:rPr>
        <w:t xml:space="preserve">Actores principales: </w:t>
      </w:r>
      <w:r>
        <w:t>Administrador</w:t>
      </w:r>
    </w:p>
    <w:p>
      <w:pPr>
        <w:pStyle w:val="Heading2"/>
      </w:pPr>
      <w:r>
        <w:t>M07 — Usuarios, autenticación y roles</w:t>
      </w:r>
    </w:p>
    <w:p>
      <w:r>
        <w:t>Cuentas de trabajadores; inicio de sesión; asignación de roles y permisos; control de acceso por módulo; bitácora de operaciones críticas.</w:t>
      </w:r>
    </w:p>
    <w:p>
      <w:r>
        <w:rPr>
          <w:b/>
        </w:rPr>
        <w:t xml:space="preserve">Trazabilidad: </w:t>
      </w:r>
      <w:r>
        <w:t>US-10</w:t>
      </w:r>
    </w:p>
    <w:p>
      <w:r>
        <w:rPr>
          <w:b/>
        </w:rPr>
        <w:t xml:space="preserve">Actores principales: </w:t>
      </w:r>
      <w:r>
        <w:t>Administrador; Mesero; Chef; Bartender; Cajero</w:t>
      </w:r>
    </w:p>
    <w:p>
      <w:pPr>
        <w:pStyle w:val="Heading2"/>
      </w:pPr>
      <w:r>
        <w:t>M08 — Cobros, nota de venta y facturación</w:t>
      </w:r>
    </w:p>
    <w:p>
      <w:r>
        <w:t>Consulta de importe por pagar; registro de cobro; integración propuesta con pasarela; emisión de NotaVenta interna y factura como documentos diferenciados; cierre de cuenta.</w:t>
      </w:r>
    </w:p>
    <w:p>
      <w:r>
        <w:rPr>
          <w:b/>
        </w:rPr>
        <w:t xml:space="preserve">Trazabilidad: </w:t>
      </w:r>
      <w:r>
        <w:t>US-06, US-07, US-13; relacionado con US-12</w:t>
      </w:r>
    </w:p>
    <w:p>
      <w:r>
        <w:rPr>
          <w:b/>
        </w:rPr>
        <w:t xml:space="preserve">Actores principales: </w:t>
      </w:r>
      <w:r>
        <w:t>Cajero; Cliente; Pasarela externa</w:t>
      </w:r>
    </w:p>
    <w:p>
      <w:pPr>
        <w:pStyle w:val="Heading2"/>
      </w:pPr>
      <w:r>
        <w:t>M09 — Reportes y control de gastos</w:t>
      </w:r>
    </w:p>
    <w:p>
      <w:r>
        <w:t>Reportes de ventas, productos más vendidos y gastos; filtros por fecha; exportación propuesta; consulta de indicadores de operación.</w:t>
      </w:r>
    </w:p>
    <w:p>
      <w:r>
        <w:rPr>
          <w:b/>
        </w:rPr>
        <w:t xml:space="preserve">Trazabilidad: </w:t>
      </w:r>
      <w:r>
        <w:t>US-11</w:t>
      </w:r>
    </w:p>
    <w:p>
      <w:r>
        <w:rPr>
          <w:b/>
        </w:rPr>
        <w:t xml:space="preserve">Actores principales: </w:t>
      </w:r>
      <w:r>
        <w:t>Administrador</w:t>
      </w:r>
    </w:p>
    <w:p>
      <w:pPr>
        <w:pStyle w:val="Heading1"/>
      </w:pPr>
      <w:r>
        <w:t>3. Cobertura de historias de usuario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ED8DD"/>
          <w:left w:val="single" w:sz="4" w:color="CED8DD"/>
          <w:bottom w:val="single" w:sz="4" w:color="CED8DD"/>
          <w:right w:val="single" w:sz="4" w:color="CED8DD"/>
          <w:insideH w:val="single" w:sz="4" w:color="CED8DD"/>
          <w:insideV w:val="single" w:sz="4" w:color="CED8DD"/>
        </w:tblBorders>
      </w:tblPr>
      <w:tblGrid>
        <w:gridCol w:w="4882"/>
        <w:gridCol w:w="4882"/>
      </w:tblGrid>
      <w:tr>
        <w:trPr>
          <w:cantSplit/>
        </w:trPr>
        <w:tc>
          <w:tcPr>
            <w:tcW w:type="dxa" w:w="4882"/>
            <w:shd w:fill="DBE9EE"/>
          </w:tcPr>
          <w:p>
            <w:r>
              <w:rPr>
                <w:b/>
                <w:color w:val="15415B"/>
                <w:sz w:val="18"/>
              </w:rPr>
              <w:t>Historia / Jira</w:t>
            </w:r>
          </w:p>
        </w:tc>
        <w:tc>
          <w:tcPr>
            <w:tcW w:type="dxa" w:w="4882"/>
            <w:shd w:fill="DBE9EE"/>
          </w:tcPr>
          <w:p>
            <w:r>
              <w:rPr>
                <w:b/>
                <w:color w:val="15415B"/>
                <w:sz w:val="18"/>
              </w:rPr>
              <w:t>Resultado funcional prioritario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US-01 / SCRUM-13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Consultar catálogo de menú y combos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US-02 / SCRUM-14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Elegir salsa al personalizar comida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US-03 / SCRUM-16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Registrar pedido y asociarlo a mesa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US-04 / SCRUM-17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Enviar y recibir tickets de cocina/bar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US-05 / SCRUM-18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Consultar mesa, estado y entrega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US-06 / SCRUM-20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Registrar cobro y generar factura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US-07 / SCRUM-21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Procesar pago en línea (proveedor por confirmar)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US-08 / SCRUM-19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Gestionar inventario y stock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US-09 / SCRUM-15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Administrar productos y menú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US-10 / SCRUM-22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Gestionar usuarios y roles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US-11 / SCRUM-23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Consultar ventas y gastos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US-12 / SCRUM-62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Gestionar cuenta abierta por mesa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US-13 / SCRUM-63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Generar nota de venta</w:t>
            </w:r>
          </w:p>
        </w:tc>
      </w:tr>
    </w:tbl>
    <w:p/>
    <w:p>
      <w:pPr>
        <w:pStyle w:val="Heading1"/>
      </w:pPr>
      <w:r>
        <w:t>4. Priorización para los entregables de Sprint 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ED8DD"/>
          <w:left w:val="single" w:sz="4" w:color="CED8DD"/>
          <w:bottom w:val="single" w:sz="4" w:color="CED8DD"/>
          <w:right w:val="single" w:sz="4" w:color="CED8DD"/>
          <w:insideH w:val="single" w:sz="4" w:color="CED8DD"/>
          <w:insideV w:val="single" w:sz="4" w:color="CED8DD"/>
        </w:tblBorders>
      </w:tblPr>
      <w:tblGrid>
        <w:gridCol w:w="4882"/>
        <w:gridCol w:w="4882"/>
      </w:tblGrid>
      <w:tr>
        <w:trPr>
          <w:cantSplit/>
        </w:trPr>
        <w:tc>
          <w:tcPr>
            <w:tcW w:type="dxa" w:w="4882"/>
            <w:shd w:fill="DBE9EE"/>
          </w:tcPr>
          <w:p>
            <w:r>
              <w:rPr>
                <w:b/>
                <w:color w:val="15415B"/>
                <w:sz w:val="18"/>
              </w:rPr>
              <w:t>Entregable</w:t>
            </w:r>
          </w:p>
        </w:tc>
        <w:tc>
          <w:tcPr>
            <w:tcW w:type="dxa" w:w="4882"/>
            <w:shd w:fill="DBE9EE"/>
          </w:tcPr>
          <w:p>
            <w:r>
              <w:rPr>
                <w:b/>
                <w:color w:val="15415B"/>
                <w:sz w:val="18"/>
              </w:rPr>
              <w:t>Módulos más relevantes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Casos de uso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M01–M09, con foco en pedidos, cuentas, personalización, inventario y cobros.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Clases UML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M02, M03, M05, M06 y M08; incluir Mesa, CuentaConsumo, Pedido, DetallePedido, Producto, Pago, NotaVenta y Factura, entre otras.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Secuencia 1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M02 + M03 + M08: registrar pedido, persistirlo en la cuenta y generar nota de venta durante cobro/cierre.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Secuencia 2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M02 + M03: agregar pedido a una cuenta abierta y recalcular saldo pendiente.</w:t>
            </w:r>
          </w:p>
        </w:tc>
      </w:tr>
      <w:tr>
        <w:trPr>
          <w:cantSplit/>
        </w:trP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Arquitectura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M01–M09 como responsabilidades funcionales distribuidas entre presentación, Web API, servicios, dominio e infraestructura.</w:t>
            </w:r>
          </w:p>
        </w:tc>
      </w:tr>
      <w:tr>
        <w:trPr>
          <w:cantSplit/>
        </w:trPr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Prototipo (4 vistas mínimas)</w:t>
            </w:r>
          </w:p>
        </w:tc>
        <w:tc>
          <w:tcPr>
            <w:tcW w:type="dxa" w:w="4882"/>
            <w:vAlign w:val="center"/>
            <w:shd w:fill="F6F9FA"/>
          </w:tcPr>
          <w:p>
            <w:pPr>
              <w:spacing w:after="40" w:before="40"/>
            </w:pPr>
            <w:r>
              <w:rPr>
                <w:sz w:val="17"/>
              </w:rPr>
              <w:t>Menú/combos; pedidos/mesas; inventario/productos; cierre de cuenta con nota de venta.</w:t>
            </w:r>
          </w:p>
        </w:tc>
      </w:tr>
    </w:tbl>
    <w:p/>
    <w:p>
      <w:pPr>
        <w:pStyle w:val="Heading1"/>
      </w:pPr>
      <w:r>
        <w:t>5. Límites y supuestos registrados</w:t>
      </w:r>
    </w:p>
    <w:p>
      <w:pPr>
        <w:pStyle w:val="ListBullet"/>
      </w:pPr>
      <w:r>
        <w:t>No se crea el actor Super Admin; se mantiene Administrador con permisos definidos.</w:t>
      </w:r>
    </w:p>
    <w:p>
      <w:pPr>
        <w:pStyle w:val="ListBullet"/>
      </w:pPr>
      <w:r>
        <w:t>El saldo es el importe pendiente por consumo; no representa una billetera o prepago del cliente.</w:t>
      </w:r>
    </w:p>
    <w:p>
      <w:pPr>
        <w:pStyle w:val="ListBullet"/>
      </w:pPr>
      <w:r>
        <w:t>NotaVenta y Factura se modelan por separado. La naturaleza tributaria y el procedimiento concreto de facturación requieren especificación de implementación.</w:t>
      </w:r>
    </w:p>
    <w:p>
      <w:pPr>
        <w:pStyle w:val="ListBullet"/>
      </w:pPr>
      <w:r>
        <w:t>Pasarela PayPal o Deuna, modalidades adicionales de pago y exportación PDF/Excel figuraban como aspectos por confirmar en el levantamiento inicial; siguen sujetos a definición funcional detallada.</w:t>
      </w:r>
    </w:p>
    <w:p>
      <w:pPr>
        <w:pStyle w:val="ListBullet"/>
      </w:pPr>
      <w:r>
        <w:t>El módulo de música, mencionado como secundario y con alcance por definir en el levantamiento, queda fuera de las prioridades de esta práctica.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38" w:bottom="1123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9"/>
        <w:sz w:val="16"/>
      </w:rPr>
      <w:t xml:space="preserve">Sprint 2 · Diseño del sistema y arquitectura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526069"/>
        <w:sz w:val="16"/>
      </w:rPr>
      <w:t>EPN  /  DASI  /  SISTEMA DE GESTIÓN DE BAR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734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541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7A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"/>
      <w:contextualSpacing/>
    </w:pPr>
    <w:rPr>
      <w:rFonts w:asciiTheme="majorHAnsi" w:eastAsiaTheme="majorEastAsia" w:hAnsiTheme="majorHAnsi" w:cstheme="majorBidi" w:ascii="Aptos Display" w:hAnsi="Aptos Display"/>
      <w:b/>
      <w:color w:val="1541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