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Participantes y mensajes de los diagramas de secuencia</w:t>
      </w:r>
    </w:p>
    <w:p>
      <w:pPr>
        <w:pStyle w:val="Subtitle"/>
        <w:spacing w:after="160"/>
      </w:pPr>
      <w:r>
        <w:rPr>
          <w:color w:val="5B6A77"/>
          <w:sz w:val="18"/>
        </w:rPr>
        <w:t>Sistema de Gestión de Bar  ·  Sprint 2  ·  Documento de análisis  ·  25 de octubre de 2026</w:t>
      </w:r>
    </w:p>
    <w:tbl>
      <w:tblPr>
        <w:tblW w:type="auto" w:w="0"/>
        <w:tblLook w:firstColumn="1" w:firstRow="1" w:lastColumn="0" w:lastRow="0" w:noHBand="0" w:noVBand="1" w:val="04A0"/>
      </w:tblPr>
      <w:tblGrid>
        <w:gridCol w:w="9524"/>
      </w:tblGrid>
      <w:tr>
        <w:tc>
          <w:tcPr>
            <w:tcW w:type="dxa" w:w="9524"/>
            <w:shd w:fill="E8F2F6"/>
            <w:tcBorders>
              <w:top w:val="single" w:sz="4" w:color="BED4DE"/>
              <w:left w:val="single" w:sz="4" w:color="BED4DE"/>
              <w:bottom w:val="single" w:sz="4" w:color="BED4DE"/>
              <w:right w:val="single" w:sz="4" w:color="BED4DE"/>
            </w:tcBorders>
          </w:tcPr>
          <w:p>
            <w:pPr>
              <w:spacing w:after="60"/>
            </w:pPr>
            <w:r>
              <w:rPr>
                <w:b/>
                <w:color w:val="00667E"/>
                <w:sz w:val="16"/>
              </w:rPr>
              <w:t>PROPÓSITO DE SCRUM-81 / ST01</w:t>
            </w:r>
          </w:p>
          <w:p>
            <w:pPr>
              <w:spacing w:after="40"/>
            </w:pPr>
            <w:r>
              <w:t>Identificar quién interviene y qué solicita o responde cada componente en los dos diagramas UML exigidos por la Práctica 02. Este documento prepara ST02 y ST03; no representa una implementación ya realizada.</w:t>
            </w:r>
          </w:p>
        </w:tc>
      </w:tr>
    </w:tbl>
    <w:p>
      <w:pPr>
        <w:spacing w:after="0"/>
      </w:pPr>
    </w:p>
    <w:p>
      <w:pPr>
        <w:pStyle w:val="Heading1"/>
      </w:pPr>
      <w:r>
        <w:t>1. Alcance de los dos escenarios</w:t>
      </w:r>
    </w:p>
    <w:tbl>
      <w:tblPr>
        <w:tblW w:type="auto" w:w="0"/>
        <w:jc w:val="center"/>
        <w:tblLayout w:type="fixed"/>
        <w:tblLook w:firstColumn="1" w:firstRow="1" w:lastColumn="0" w:lastRow="0" w:noHBand="0" w:noVBand="1" w:val="04A0"/>
      </w:tblPr>
      <w:tblGrid>
        <w:gridCol w:w="2523"/>
        <w:gridCol w:w="6945"/>
      </w:tblGrid>
      <w:tr>
        <w:trPr>
          <w:tblHeader/>
        </w:trPr>
        <w:tc>
          <w:tcPr>
            <w:tcW w:type="dxa" w:w="2523"/>
            <w:shd w:fill="245B75"/>
            <w:tcBorders>
              <w:top w:val="single" w:sz="4" w:color="245B75"/>
              <w:left w:val="single" w:sz="4" w:color="245B75"/>
              <w:bottom w:val="single" w:sz="4" w:color="245B75"/>
              <w:right w:val="single" w:sz="4" w:color="245B75"/>
            </w:tcBorders>
            <w:vAlign w:val="center"/>
          </w:tcPr>
          <w:p>
            <w:pPr>
              <w:spacing w:after="20" w:line="257" w:lineRule="auto"/>
            </w:pPr>
            <w:r/>
            <w:r>
              <w:rPr>
                <w:rFonts w:ascii="Aptos" w:hAnsi="Aptos"/>
                <w:b/>
                <w:color w:val="FFFFFF"/>
                <w:sz w:val="16"/>
              </w:rPr>
              <w:t>Escenario</w:t>
            </w:r>
          </w:p>
        </w:tc>
        <w:tc>
          <w:tcPr>
            <w:tcW w:type="dxa" w:w="6945"/>
            <w:shd w:fill="245B75"/>
            <w:tcBorders>
              <w:top w:val="single" w:sz="4" w:color="245B75"/>
              <w:left w:val="single" w:sz="4" w:color="245B75"/>
              <w:bottom w:val="single" w:sz="4" w:color="245B75"/>
              <w:right w:val="single" w:sz="4" w:color="245B75"/>
            </w:tcBorders>
            <w:vAlign w:val="center"/>
          </w:tcPr>
          <w:p>
            <w:pPr>
              <w:spacing w:after="20" w:line="257" w:lineRule="auto"/>
            </w:pPr>
            <w:r/>
            <w:r>
              <w:rPr>
                <w:rFonts w:ascii="Aptos" w:hAnsi="Aptos"/>
                <w:b/>
                <w:color w:val="FFFFFF"/>
                <w:sz w:val="16"/>
              </w:rPr>
              <w:t>Descripción y referencias</w:t>
            </w:r>
          </w:p>
        </w:tc>
      </w:tr>
      <w:tr>
        <w:tc>
          <w:tcPr>
            <w:tcW w:type="dxa" w:w="2523"/>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S1 — Pedido y nota de venta</w:t>
            </w:r>
          </w:p>
        </w:tc>
        <w:tc>
          <w:tcPr>
            <w:tcW w:type="dxa" w:w="6945"/>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El mesero registra un pedido asociado a una mesa/cuenta. Más tarde, el cajero consulta, cobra y cierra la cuenta; el sistema genera NotaVenta. US-03, US-06, US-12 y US-13.</w:t>
            </w:r>
          </w:p>
        </w:tc>
      </w:tr>
      <w:tr>
        <w:tc>
          <w:tcPr>
            <w:tcW w:type="dxa" w:w="2523"/>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S2 — Nuevo pedido y saldo pendiente</w:t>
            </w:r>
          </w:p>
        </w:tc>
        <w:tc>
          <w:tcPr>
            <w:tcW w:type="dxa" w:w="6945"/>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Con una cuenta ya abierta, el mesero agrega otro pedido. El consumo aumenta y se muestra el saldo pendiente recalculado. US-03 y US-12.</w:t>
            </w:r>
          </w:p>
        </w:tc>
      </w:tr>
    </w:tbl>
    <w:p>
      <w:pPr>
        <w:spacing w:after="0"/>
      </w:pPr>
    </w:p>
    <w:p>
      <w:pPr>
        <w:pStyle w:val="Heading1"/>
      </w:pPr>
      <w:r>
        <w:t>2. Actores y componentes participantes</w:t>
      </w:r>
    </w:p>
    <w:tbl>
      <w:tblPr>
        <w:tblW w:type="auto" w:w="0"/>
        <w:jc w:val="center"/>
        <w:tblLayout w:type="fixed"/>
        <w:tblLook w:firstColumn="1" w:firstRow="1" w:lastColumn="0" w:lastRow="0" w:noHBand="0" w:noVBand="1" w:val="04A0"/>
      </w:tblPr>
      <w:tblGrid>
        <w:gridCol w:w="2778"/>
        <w:gridCol w:w="6690"/>
      </w:tblGrid>
      <w:tr>
        <w:trPr>
          <w:tblHeader/>
        </w:trPr>
        <w:tc>
          <w:tcPr>
            <w:tcW w:type="dxa" w:w="2778"/>
            <w:shd w:fill="245B75"/>
            <w:tcBorders>
              <w:top w:val="single" w:sz="4" w:color="245B75"/>
              <w:left w:val="single" w:sz="4" w:color="245B75"/>
              <w:bottom w:val="single" w:sz="4" w:color="245B75"/>
              <w:right w:val="single" w:sz="4" w:color="245B75"/>
            </w:tcBorders>
            <w:vAlign w:val="center"/>
          </w:tcPr>
          <w:p>
            <w:pPr>
              <w:spacing w:after="20" w:line="257" w:lineRule="auto"/>
            </w:pPr>
            <w:r/>
            <w:r>
              <w:rPr>
                <w:rFonts w:ascii="Aptos" w:hAnsi="Aptos"/>
                <w:b/>
                <w:color w:val="FFFFFF"/>
                <w:sz w:val="16"/>
              </w:rPr>
              <w:t>Participante</w:t>
            </w:r>
          </w:p>
        </w:tc>
        <w:tc>
          <w:tcPr>
            <w:tcW w:type="dxa" w:w="6690"/>
            <w:shd w:fill="245B75"/>
            <w:tcBorders>
              <w:top w:val="single" w:sz="4" w:color="245B75"/>
              <w:left w:val="single" w:sz="4" w:color="245B75"/>
              <w:bottom w:val="single" w:sz="4" w:color="245B75"/>
              <w:right w:val="single" w:sz="4" w:color="245B75"/>
            </w:tcBorders>
            <w:vAlign w:val="center"/>
          </w:tcPr>
          <w:p>
            <w:pPr>
              <w:spacing w:after="20" w:line="257" w:lineRule="auto"/>
            </w:pPr>
            <w:r/>
            <w:r>
              <w:rPr>
                <w:rFonts w:ascii="Aptos" w:hAnsi="Aptos"/>
                <w:b/>
                <w:color w:val="FFFFFF"/>
                <w:sz w:val="16"/>
              </w:rPr>
              <w:t>Papel en los diagramas</w:t>
            </w:r>
          </w:p>
        </w:tc>
      </w:tr>
      <w:tr>
        <w:tc>
          <w:tcPr>
            <w:tcW w:type="dxa" w:w="2778"/>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Mesero «actor»</w:t>
            </w:r>
          </w:p>
        </w:tc>
        <w:tc>
          <w:tcPr>
            <w:tcW w:type="dxa" w:w="6690"/>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Inicia o confirma pedidos desde una mesa; consulta los importes y el estado de la cuenta.</w:t>
            </w:r>
          </w:p>
        </w:tc>
      </w:tr>
      <w:tr>
        <w:tc>
          <w:tcPr>
            <w:tcW w:type="dxa" w:w="2778"/>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Cajero «actor»</w:t>
            </w:r>
          </w:p>
        </w:tc>
        <w:tc>
          <w:tcPr>
            <w:tcW w:type="dxa" w:w="6690"/>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Consulta la cuenta, inicia el cobro y solicita el cierre con NotaVenta. La facturación es una operación distinta.</w:t>
            </w:r>
          </w:p>
        </w:tc>
      </w:tr>
      <w:tr>
        <w:tc>
          <w:tcPr>
            <w:tcW w:type="dxa" w:w="2778"/>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Blazor WebAssembly «boundary»</w:t>
            </w:r>
          </w:p>
        </w:tc>
        <w:tc>
          <w:tcPr>
            <w:tcW w:type="dxa" w:w="6690"/>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Interfaz cliente; valida entradas elementales, construye las solicitudes HTTP y presenta resultados y errores.</w:t>
            </w:r>
          </w:p>
        </w:tc>
      </w:tr>
      <w:tr>
        <w:tc>
          <w:tcPr>
            <w:tcW w:type="dxa" w:w="2778"/>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ASP.NET Core Web API «control»</w:t>
            </w:r>
          </w:p>
        </w:tc>
        <w:tc>
          <w:tcPr>
            <w:tcW w:type="dxa" w:w="6690"/>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Expone rutas HTTP, autentica/autoriza, valida el contrato de entrada y traduce resultados a respuestas HTTP.</w:t>
            </w:r>
          </w:p>
        </w:tc>
      </w:tr>
      <w:tr>
        <w:tc>
          <w:tcPr>
            <w:tcW w:type="dxa" w:w="2778"/>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Servicios de aplicación «control»</w:t>
            </w:r>
          </w:p>
        </w:tc>
        <w:tc>
          <w:tcPr>
            <w:tcW w:type="dxa" w:w="6690"/>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Coordina RegistrarPedido, ConsultarCuenta, RegistrarPago y CerrarCuenta; maneja transacciones y reglas de secuencia.</w:t>
            </w:r>
          </w:p>
        </w:tc>
      </w:tr>
      <w:tr>
        <w:tc>
          <w:tcPr>
            <w:tcW w:type="dxa" w:w="2778"/>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Dominio «entity / service»</w:t>
            </w:r>
          </w:p>
        </w:tc>
        <w:tc>
          <w:tcPr>
            <w:tcW w:type="dxa" w:w="6690"/>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Mesa, CuentaConsumo, Pedido, DetallePedido, Pago, NotaVenta y DetalleNotaVenta: estados, invariantes y cálculos monetarios.</w:t>
            </w:r>
          </w:p>
        </w:tc>
      </w:tr>
      <w:tr>
        <w:tc>
          <w:tcPr>
            <w:tcW w:type="dxa" w:w="2778"/>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Infraestructura / EF Core «repository»</w:t>
            </w:r>
          </w:p>
        </w:tc>
        <w:tc>
          <w:tcPr>
            <w:tcW w:type="dxa" w:w="6690"/>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Recupera y persiste entidades mediante repositorios y DbContext, sin colocar reglas de negocio en SQL.</w:t>
            </w:r>
          </w:p>
        </w:tc>
      </w:tr>
      <w:tr>
        <w:tc>
          <w:tcPr>
            <w:tcW w:type="dxa" w:w="2778"/>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SQL Server «database»</w:t>
            </w:r>
          </w:p>
        </w:tc>
        <w:tc>
          <w:tcPr>
            <w:tcW w:type="dxa" w:w="6690"/>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Conserva mesas, cuentas, pedidos, detalles, pagos y notas de venta con integridad y transacciones.</w:t>
            </w:r>
          </w:p>
        </w:tc>
      </w:tr>
    </w:tbl>
    <w:p>
      <w:pPr>
        <w:spacing w:after="0"/>
      </w:pPr>
    </w:p>
    <w:p>
      <w:r>
        <w:rPr>
          <w:b/>
        </w:rPr>
        <w:t>Observación:</w:t>
      </w:r>
      <w:r>
        <w:t xml:space="preserve"> el cliente consumidor no necesita iniciar sesión para que el mesero gestione una cuenta. No hay actor Super Admin ni monedero prepago. La pasarela externa solo interviene si se elige pago en línea.</w:t>
      </w:r>
    </w:p>
    <w:p>
      <w:r>
        <w:br w:type="page"/>
      </w:r>
    </w:p>
    <w:p>
      <w:pPr>
        <w:pStyle w:val="Heading1"/>
      </w:pPr>
      <w:r>
        <w:t>3. Escenario S1 — Registro de pedido</w:t>
      </w:r>
    </w:p>
    <w:p>
      <w:r>
        <w:t>Fase A. El mesero solicita agregar un pedido a una cuenta abierta; si no existe cuenta activa, la apertura se resolverá según la regla operativa propuesta RN-01/RN-02.</w:t>
      </w:r>
    </w:p>
    <w:tbl>
      <w:tblPr>
        <w:tblW w:type="auto" w:w="0"/>
        <w:jc w:val="center"/>
        <w:tblLayout w:type="fixed"/>
        <w:tblLook w:firstColumn="1" w:firstRow="1" w:lastColumn="0" w:lastRow="0" w:noHBand="0" w:noVBand="1" w:val="04A0"/>
      </w:tblPr>
      <w:tblGrid>
        <w:gridCol w:w="652"/>
        <w:gridCol w:w="2608"/>
        <w:gridCol w:w="6208"/>
      </w:tblGrid>
      <w:tr>
        <w:trPr>
          <w:tblHeader/>
        </w:trPr>
        <w:tc>
          <w:tcPr>
            <w:tcW w:type="dxa" w:w="652"/>
            <w:shd w:fill="245B75"/>
            <w:tcBorders>
              <w:top w:val="single" w:sz="4" w:color="245B75"/>
              <w:left w:val="single" w:sz="4" w:color="245B75"/>
              <w:bottom w:val="single" w:sz="4" w:color="245B75"/>
              <w:right w:val="single" w:sz="4" w:color="245B75"/>
            </w:tcBorders>
            <w:vAlign w:val="center"/>
          </w:tcPr>
          <w:p>
            <w:pPr>
              <w:spacing w:after="20" w:line="257" w:lineRule="auto"/>
            </w:pPr>
            <w:r/>
            <w:r>
              <w:rPr>
                <w:rFonts w:ascii="Aptos" w:hAnsi="Aptos"/>
                <w:b/>
                <w:color w:val="FFFFFF"/>
                <w:sz w:val="16"/>
              </w:rPr>
              <w:t>Paso</w:t>
            </w:r>
          </w:p>
        </w:tc>
        <w:tc>
          <w:tcPr>
            <w:tcW w:type="dxa" w:w="2608"/>
            <w:shd w:fill="245B75"/>
            <w:tcBorders>
              <w:top w:val="single" w:sz="4" w:color="245B75"/>
              <w:left w:val="single" w:sz="4" w:color="245B75"/>
              <w:bottom w:val="single" w:sz="4" w:color="245B75"/>
              <w:right w:val="single" w:sz="4" w:color="245B75"/>
            </w:tcBorders>
            <w:vAlign w:val="center"/>
          </w:tcPr>
          <w:p>
            <w:pPr>
              <w:spacing w:after="20" w:line="257" w:lineRule="auto"/>
            </w:pPr>
            <w:r/>
            <w:r>
              <w:rPr>
                <w:rFonts w:ascii="Aptos" w:hAnsi="Aptos"/>
                <w:b/>
                <w:color w:val="FFFFFF"/>
                <w:sz w:val="16"/>
              </w:rPr>
              <w:t>Emisor → Receptor</w:t>
            </w:r>
          </w:p>
        </w:tc>
        <w:tc>
          <w:tcPr>
            <w:tcW w:type="dxa" w:w="6208"/>
            <w:shd w:fill="245B75"/>
            <w:tcBorders>
              <w:top w:val="single" w:sz="4" w:color="245B75"/>
              <w:left w:val="single" w:sz="4" w:color="245B75"/>
              <w:bottom w:val="single" w:sz="4" w:color="245B75"/>
              <w:right w:val="single" w:sz="4" w:color="245B75"/>
            </w:tcBorders>
            <w:vAlign w:val="center"/>
          </w:tcPr>
          <w:p>
            <w:pPr>
              <w:spacing w:after="20" w:line="257" w:lineRule="auto"/>
            </w:pPr>
            <w:r/>
            <w:r>
              <w:rPr>
                <w:rFonts w:ascii="Aptos" w:hAnsi="Aptos"/>
                <w:b/>
                <w:color w:val="FFFFFF"/>
                <w:sz w:val="16"/>
              </w:rPr>
              <w:t>Solicitud / respuesta esperada</w:t>
            </w:r>
          </w:p>
        </w:tc>
      </w:tr>
      <w:tr>
        <w:tc>
          <w:tcPr>
            <w:tcW w:type="dxa" w:w="652"/>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01</w:t>
            </w:r>
          </w:p>
        </w:tc>
        <w:tc>
          <w:tcPr>
            <w:tcW w:type="dxa" w:w="2608"/>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5"/>
              </w:rPr>
              <w:t>Mesero → Blazor</w:t>
            </w:r>
          </w:p>
        </w:tc>
        <w:tc>
          <w:tcPr>
            <w:tcW w:type="dxa" w:w="6208"/>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Seleccionar mesa, productos, cantidades y personalizaciones; confirmar la operación.</w:t>
            </w:r>
          </w:p>
        </w:tc>
      </w:tr>
      <w:tr>
        <w:tc>
          <w:tcPr>
            <w:tcW w:type="dxa" w:w="652"/>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02</w:t>
            </w:r>
          </w:p>
        </w:tc>
        <w:tc>
          <w:tcPr>
            <w:tcW w:type="dxa" w:w="2608"/>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5"/>
              </w:rPr>
              <w:t>Blazor → Web API</w:t>
            </w:r>
          </w:p>
        </w:tc>
        <w:tc>
          <w:tcPr>
            <w:tcW w:type="dxa" w:w="6208"/>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POST /api/cuentas/{id}/pedidos con detalles, observaciones y clave idempotente propuesta.</w:t>
            </w:r>
          </w:p>
        </w:tc>
      </w:tr>
      <w:tr>
        <w:tc>
          <w:tcPr>
            <w:tcW w:type="dxa" w:w="652"/>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03</w:t>
            </w:r>
          </w:p>
        </w:tc>
        <w:tc>
          <w:tcPr>
            <w:tcW w:type="dxa" w:w="2608"/>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5"/>
              </w:rPr>
              <w:t>API → ServicioPedidos</w:t>
            </w:r>
          </w:p>
        </w:tc>
        <w:tc>
          <w:tcPr>
            <w:tcW w:type="dxa" w:w="6208"/>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registrarPedido(idCuenta, detalles, usuario); comprobar permisos y datos requeridos.</w:t>
            </w:r>
          </w:p>
        </w:tc>
      </w:tr>
      <w:tr>
        <w:tc>
          <w:tcPr>
            <w:tcW w:type="dxa" w:w="652"/>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04</w:t>
            </w:r>
          </w:p>
        </w:tc>
        <w:tc>
          <w:tcPr>
            <w:tcW w:type="dxa" w:w="2608"/>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5"/>
              </w:rPr>
              <w:t>ServicioPedidos → Repositorios / SQL</w:t>
            </w:r>
          </w:p>
        </w:tc>
        <w:tc>
          <w:tcPr>
            <w:tcW w:type="dxa" w:w="6208"/>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Obtener cuenta, mesa y productos disponibles, con precios actuales aplicables. Respuesta: datos y estados.</w:t>
            </w:r>
          </w:p>
        </w:tc>
      </w:tr>
      <w:tr>
        <w:tc>
          <w:tcPr>
            <w:tcW w:type="dxa" w:w="652"/>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05</w:t>
            </w:r>
          </w:p>
        </w:tc>
        <w:tc>
          <w:tcPr>
            <w:tcW w:type="dxa" w:w="2608"/>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5"/>
              </w:rPr>
              <w:t>ServicioPedidos → Dominio</w:t>
            </w:r>
          </w:p>
        </w:tc>
        <w:tc>
          <w:tcPr>
            <w:tcW w:type="dxa" w:w="6208"/>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Validar cuenta abierta, artículos válidos, cantidades y disponibilidad; crear Pedido/DetallePedido y registrar precios históricos.</w:t>
            </w:r>
          </w:p>
        </w:tc>
      </w:tr>
      <w:tr>
        <w:tc>
          <w:tcPr>
            <w:tcW w:type="dxa" w:w="652"/>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06</w:t>
            </w:r>
          </w:p>
        </w:tc>
        <w:tc>
          <w:tcPr>
            <w:tcW w:type="dxa" w:w="2608"/>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5"/>
              </w:rPr>
              <w:t>ServicioPedidos → Infraestructura → SQL</w:t>
            </w:r>
          </w:p>
        </w:tc>
        <w:tc>
          <w:tcPr>
            <w:tcW w:type="dxa" w:w="6208"/>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Persistir pedido y detalles en una transacción; organizar tickets de cocina/bar según ítems. Respuesta: ID y confirmación.</w:t>
            </w:r>
          </w:p>
        </w:tc>
      </w:tr>
      <w:tr>
        <w:tc>
          <w:tcPr>
            <w:tcW w:type="dxa" w:w="652"/>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07</w:t>
            </w:r>
          </w:p>
        </w:tc>
        <w:tc>
          <w:tcPr>
            <w:tcW w:type="dxa" w:w="2608"/>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5"/>
              </w:rPr>
              <w:t>Dominio / ServicioPedidos → API</w:t>
            </w:r>
          </w:p>
        </w:tc>
        <w:tc>
          <w:tcPr>
            <w:tcW w:type="dxa" w:w="6208"/>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Calcular consumo válido y saldo pendiente sin incorporar pagos pendientes o rechazados.</w:t>
            </w:r>
          </w:p>
        </w:tc>
      </w:tr>
      <w:tr>
        <w:tc>
          <w:tcPr>
            <w:tcW w:type="dxa" w:w="652"/>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08</w:t>
            </w:r>
          </w:p>
        </w:tc>
        <w:tc>
          <w:tcPr>
            <w:tcW w:type="dxa" w:w="2608"/>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5"/>
              </w:rPr>
              <w:t>API → Blazor → Mesero</w:t>
            </w:r>
          </w:p>
        </w:tc>
        <w:tc>
          <w:tcPr>
            <w:tcW w:type="dxa" w:w="6208"/>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201 Created propuesto: idPedido, estado, idCuenta, totalConsumo y saldoPendiente; mostrar confirmación.</w:t>
            </w:r>
          </w:p>
        </w:tc>
      </w:tr>
    </w:tbl>
    <w:p>
      <w:pPr>
        <w:spacing w:after="0"/>
      </w:pPr>
    </w:p>
    <w:p>
      <w:pPr>
        <w:pStyle w:val="Heading2"/>
      </w:pPr>
      <w:r>
        <w:t>Solicitud y respuesta ilustrativas (contratos propuestos)</w:t>
      </w:r>
    </w:p>
    <w:tbl>
      <w:tblPr>
        <w:tblW w:type="auto" w:w="0"/>
        <w:jc w:val="center"/>
        <w:tblLayout w:type="fixed"/>
        <w:tblLook w:firstColumn="1" w:firstRow="1" w:lastColumn="0" w:lastRow="0" w:noHBand="0" w:noVBand="1" w:val="04A0"/>
      </w:tblPr>
      <w:tblGrid>
        <w:gridCol w:w="4734"/>
        <w:gridCol w:w="4734"/>
      </w:tblGrid>
      <w:tr>
        <w:trPr>
          <w:tblHeader/>
        </w:trPr>
        <w:tc>
          <w:tcPr>
            <w:tcW w:type="dxa" w:w="4734"/>
            <w:shd w:fill="245B75"/>
            <w:tcBorders>
              <w:top w:val="single" w:sz="4" w:color="245B75"/>
              <w:left w:val="single" w:sz="4" w:color="245B75"/>
              <w:bottom w:val="single" w:sz="4" w:color="245B75"/>
              <w:right w:val="single" w:sz="4" w:color="245B75"/>
            </w:tcBorders>
            <w:vAlign w:val="center"/>
          </w:tcPr>
          <w:p>
            <w:pPr>
              <w:spacing w:after="20" w:line="257" w:lineRule="auto"/>
            </w:pPr>
            <w:r/>
            <w:r>
              <w:rPr>
                <w:rFonts w:ascii="Aptos" w:hAnsi="Aptos"/>
                <w:b/>
                <w:color w:val="FFFFFF"/>
                <w:sz w:val="16"/>
              </w:rPr>
              <w:t>Solicitud HTTP / JSON</w:t>
            </w:r>
          </w:p>
        </w:tc>
        <w:tc>
          <w:tcPr>
            <w:tcW w:type="dxa" w:w="4734"/>
            <w:shd w:fill="245B75"/>
            <w:tcBorders>
              <w:top w:val="single" w:sz="4" w:color="245B75"/>
              <w:left w:val="single" w:sz="4" w:color="245B75"/>
              <w:bottom w:val="single" w:sz="4" w:color="245B75"/>
              <w:right w:val="single" w:sz="4" w:color="245B75"/>
            </w:tcBorders>
            <w:vAlign w:val="center"/>
          </w:tcPr>
          <w:p>
            <w:pPr>
              <w:spacing w:after="20" w:line="257" w:lineRule="auto"/>
            </w:pPr>
            <w:r/>
            <w:r>
              <w:rPr>
                <w:rFonts w:ascii="Aptos" w:hAnsi="Aptos"/>
                <w:b/>
                <w:color w:val="FFFFFF"/>
                <w:sz w:val="16"/>
              </w:rPr>
              <w:t>Respuesta HTTP / JSON</w:t>
            </w:r>
          </w:p>
        </w:tc>
      </w:tr>
      <w:tr>
        <w:tc>
          <w:tcPr>
            <w:tcW w:type="dxa" w:w="4734"/>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5"/>
              </w:rPr>
              <w:t>POST /api/cuentas/31/pedidos</w:t>
              <w:br/>
              <w:t>{"detalles":[{"productoId":8,"cantidad":2,"salsasIds":[1]}],"idempotencyKey":"op-001"}</w:t>
            </w:r>
          </w:p>
        </w:tc>
        <w:tc>
          <w:tcPr>
            <w:tcW w:type="dxa" w:w="4734"/>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5"/>
              </w:rPr>
              <w:t>201 Created</w:t>
              <w:br/>
              <w:t>{"pedidoId":74,"cuentaId":31,"estado":"Confirmado","totalConsumo":18.00,"saldoPendiente":18.00}</w:t>
            </w:r>
          </w:p>
        </w:tc>
      </w:tr>
    </w:tbl>
    <w:p>
      <w:pPr>
        <w:spacing w:after="0"/>
      </w:pPr>
    </w:p>
    <w:tbl>
      <w:tblPr>
        <w:tblW w:type="auto" w:w="0"/>
        <w:tblLook w:firstColumn="1" w:firstRow="1" w:lastColumn="0" w:lastRow="0" w:noHBand="0" w:noVBand="1" w:val="04A0"/>
      </w:tblPr>
      <w:tblGrid>
        <w:gridCol w:w="9524"/>
      </w:tblGrid>
      <w:tr>
        <w:tc>
          <w:tcPr>
            <w:tcW w:type="dxa" w:w="9524"/>
            <w:shd w:fill="E8F2F6"/>
            <w:tcBorders>
              <w:top w:val="single" w:sz="4" w:color="BED4DE"/>
              <w:left w:val="single" w:sz="4" w:color="BED4DE"/>
              <w:bottom w:val="single" w:sz="4" w:color="BED4DE"/>
              <w:right w:val="single" w:sz="4" w:color="BED4DE"/>
            </w:tcBorders>
          </w:tcPr>
          <w:p>
            <w:pPr>
              <w:spacing w:after="60"/>
            </w:pPr>
            <w:r>
              <w:rPr>
                <w:b/>
                <w:color w:val="00667E"/>
                <w:sz w:val="16"/>
              </w:rPr>
              <w:t>REGLAS PRINCIPALES</w:t>
            </w:r>
          </w:p>
          <w:p>
            <w:pPr>
              <w:spacing w:after="40"/>
            </w:pPr>
            <w:r>
              <w:t>La cuenta debe estar abierta. Cada pedido confirmado y vigente incrementa el consumo una sola vez. Un pedido cancelado no debe seguir aumentando el importe pendiente. Los tickets son parte del proceso de preparación, pero no implican automáticamente un descuento de inventario: ese momento continúa por definir.</w:t>
            </w:r>
          </w:p>
        </w:tc>
      </w:tr>
    </w:tbl>
    <w:p>
      <w:pPr>
        <w:spacing w:after="0"/>
      </w:pPr>
    </w:p>
    <w:p>
      <w:r>
        <w:br w:type="page"/>
      </w:r>
    </w:p>
    <w:p>
      <w:pPr>
        <w:pStyle w:val="Heading1"/>
      </w:pPr>
      <w:r>
        <w:t>4. Escenario S1 — Cobro, cierre y NotaVenta</w:t>
      </w:r>
    </w:p>
    <w:p>
      <w:r>
        <w:t>Fase B. Es continuación lógica de S1 después de uno o varios pedidos; ocurre posteriormente, cuando el cliente solicita pagar.</w:t>
      </w:r>
    </w:p>
    <w:tbl>
      <w:tblPr>
        <w:tblW w:type="auto" w:w="0"/>
        <w:jc w:val="center"/>
        <w:tblLayout w:type="fixed"/>
        <w:tblLook w:firstColumn="1" w:firstRow="1" w:lastColumn="0" w:lastRow="0" w:noHBand="0" w:noVBand="1" w:val="04A0"/>
      </w:tblPr>
      <w:tblGrid>
        <w:gridCol w:w="652"/>
        <w:gridCol w:w="2608"/>
        <w:gridCol w:w="6208"/>
      </w:tblGrid>
      <w:tr>
        <w:trPr>
          <w:tblHeader/>
        </w:trPr>
        <w:tc>
          <w:tcPr>
            <w:tcW w:type="dxa" w:w="652"/>
            <w:shd w:fill="245B75"/>
            <w:tcBorders>
              <w:top w:val="single" w:sz="4" w:color="245B75"/>
              <w:left w:val="single" w:sz="4" w:color="245B75"/>
              <w:bottom w:val="single" w:sz="4" w:color="245B75"/>
              <w:right w:val="single" w:sz="4" w:color="245B75"/>
            </w:tcBorders>
            <w:vAlign w:val="center"/>
          </w:tcPr>
          <w:p>
            <w:pPr>
              <w:spacing w:after="20" w:line="257" w:lineRule="auto"/>
            </w:pPr>
            <w:r/>
            <w:r>
              <w:rPr>
                <w:rFonts w:ascii="Aptos" w:hAnsi="Aptos"/>
                <w:b/>
                <w:color w:val="FFFFFF"/>
                <w:sz w:val="16"/>
              </w:rPr>
              <w:t>Paso</w:t>
            </w:r>
          </w:p>
        </w:tc>
        <w:tc>
          <w:tcPr>
            <w:tcW w:type="dxa" w:w="2608"/>
            <w:shd w:fill="245B75"/>
            <w:tcBorders>
              <w:top w:val="single" w:sz="4" w:color="245B75"/>
              <w:left w:val="single" w:sz="4" w:color="245B75"/>
              <w:bottom w:val="single" w:sz="4" w:color="245B75"/>
              <w:right w:val="single" w:sz="4" w:color="245B75"/>
            </w:tcBorders>
            <w:vAlign w:val="center"/>
          </w:tcPr>
          <w:p>
            <w:pPr>
              <w:spacing w:after="20" w:line="257" w:lineRule="auto"/>
            </w:pPr>
            <w:r/>
            <w:r>
              <w:rPr>
                <w:rFonts w:ascii="Aptos" w:hAnsi="Aptos"/>
                <w:b/>
                <w:color w:val="FFFFFF"/>
                <w:sz w:val="16"/>
              </w:rPr>
              <w:t>Emisor → Receptor</w:t>
            </w:r>
          </w:p>
        </w:tc>
        <w:tc>
          <w:tcPr>
            <w:tcW w:type="dxa" w:w="6208"/>
            <w:shd w:fill="245B75"/>
            <w:tcBorders>
              <w:top w:val="single" w:sz="4" w:color="245B75"/>
              <w:left w:val="single" w:sz="4" w:color="245B75"/>
              <w:bottom w:val="single" w:sz="4" w:color="245B75"/>
              <w:right w:val="single" w:sz="4" w:color="245B75"/>
            </w:tcBorders>
            <w:vAlign w:val="center"/>
          </w:tcPr>
          <w:p>
            <w:pPr>
              <w:spacing w:after="20" w:line="257" w:lineRule="auto"/>
            </w:pPr>
            <w:r/>
            <w:r>
              <w:rPr>
                <w:rFonts w:ascii="Aptos" w:hAnsi="Aptos"/>
                <w:b/>
                <w:color w:val="FFFFFF"/>
                <w:sz w:val="16"/>
              </w:rPr>
              <w:t>Solicitud / respuesta esperada</w:t>
            </w:r>
          </w:p>
        </w:tc>
      </w:tr>
      <w:tr>
        <w:tc>
          <w:tcPr>
            <w:tcW w:type="dxa" w:w="652"/>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09</w:t>
            </w:r>
          </w:p>
        </w:tc>
        <w:tc>
          <w:tcPr>
            <w:tcW w:type="dxa" w:w="2608"/>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5"/>
              </w:rPr>
              <w:t>Cajero → Blazor → API</w:t>
            </w:r>
          </w:p>
        </w:tc>
        <w:tc>
          <w:tcPr>
            <w:tcW w:type="dxa" w:w="6208"/>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GET /api/cuentas/{id}. Consultar productos, total consumido, pagos confirmados y saldo.</w:t>
            </w:r>
          </w:p>
        </w:tc>
      </w:tr>
      <w:tr>
        <w:tc>
          <w:tcPr>
            <w:tcW w:type="dxa" w:w="652"/>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10</w:t>
            </w:r>
          </w:p>
        </w:tc>
        <w:tc>
          <w:tcPr>
            <w:tcW w:type="dxa" w:w="2608"/>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5"/>
              </w:rPr>
              <w:t>API → ServicioCuentas → Repositorios</w:t>
            </w:r>
          </w:p>
        </w:tc>
        <w:tc>
          <w:tcPr>
            <w:tcW w:type="dxa" w:w="6208"/>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Consultar cuenta, pedidos válidos y pagos reconocidos. Respuesta: detalle consolidado.</w:t>
            </w:r>
          </w:p>
        </w:tc>
      </w:tr>
      <w:tr>
        <w:tc>
          <w:tcPr>
            <w:tcW w:type="dxa" w:w="652"/>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11</w:t>
            </w:r>
          </w:p>
        </w:tc>
        <w:tc>
          <w:tcPr>
            <w:tcW w:type="dxa" w:w="2608"/>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5"/>
              </w:rPr>
              <w:t>API → Blazor → Cajero</w:t>
            </w:r>
          </w:p>
        </w:tc>
        <w:tc>
          <w:tcPr>
            <w:tcW w:type="dxa" w:w="6208"/>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200 OK propuesto: resumen, saldoPendiente y estado de la cuenta.</w:t>
            </w:r>
          </w:p>
        </w:tc>
      </w:tr>
      <w:tr>
        <w:tc>
          <w:tcPr>
            <w:tcW w:type="dxa" w:w="652"/>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12</w:t>
            </w:r>
          </w:p>
        </w:tc>
        <w:tc>
          <w:tcPr>
            <w:tcW w:type="dxa" w:w="2608"/>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5"/>
              </w:rPr>
              <w:t>Cajero → Blazor → API</w:t>
            </w:r>
          </w:p>
        </w:tc>
        <w:tc>
          <w:tcPr>
            <w:tcW w:type="dxa" w:w="6208"/>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POST /api/cuentas/{id}/pagos con monto y método, por ejemplo efectivo; si es pasarela, verificar pago externo.</w:t>
            </w:r>
          </w:p>
        </w:tc>
      </w:tr>
      <w:tr>
        <w:tc>
          <w:tcPr>
            <w:tcW w:type="dxa" w:w="652"/>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13</w:t>
            </w:r>
          </w:p>
        </w:tc>
        <w:tc>
          <w:tcPr>
            <w:tcW w:type="dxa" w:w="2608"/>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5"/>
              </w:rPr>
              <w:t>ServicioPagos → Dominio / SQL</w:t>
            </w:r>
          </w:p>
        </w:tc>
        <w:tc>
          <w:tcPr>
            <w:tcW w:type="dxa" w:w="6208"/>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Validar importe, autorizar, registrar Pago y confirmar solo operaciones efectivas; respuesta: pagoId/estado/saldo actualizado.</w:t>
            </w:r>
          </w:p>
        </w:tc>
      </w:tr>
      <w:tr>
        <w:tc>
          <w:tcPr>
            <w:tcW w:type="dxa" w:w="652"/>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14</w:t>
            </w:r>
          </w:p>
        </w:tc>
        <w:tc>
          <w:tcPr>
            <w:tcW w:type="dxa" w:w="2608"/>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5"/>
              </w:rPr>
              <w:t>Cajero → Blazor → API</w:t>
            </w:r>
          </w:p>
        </w:tc>
        <w:tc>
          <w:tcPr>
            <w:tcW w:type="dxa" w:w="6208"/>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POST /api/cuentas/{id}/cerrar (solicitud de finalizar el consumo y generar NotaVenta).</w:t>
            </w:r>
          </w:p>
        </w:tc>
      </w:tr>
      <w:tr>
        <w:tc>
          <w:tcPr>
            <w:tcW w:type="dxa" w:w="652"/>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15</w:t>
            </w:r>
          </w:p>
        </w:tc>
        <w:tc>
          <w:tcPr>
            <w:tcW w:type="dxa" w:w="2608"/>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5"/>
              </w:rPr>
              <w:t>ServicioCuentas → Dominio</w:t>
            </w:r>
          </w:p>
        </w:tc>
        <w:tc>
          <w:tcPr>
            <w:tcW w:type="dxa" w:w="6208"/>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Exigir saldoPendiente = 0 y ausencia de operaciones pendientes que alteren el total. Construir NotaVenta con DetalleNotaVenta históricos.</w:t>
            </w:r>
          </w:p>
        </w:tc>
      </w:tr>
      <w:tr>
        <w:tc>
          <w:tcPr>
            <w:tcW w:type="dxa" w:w="652"/>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16</w:t>
            </w:r>
          </w:p>
        </w:tc>
        <w:tc>
          <w:tcPr>
            <w:tcW w:type="dxa" w:w="2608"/>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5"/>
              </w:rPr>
              <w:t>ServicioCuentas → Infraestructura → SQL</w:t>
            </w:r>
          </w:p>
        </w:tc>
        <w:tc>
          <w:tcPr>
            <w:tcW w:type="dxa" w:w="6208"/>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Guardar NotaVenta y cierre dentro de una transacción; impedir duplicados de emisión. Respuesta: notaId, cuenta cerrada.</w:t>
            </w:r>
          </w:p>
        </w:tc>
      </w:tr>
      <w:tr>
        <w:tc>
          <w:tcPr>
            <w:tcW w:type="dxa" w:w="652"/>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17</w:t>
            </w:r>
          </w:p>
        </w:tc>
        <w:tc>
          <w:tcPr>
            <w:tcW w:type="dxa" w:w="2608"/>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5"/>
              </w:rPr>
              <w:t>API → Blazor → Cajero</w:t>
            </w:r>
          </w:p>
        </w:tc>
        <w:tc>
          <w:tcPr>
            <w:tcW w:type="dxa" w:w="6208"/>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200 OK propuesto: idNotaVenta, número, total, estado Cerrada y enlace/vista de nota.</w:t>
            </w:r>
          </w:p>
        </w:tc>
      </w:tr>
    </w:tbl>
    <w:p>
      <w:pPr>
        <w:spacing w:after="0"/>
      </w:pPr>
    </w:p>
    <w:p>
      <w:pPr>
        <w:pStyle w:val="Heading2"/>
      </w:pPr>
      <w:r>
        <w:t>Contratos ilustrativos</w:t>
      </w:r>
    </w:p>
    <w:tbl>
      <w:tblPr>
        <w:tblW w:type="auto" w:w="0"/>
        <w:jc w:val="center"/>
        <w:tblLayout w:type="fixed"/>
        <w:tblLook w:firstColumn="1" w:firstRow="1" w:lastColumn="0" w:lastRow="0" w:noHBand="0" w:noVBand="1" w:val="04A0"/>
      </w:tblPr>
      <w:tblGrid>
        <w:gridCol w:w="4734"/>
        <w:gridCol w:w="4734"/>
      </w:tblGrid>
      <w:tr>
        <w:trPr>
          <w:tblHeader/>
        </w:trPr>
        <w:tc>
          <w:tcPr>
            <w:tcW w:type="dxa" w:w="4734"/>
            <w:shd w:fill="245B75"/>
            <w:tcBorders>
              <w:top w:val="single" w:sz="4" w:color="245B75"/>
              <w:left w:val="single" w:sz="4" w:color="245B75"/>
              <w:bottom w:val="single" w:sz="4" w:color="245B75"/>
              <w:right w:val="single" w:sz="4" w:color="245B75"/>
            </w:tcBorders>
            <w:vAlign w:val="center"/>
          </w:tcPr>
          <w:p>
            <w:pPr>
              <w:spacing w:after="20" w:line="257" w:lineRule="auto"/>
            </w:pPr>
            <w:r/>
            <w:r>
              <w:rPr>
                <w:rFonts w:ascii="Aptos" w:hAnsi="Aptos"/>
                <w:b/>
                <w:color w:val="FFFFFF"/>
                <w:sz w:val="16"/>
              </w:rPr>
              <w:t>Solicitud propuesta</w:t>
            </w:r>
          </w:p>
        </w:tc>
        <w:tc>
          <w:tcPr>
            <w:tcW w:type="dxa" w:w="4734"/>
            <w:shd w:fill="245B75"/>
            <w:tcBorders>
              <w:top w:val="single" w:sz="4" w:color="245B75"/>
              <w:left w:val="single" w:sz="4" w:color="245B75"/>
              <w:bottom w:val="single" w:sz="4" w:color="245B75"/>
              <w:right w:val="single" w:sz="4" w:color="245B75"/>
            </w:tcBorders>
            <w:vAlign w:val="center"/>
          </w:tcPr>
          <w:p>
            <w:pPr>
              <w:spacing w:after="20" w:line="257" w:lineRule="auto"/>
            </w:pPr>
            <w:r/>
            <w:r>
              <w:rPr>
                <w:rFonts w:ascii="Aptos" w:hAnsi="Aptos"/>
                <w:b/>
                <w:color w:val="FFFFFF"/>
                <w:sz w:val="16"/>
              </w:rPr>
              <w:t>Respuesta propuesta</w:t>
            </w:r>
          </w:p>
        </w:tc>
      </w:tr>
      <w:tr>
        <w:tc>
          <w:tcPr>
            <w:tcW w:type="dxa" w:w="4734"/>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5"/>
              </w:rPr>
              <w:t>POST /api/cuentas/31/pagos</w:t>
              <w:br/>
              <w:t>{"monto":18.00,"metodo":"Efectivo"}</w:t>
            </w:r>
          </w:p>
        </w:tc>
        <w:tc>
          <w:tcPr>
            <w:tcW w:type="dxa" w:w="4734"/>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5"/>
              </w:rPr>
              <w:t>200 OK</w:t>
              <w:br/>
              <w:t>{"pagoId":61,"estado":"Confirmado","saldoPendiente":0.00}</w:t>
            </w:r>
          </w:p>
        </w:tc>
      </w:tr>
      <w:tr>
        <w:tc>
          <w:tcPr>
            <w:tcW w:type="dxa" w:w="4734"/>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5"/>
              </w:rPr>
              <w:t>POST /api/cuentas/31/cerrar</w:t>
              <w:br/>
              <w:t>{"idempotencyKey":"cierre-31-001"}</w:t>
            </w:r>
          </w:p>
        </w:tc>
        <w:tc>
          <w:tcPr>
            <w:tcW w:type="dxa" w:w="4734"/>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5"/>
              </w:rPr>
              <w:t>200 OK</w:t>
              <w:br/>
              <w:t>{"cuentaId":31,"estado":"Cerrada","notaVentaId":12,"numeroNota":"NV-0012"}</w:t>
            </w:r>
          </w:p>
        </w:tc>
      </w:tr>
    </w:tbl>
    <w:p>
      <w:pPr>
        <w:spacing w:after="0"/>
      </w:pPr>
    </w:p>
    <w:p>
      <w:r>
        <w:rPr>
          <w:b/>
        </w:rPr>
        <w:t>La emisión de Factura</w:t>
      </w:r>
      <w:r>
        <w:t xml:space="preserve"> no se representa como equivalente a NotaVenta; sus requisitos tributarios y su disparador concreto se especificarán separadamente. Los pagos parciales son una capacidad posible del modelo, no un requisito definitivamente aprobado.</w:t>
      </w:r>
    </w:p>
    <w:p>
      <w:r>
        <w:br w:type="page"/>
      </w:r>
    </w:p>
    <w:p>
      <w:pPr>
        <w:pStyle w:val="Heading1"/>
      </w:pPr>
      <w:r>
        <w:t>5. Escenario S2 — Incremento del saldo pendiente</w:t>
      </w:r>
    </w:p>
    <w:p>
      <w:r>
        <w:t>El enunciado menciona “incremento de saldo de un cliente”. Conforme a la decisión del proyecto, aquí se interpreta como aumento de la deuda por nuevos pedidos asociados a CuentaConsumo, no como recarga de dinero o crédito prepago.</w:t>
      </w:r>
    </w:p>
    <w:tbl>
      <w:tblPr>
        <w:tblW w:type="auto" w:w="0"/>
        <w:jc w:val="center"/>
        <w:tblLayout w:type="fixed"/>
        <w:tblLook w:firstColumn="1" w:firstRow="1" w:lastColumn="0" w:lastRow="0" w:noHBand="0" w:noVBand="1" w:val="04A0"/>
      </w:tblPr>
      <w:tblGrid>
        <w:gridCol w:w="652"/>
        <w:gridCol w:w="2608"/>
        <w:gridCol w:w="6208"/>
      </w:tblGrid>
      <w:tr>
        <w:trPr>
          <w:tblHeader/>
        </w:trPr>
        <w:tc>
          <w:tcPr>
            <w:tcW w:type="dxa" w:w="652"/>
            <w:shd w:fill="245B75"/>
            <w:tcBorders>
              <w:top w:val="single" w:sz="4" w:color="245B75"/>
              <w:left w:val="single" w:sz="4" w:color="245B75"/>
              <w:bottom w:val="single" w:sz="4" w:color="245B75"/>
              <w:right w:val="single" w:sz="4" w:color="245B75"/>
            </w:tcBorders>
            <w:vAlign w:val="center"/>
          </w:tcPr>
          <w:p>
            <w:pPr>
              <w:spacing w:after="20" w:line="257" w:lineRule="auto"/>
            </w:pPr>
            <w:r/>
            <w:r>
              <w:rPr>
                <w:rFonts w:ascii="Aptos" w:hAnsi="Aptos"/>
                <w:b/>
                <w:color w:val="FFFFFF"/>
                <w:sz w:val="16"/>
              </w:rPr>
              <w:t>Paso</w:t>
            </w:r>
          </w:p>
        </w:tc>
        <w:tc>
          <w:tcPr>
            <w:tcW w:type="dxa" w:w="2608"/>
            <w:shd w:fill="245B75"/>
            <w:tcBorders>
              <w:top w:val="single" w:sz="4" w:color="245B75"/>
              <w:left w:val="single" w:sz="4" w:color="245B75"/>
              <w:bottom w:val="single" w:sz="4" w:color="245B75"/>
              <w:right w:val="single" w:sz="4" w:color="245B75"/>
            </w:tcBorders>
            <w:vAlign w:val="center"/>
          </w:tcPr>
          <w:p>
            <w:pPr>
              <w:spacing w:after="20" w:line="257" w:lineRule="auto"/>
            </w:pPr>
            <w:r/>
            <w:r>
              <w:rPr>
                <w:rFonts w:ascii="Aptos" w:hAnsi="Aptos"/>
                <w:b/>
                <w:color w:val="FFFFFF"/>
                <w:sz w:val="16"/>
              </w:rPr>
              <w:t>Emisor → Receptor</w:t>
            </w:r>
          </w:p>
        </w:tc>
        <w:tc>
          <w:tcPr>
            <w:tcW w:type="dxa" w:w="6208"/>
            <w:shd w:fill="245B75"/>
            <w:tcBorders>
              <w:top w:val="single" w:sz="4" w:color="245B75"/>
              <w:left w:val="single" w:sz="4" w:color="245B75"/>
              <w:bottom w:val="single" w:sz="4" w:color="245B75"/>
              <w:right w:val="single" w:sz="4" w:color="245B75"/>
            </w:tcBorders>
            <w:vAlign w:val="center"/>
          </w:tcPr>
          <w:p>
            <w:pPr>
              <w:spacing w:after="20" w:line="257" w:lineRule="auto"/>
            </w:pPr>
            <w:r/>
            <w:r>
              <w:rPr>
                <w:rFonts w:ascii="Aptos" w:hAnsi="Aptos"/>
                <w:b/>
                <w:color w:val="FFFFFF"/>
                <w:sz w:val="16"/>
              </w:rPr>
              <w:t>Solicitud / respuesta esperada</w:t>
            </w:r>
          </w:p>
        </w:tc>
      </w:tr>
      <w:tr>
        <w:tc>
          <w:tcPr>
            <w:tcW w:type="dxa" w:w="652"/>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01</w:t>
            </w:r>
          </w:p>
        </w:tc>
        <w:tc>
          <w:tcPr>
            <w:tcW w:type="dxa" w:w="2608"/>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5"/>
              </w:rPr>
              <w:t>Mesero → Blazor</w:t>
            </w:r>
          </w:p>
        </w:tc>
        <w:tc>
          <w:tcPr>
            <w:tcW w:type="dxa" w:w="6208"/>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Abrir mesa y consultar cuenta abierta actual.</w:t>
            </w:r>
          </w:p>
        </w:tc>
      </w:tr>
      <w:tr>
        <w:tc>
          <w:tcPr>
            <w:tcW w:type="dxa" w:w="652"/>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02</w:t>
            </w:r>
          </w:p>
        </w:tc>
        <w:tc>
          <w:tcPr>
            <w:tcW w:type="dxa" w:w="2608"/>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5"/>
              </w:rPr>
              <w:t>Blazor → API</w:t>
            </w:r>
          </w:p>
        </w:tc>
        <w:tc>
          <w:tcPr>
            <w:tcW w:type="dxa" w:w="6208"/>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GET /api/mesas/{mesaId}/cuenta-activa (ruta sugerida).</w:t>
            </w:r>
          </w:p>
        </w:tc>
      </w:tr>
      <w:tr>
        <w:tc>
          <w:tcPr>
            <w:tcW w:type="dxa" w:w="652"/>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03</w:t>
            </w:r>
          </w:p>
        </w:tc>
        <w:tc>
          <w:tcPr>
            <w:tcW w:type="dxa" w:w="2608"/>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5"/>
              </w:rPr>
              <w:t>API → ServicioCuentas → EF Core / SQL</w:t>
            </w:r>
          </w:p>
        </w:tc>
        <w:tc>
          <w:tcPr>
            <w:tcW w:type="dxa" w:w="6208"/>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Consultar cuenta, pedidos y pagos confirmados. Respuesta: idCuenta, estado, saldo actual.</w:t>
            </w:r>
          </w:p>
        </w:tc>
      </w:tr>
      <w:tr>
        <w:tc>
          <w:tcPr>
            <w:tcW w:type="dxa" w:w="652"/>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04</w:t>
            </w:r>
          </w:p>
        </w:tc>
        <w:tc>
          <w:tcPr>
            <w:tcW w:type="dxa" w:w="2608"/>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5"/>
              </w:rPr>
              <w:t>API → Blazor</w:t>
            </w:r>
          </w:p>
        </w:tc>
        <w:tc>
          <w:tcPr>
            <w:tcW w:type="dxa" w:w="6208"/>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200 OK: consumo acumulado, totalPagado, saldoPendiente y lista de pedidos.</w:t>
            </w:r>
          </w:p>
        </w:tc>
      </w:tr>
      <w:tr>
        <w:tc>
          <w:tcPr>
            <w:tcW w:type="dxa" w:w="652"/>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05</w:t>
            </w:r>
          </w:p>
        </w:tc>
        <w:tc>
          <w:tcPr>
            <w:tcW w:type="dxa" w:w="2608"/>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5"/>
              </w:rPr>
              <w:t>Mesero → Blazor → API</w:t>
            </w:r>
          </w:p>
        </w:tc>
        <w:tc>
          <w:tcPr>
            <w:tcW w:type="dxa" w:w="6208"/>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Agregar nuevos ítems: POST /api/cuentas/{id}/pedidos con detalles e identificador de solicitud.</w:t>
            </w:r>
          </w:p>
        </w:tc>
      </w:tr>
      <w:tr>
        <w:tc>
          <w:tcPr>
            <w:tcW w:type="dxa" w:w="652"/>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06</w:t>
            </w:r>
          </w:p>
        </w:tc>
        <w:tc>
          <w:tcPr>
            <w:tcW w:type="dxa" w:w="2608"/>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5"/>
              </w:rPr>
              <w:t>API → ServicioPedidos → Dominio</w:t>
            </w:r>
          </w:p>
        </w:tc>
        <w:tc>
          <w:tcPr>
            <w:tcW w:type="dxa" w:w="6208"/>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Validar rol, cuenta abierta, productos/cantidades y evitar duplicar solicitudes.</w:t>
            </w:r>
          </w:p>
        </w:tc>
      </w:tr>
      <w:tr>
        <w:tc>
          <w:tcPr>
            <w:tcW w:type="dxa" w:w="652"/>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07</w:t>
            </w:r>
          </w:p>
        </w:tc>
        <w:tc>
          <w:tcPr>
            <w:tcW w:type="dxa" w:w="2608"/>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5"/>
              </w:rPr>
              <w:t>ServicioPedidos → EF Core / SQL</w:t>
            </w:r>
          </w:p>
        </w:tc>
        <w:tc>
          <w:tcPr>
            <w:tcW w:type="dxa" w:w="6208"/>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Registrar pedido y sus detalles de forma atómica; recibir confirmación de persistencia.</w:t>
            </w:r>
          </w:p>
        </w:tc>
      </w:tr>
      <w:tr>
        <w:tc>
          <w:tcPr>
            <w:tcW w:type="dxa" w:w="652"/>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08</w:t>
            </w:r>
          </w:p>
        </w:tc>
        <w:tc>
          <w:tcPr>
            <w:tcW w:type="dxa" w:w="2608"/>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5"/>
              </w:rPr>
              <w:t>ServicioCuentas → Dominio</w:t>
            </w:r>
          </w:p>
        </w:tc>
        <w:tc>
          <w:tcPr>
            <w:tcW w:type="dxa" w:w="6208"/>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Recalcular TotalConsumo con pedidos válidos y TotalPagado con pagos confirmados.</w:t>
            </w:r>
          </w:p>
        </w:tc>
      </w:tr>
      <w:tr>
        <w:tc>
          <w:tcPr>
            <w:tcW w:type="dxa" w:w="652"/>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09</w:t>
            </w:r>
          </w:p>
        </w:tc>
        <w:tc>
          <w:tcPr>
            <w:tcW w:type="dxa" w:w="2608"/>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5"/>
              </w:rPr>
              <w:t>Dominio → API → Blazor</w:t>
            </w:r>
          </w:p>
        </w:tc>
        <w:tc>
          <w:tcPr>
            <w:tcW w:type="dxa" w:w="6208"/>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Retornar nuevo saldo pendiente, pedido confirmado y detalle del cambio.</w:t>
            </w:r>
          </w:p>
        </w:tc>
      </w:tr>
      <w:tr>
        <w:tc>
          <w:tcPr>
            <w:tcW w:type="dxa" w:w="652"/>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10</w:t>
            </w:r>
          </w:p>
        </w:tc>
        <w:tc>
          <w:tcPr>
            <w:tcW w:type="dxa" w:w="2608"/>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5"/>
              </w:rPr>
              <w:t>Blazor → Mesero</w:t>
            </w:r>
          </w:p>
        </w:tc>
        <w:tc>
          <w:tcPr>
            <w:tcW w:type="dxa" w:w="6208"/>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Actualizar vista de cuenta sin reflejar un “saldo disponible” de billetera.</w:t>
            </w:r>
          </w:p>
        </w:tc>
      </w:tr>
    </w:tbl>
    <w:p>
      <w:pPr>
        <w:spacing w:after="0"/>
      </w:pPr>
    </w:p>
    <w:tbl>
      <w:tblPr>
        <w:tblW w:type="auto" w:w="0"/>
        <w:tblLook w:firstColumn="1" w:firstRow="1" w:lastColumn="0" w:lastRow="0" w:noHBand="0" w:noVBand="1" w:val="04A0"/>
      </w:tblPr>
      <w:tblGrid>
        <w:gridCol w:w="9524"/>
      </w:tblGrid>
      <w:tr>
        <w:tc>
          <w:tcPr>
            <w:tcW w:type="dxa" w:w="9524"/>
            <w:shd w:fill="E8F2F6"/>
            <w:tcBorders>
              <w:top w:val="single" w:sz="4" w:color="BED4DE"/>
              <w:left w:val="single" w:sz="4" w:color="BED4DE"/>
              <w:bottom w:val="single" w:sz="4" w:color="BED4DE"/>
              <w:right w:val="single" w:sz="4" w:color="BED4DE"/>
            </w:tcBorders>
          </w:tcPr>
          <w:p>
            <w:pPr>
              <w:spacing w:after="60"/>
            </w:pPr>
            <w:r>
              <w:rPr>
                <w:b/>
                <w:color w:val="00667E"/>
                <w:sz w:val="16"/>
              </w:rPr>
              <w:t>EJEMPLO SENCILLO</w:t>
            </w:r>
          </w:p>
          <w:p>
            <w:pPr>
              <w:spacing w:after="40"/>
            </w:pPr>
            <w:r>
              <w:t>Antes: TotalConsumo USD 18,00; TotalPagado USD 0,00; SaldoPendiente USD 18,00. Nuevo pedido confirmado: USD 6,00. Después: TotalConsumo USD 24,00; TotalPagado USD 0,00; SaldoPendiente USD 24,00.</w:t>
            </w:r>
          </w:p>
        </w:tc>
      </w:tr>
    </w:tbl>
    <w:p>
      <w:pPr>
        <w:spacing w:after="0"/>
      </w:pPr>
    </w:p>
    <w:p>
      <w:pPr>
        <w:pStyle w:val="Heading2"/>
      </w:pPr>
      <w:r>
        <w:t>Condiciones y respuestas alternativas comunes</w:t>
      </w:r>
    </w:p>
    <w:tbl>
      <w:tblPr>
        <w:tblW w:type="auto" w:w="0"/>
        <w:jc w:val="center"/>
        <w:tblLayout w:type="fixed"/>
        <w:tblLook w:firstColumn="1" w:firstRow="1" w:lastColumn="0" w:lastRow="0" w:noHBand="0" w:noVBand="1" w:val="04A0"/>
      </w:tblPr>
      <w:tblGrid>
        <w:gridCol w:w="2665"/>
        <w:gridCol w:w="6803"/>
      </w:tblGrid>
      <w:tr>
        <w:trPr>
          <w:tblHeader/>
        </w:trPr>
        <w:tc>
          <w:tcPr>
            <w:tcW w:type="dxa" w:w="2665"/>
            <w:shd w:fill="245B75"/>
            <w:tcBorders>
              <w:top w:val="single" w:sz="4" w:color="245B75"/>
              <w:left w:val="single" w:sz="4" w:color="245B75"/>
              <w:bottom w:val="single" w:sz="4" w:color="245B75"/>
              <w:right w:val="single" w:sz="4" w:color="245B75"/>
            </w:tcBorders>
            <w:vAlign w:val="center"/>
          </w:tcPr>
          <w:p>
            <w:pPr>
              <w:spacing w:after="20" w:line="257" w:lineRule="auto"/>
            </w:pPr>
            <w:r/>
            <w:r>
              <w:rPr>
                <w:rFonts w:ascii="Aptos" w:hAnsi="Aptos"/>
                <w:b/>
                <w:color w:val="FFFFFF"/>
                <w:sz w:val="16"/>
              </w:rPr>
              <w:t>Condición</w:t>
            </w:r>
          </w:p>
        </w:tc>
        <w:tc>
          <w:tcPr>
            <w:tcW w:type="dxa" w:w="6803"/>
            <w:shd w:fill="245B75"/>
            <w:tcBorders>
              <w:top w:val="single" w:sz="4" w:color="245B75"/>
              <w:left w:val="single" w:sz="4" w:color="245B75"/>
              <w:bottom w:val="single" w:sz="4" w:color="245B75"/>
              <w:right w:val="single" w:sz="4" w:color="245B75"/>
            </w:tcBorders>
            <w:vAlign w:val="center"/>
          </w:tcPr>
          <w:p>
            <w:pPr>
              <w:spacing w:after="20" w:line="257" w:lineRule="auto"/>
            </w:pPr>
            <w:r/>
            <w:r>
              <w:rPr>
                <w:rFonts w:ascii="Aptos" w:hAnsi="Aptos"/>
                <w:b/>
                <w:color w:val="FFFFFF"/>
                <w:sz w:val="16"/>
              </w:rPr>
              <w:t>Comportamiento esperado (propuesto)</w:t>
            </w:r>
          </w:p>
        </w:tc>
      </w:tr>
      <w:tr>
        <w:tc>
          <w:tcPr>
            <w:tcW w:type="dxa" w:w="2665"/>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Cuenta cerrada</w:t>
            </w:r>
          </w:p>
        </w:tc>
        <w:tc>
          <w:tcPr>
            <w:tcW w:type="dxa" w:w="6803"/>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No registrar nuevo pedido; 409 Conflict y mensaje “La cuenta ya está cerrada”.</w:t>
            </w:r>
          </w:p>
        </w:tc>
      </w:tr>
      <w:tr>
        <w:tc>
          <w:tcPr>
            <w:tcW w:type="dxa" w:w="2665"/>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Sin autorización</w:t>
            </w:r>
          </w:p>
        </w:tc>
        <w:tc>
          <w:tcPr>
            <w:tcW w:type="dxa" w:w="6803"/>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401 Unauthorized para sesión no válida o 403 Forbidden para rol sin permiso.</w:t>
            </w:r>
          </w:p>
        </w:tc>
      </w:tr>
      <w:tr>
        <w:tc>
          <w:tcPr>
            <w:tcW w:type="dxa" w:w="2665"/>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Producto inválido / cantidad no válida</w:t>
            </w:r>
          </w:p>
        </w:tc>
        <w:tc>
          <w:tcPr>
            <w:tcW w:type="dxa" w:w="6803"/>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Validar solicitud; 400 Bad Request o 422 Unprocessable Entity según contrato a adoptar.</w:t>
            </w:r>
          </w:p>
        </w:tc>
      </w:tr>
      <w:tr>
        <w:tc>
          <w:tcPr>
            <w:tcW w:type="dxa" w:w="2665"/>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Stock o disponibilidad insuficiente</w:t>
            </w:r>
          </w:p>
        </w:tc>
        <w:tc>
          <w:tcPr>
            <w:tcW w:type="dxa" w:w="6803"/>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Rechazar la operación en la capa de negocio, sin crear un pedido parcial accidental.</w:t>
            </w:r>
          </w:p>
        </w:tc>
      </w:tr>
      <w:tr>
        <w:tc>
          <w:tcPr>
            <w:tcW w:type="dxa" w:w="2665"/>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Error SQL / concurrencia</w:t>
            </w:r>
          </w:p>
        </w:tc>
        <w:tc>
          <w:tcPr>
            <w:tcW w:type="dxa" w:w="6803"/>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No confirmar una operación incompleta; revertir transacción y dar respuesta de error segura.</w:t>
            </w:r>
          </w:p>
        </w:tc>
      </w:tr>
      <w:tr>
        <w:tc>
          <w:tcPr>
            <w:tcW w:type="dxa" w:w="2665"/>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Solicitud duplicada</w:t>
            </w:r>
          </w:p>
        </w:tc>
        <w:tc>
          <w:tcPr>
            <w:tcW w:type="dxa" w:w="6803"/>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No cargar dos veces el consumo; devolver resultado existente o conflicto controlado.</w:t>
            </w:r>
          </w:p>
        </w:tc>
      </w:tr>
    </w:tbl>
    <w:p>
      <w:pPr>
        <w:spacing w:after="0"/>
      </w:pPr>
    </w:p>
    <w:p>
      <w:r>
        <w:br w:type="page"/>
      </w:r>
    </w:p>
    <w:p>
      <w:pPr>
        <w:pStyle w:val="Heading1"/>
      </w:pPr>
      <w:r>
        <w:t>6. Catálogo de mensajes y trazabilidad</w:t>
      </w:r>
    </w:p>
    <w:p>
      <w:r>
        <w:t>Los nombres de rutas, códigos y DTO que siguen son propuestas de contrato para construir los diagramas; no constituyen endpoints ya programados ni exigencias literales del enunciado.</w:t>
      </w:r>
    </w:p>
    <w:tbl>
      <w:tblPr>
        <w:tblW w:type="auto" w:w="0"/>
        <w:jc w:val="center"/>
        <w:tblLayout w:type="fixed"/>
        <w:tblLook w:firstColumn="1" w:firstRow="1" w:lastColumn="0" w:lastRow="0" w:noHBand="0" w:noVBand="1" w:val="04A0"/>
      </w:tblPr>
      <w:tblGrid>
        <w:gridCol w:w="2438"/>
        <w:gridCol w:w="3458"/>
        <w:gridCol w:w="3572"/>
      </w:tblGrid>
      <w:tr>
        <w:trPr>
          <w:tblHeader/>
        </w:trPr>
        <w:tc>
          <w:tcPr>
            <w:tcW w:type="dxa" w:w="2438"/>
            <w:shd w:fill="245B75"/>
            <w:tcBorders>
              <w:top w:val="single" w:sz="4" w:color="245B75"/>
              <w:left w:val="single" w:sz="4" w:color="245B75"/>
              <w:bottom w:val="single" w:sz="4" w:color="245B75"/>
              <w:right w:val="single" w:sz="4" w:color="245B75"/>
            </w:tcBorders>
            <w:vAlign w:val="center"/>
          </w:tcPr>
          <w:p>
            <w:pPr>
              <w:spacing w:after="20" w:line="257" w:lineRule="auto"/>
            </w:pPr>
            <w:r/>
            <w:r>
              <w:rPr>
                <w:rFonts w:ascii="Aptos" w:hAnsi="Aptos"/>
                <w:b/>
                <w:color w:val="FFFFFF"/>
                <w:sz w:val="16"/>
              </w:rPr>
              <w:t>Operación propuesta</w:t>
            </w:r>
          </w:p>
        </w:tc>
        <w:tc>
          <w:tcPr>
            <w:tcW w:type="dxa" w:w="3458"/>
            <w:shd w:fill="245B75"/>
            <w:tcBorders>
              <w:top w:val="single" w:sz="4" w:color="245B75"/>
              <w:left w:val="single" w:sz="4" w:color="245B75"/>
              <w:bottom w:val="single" w:sz="4" w:color="245B75"/>
              <w:right w:val="single" w:sz="4" w:color="245B75"/>
            </w:tcBorders>
            <w:vAlign w:val="center"/>
          </w:tcPr>
          <w:p>
            <w:pPr>
              <w:spacing w:after="20" w:line="257" w:lineRule="auto"/>
            </w:pPr>
            <w:r/>
            <w:r>
              <w:rPr>
                <w:rFonts w:ascii="Aptos" w:hAnsi="Aptos"/>
                <w:b/>
                <w:color w:val="FFFFFF"/>
                <w:sz w:val="16"/>
              </w:rPr>
              <w:t>Entrada mínima</w:t>
            </w:r>
          </w:p>
        </w:tc>
        <w:tc>
          <w:tcPr>
            <w:tcW w:type="dxa" w:w="3572"/>
            <w:shd w:fill="245B75"/>
            <w:tcBorders>
              <w:top w:val="single" w:sz="4" w:color="245B75"/>
              <w:left w:val="single" w:sz="4" w:color="245B75"/>
              <w:bottom w:val="single" w:sz="4" w:color="245B75"/>
              <w:right w:val="single" w:sz="4" w:color="245B75"/>
            </w:tcBorders>
            <w:vAlign w:val="center"/>
          </w:tcPr>
          <w:p>
            <w:pPr>
              <w:spacing w:after="20" w:line="257" w:lineRule="auto"/>
            </w:pPr>
            <w:r/>
            <w:r>
              <w:rPr>
                <w:rFonts w:ascii="Aptos" w:hAnsi="Aptos"/>
                <w:b/>
                <w:color w:val="FFFFFF"/>
                <w:sz w:val="16"/>
              </w:rPr>
              <w:t>Salida esperada</w:t>
            </w:r>
          </w:p>
        </w:tc>
      </w:tr>
      <w:tr>
        <w:tc>
          <w:tcPr>
            <w:tcW w:type="dxa" w:w="2438"/>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5"/>
              </w:rPr>
              <w:t>consultarCuenta(idCuenta)</w:t>
            </w:r>
          </w:p>
        </w:tc>
        <w:tc>
          <w:tcPr>
            <w:tcW w:type="dxa" w:w="3458"/>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5"/>
              </w:rPr>
              <w:t>idCuenta, token autorizado</w:t>
            </w:r>
          </w:p>
        </w:tc>
        <w:tc>
          <w:tcPr>
            <w:tcW w:type="dxa" w:w="3572"/>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5"/>
              </w:rPr>
              <w:t>estado, pedidos, totalConsumo, totalPagado, saldoPendiente</w:t>
            </w:r>
          </w:p>
        </w:tc>
      </w:tr>
      <w:tr>
        <w:tc>
          <w:tcPr>
            <w:tcW w:type="dxa" w:w="2438"/>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5"/>
              </w:rPr>
              <w:t>registrarPedido(idCuenta, detalles)</w:t>
            </w:r>
          </w:p>
        </w:tc>
        <w:tc>
          <w:tcPr>
            <w:tcW w:type="dxa" w:w="3458"/>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5"/>
              </w:rPr>
              <w:t>idCuenta, ítems, cantidades, personalización, clave operación</w:t>
            </w:r>
          </w:p>
        </w:tc>
        <w:tc>
          <w:tcPr>
            <w:tcW w:type="dxa" w:w="3572"/>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5"/>
              </w:rPr>
              <w:t>idPedido, estado, total actualizado, saldo</w:t>
            </w:r>
          </w:p>
        </w:tc>
      </w:tr>
      <w:tr>
        <w:tc>
          <w:tcPr>
            <w:tcW w:type="dxa" w:w="2438"/>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5"/>
              </w:rPr>
              <w:t>registrarPago(idCuenta, pago)</w:t>
            </w:r>
          </w:p>
        </w:tc>
        <w:tc>
          <w:tcPr>
            <w:tcW w:type="dxa" w:w="3458"/>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5"/>
              </w:rPr>
              <w:t>idCuenta, monto, método, referencia opcional</w:t>
            </w:r>
          </w:p>
        </w:tc>
        <w:tc>
          <w:tcPr>
            <w:tcW w:type="dxa" w:w="3572"/>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5"/>
              </w:rPr>
              <w:t>idPago, estado confirmado/rechazado, saldo</w:t>
            </w:r>
          </w:p>
        </w:tc>
      </w:tr>
      <w:tr>
        <w:tc>
          <w:tcPr>
            <w:tcW w:type="dxa" w:w="2438"/>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5"/>
              </w:rPr>
              <w:t>cerrarCuenta(idCuenta)</w:t>
            </w:r>
          </w:p>
        </w:tc>
        <w:tc>
          <w:tcPr>
            <w:tcW w:type="dxa" w:w="3458"/>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5"/>
              </w:rPr>
              <w:t>idCuenta, clave idempotente</w:t>
            </w:r>
          </w:p>
        </w:tc>
        <w:tc>
          <w:tcPr>
            <w:tcW w:type="dxa" w:w="3572"/>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5"/>
              </w:rPr>
              <w:t>estado cerrado, idNotaVenta, número</w:t>
            </w:r>
          </w:p>
        </w:tc>
      </w:tr>
      <w:tr>
        <w:tc>
          <w:tcPr>
            <w:tcW w:type="dxa" w:w="2438"/>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5"/>
              </w:rPr>
              <w:t>generarNotaVenta(cuenta)</w:t>
            </w:r>
          </w:p>
        </w:tc>
        <w:tc>
          <w:tcPr>
            <w:tcW w:type="dxa" w:w="3458"/>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5"/>
              </w:rPr>
              <w:t>cuenta liquidada, líneas de consumo y pagos</w:t>
            </w:r>
          </w:p>
        </w:tc>
        <w:tc>
          <w:tcPr>
            <w:tcW w:type="dxa" w:w="3572"/>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5"/>
              </w:rPr>
              <w:t>instantánea histórica y referencia del documento</w:t>
            </w:r>
          </w:p>
        </w:tc>
      </w:tr>
    </w:tbl>
    <w:p>
      <w:pPr>
        <w:spacing w:after="0"/>
      </w:pPr>
    </w:p>
    <w:p>
      <w:pPr>
        <w:pStyle w:val="Heading1"/>
      </w:pPr>
      <w:r>
        <w:t>7. Correspondencia con las historias y tareas Jira</w:t>
      </w:r>
    </w:p>
    <w:tbl>
      <w:tblPr>
        <w:tblW w:type="auto" w:w="0"/>
        <w:jc w:val="center"/>
        <w:tblLayout w:type="fixed"/>
        <w:tblLook w:firstColumn="1" w:firstRow="1" w:lastColumn="0" w:lastRow="0" w:noHBand="0" w:noVBand="1" w:val="04A0"/>
      </w:tblPr>
      <w:tblGrid>
        <w:gridCol w:w="2948"/>
        <w:gridCol w:w="6520"/>
      </w:tblGrid>
      <w:tr>
        <w:trPr>
          <w:tblHeader/>
        </w:trPr>
        <w:tc>
          <w:tcPr>
            <w:tcW w:type="dxa" w:w="2948"/>
            <w:shd w:fill="245B75"/>
            <w:tcBorders>
              <w:top w:val="single" w:sz="4" w:color="245B75"/>
              <w:left w:val="single" w:sz="4" w:color="245B75"/>
              <w:bottom w:val="single" w:sz="4" w:color="245B75"/>
              <w:right w:val="single" w:sz="4" w:color="245B75"/>
            </w:tcBorders>
            <w:vAlign w:val="center"/>
          </w:tcPr>
          <w:p>
            <w:pPr>
              <w:spacing w:after="20" w:line="257" w:lineRule="auto"/>
            </w:pPr>
            <w:r/>
            <w:r>
              <w:rPr>
                <w:rFonts w:ascii="Aptos" w:hAnsi="Aptos"/>
                <w:b/>
                <w:color w:val="FFFFFF"/>
                <w:sz w:val="16"/>
              </w:rPr>
              <w:t>Origen</w:t>
            </w:r>
          </w:p>
        </w:tc>
        <w:tc>
          <w:tcPr>
            <w:tcW w:type="dxa" w:w="6520"/>
            <w:shd w:fill="245B75"/>
            <w:tcBorders>
              <w:top w:val="single" w:sz="4" w:color="245B75"/>
              <w:left w:val="single" w:sz="4" w:color="245B75"/>
              <w:bottom w:val="single" w:sz="4" w:color="245B75"/>
              <w:right w:val="single" w:sz="4" w:color="245B75"/>
            </w:tcBorders>
            <w:vAlign w:val="center"/>
          </w:tcPr>
          <w:p>
            <w:pPr>
              <w:spacing w:after="20" w:line="257" w:lineRule="auto"/>
            </w:pPr>
            <w:r/>
            <w:r>
              <w:rPr>
                <w:rFonts w:ascii="Aptos" w:hAnsi="Aptos"/>
                <w:b/>
                <w:color w:val="FFFFFF"/>
                <w:sz w:val="16"/>
              </w:rPr>
              <w:t>Participación en S1 / S2</w:t>
            </w:r>
          </w:p>
        </w:tc>
      </w:tr>
      <w:tr>
        <w:tc>
          <w:tcPr>
            <w:tcW w:type="dxa" w:w="2948"/>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5"/>
              </w:rPr>
              <w:t>US-03 · SCRUM-16</w:t>
            </w:r>
          </w:p>
        </w:tc>
        <w:tc>
          <w:tcPr>
            <w:tcW w:type="dxa" w:w="6520"/>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Registro del pedido asociado a mesa; S1 y S2.</w:t>
            </w:r>
          </w:p>
        </w:tc>
      </w:tr>
      <w:tr>
        <w:tc>
          <w:tcPr>
            <w:tcW w:type="dxa" w:w="2948"/>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5"/>
              </w:rPr>
              <w:t>US-04 · SCRUM-17</w:t>
            </w:r>
          </w:p>
        </w:tc>
        <w:tc>
          <w:tcPr>
            <w:tcW w:type="dxa" w:w="6520"/>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Ticket destinado a cocina o bar derivado de pedido confirmado; S1.</w:t>
            </w:r>
          </w:p>
        </w:tc>
      </w:tr>
      <w:tr>
        <w:tc>
          <w:tcPr>
            <w:tcW w:type="dxa" w:w="2948"/>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5"/>
              </w:rPr>
              <w:t>US-06 · SCRUM-20</w:t>
            </w:r>
          </w:p>
        </w:tc>
        <w:tc>
          <w:tcPr>
            <w:tcW w:type="dxa" w:w="6520"/>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Cobrar cuenta y facturación diferenciada; cobro/cierre de S1.</w:t>
            </w:r>
          </w:p>
        </w:tc>
      </w:tr>
      <w:tr>
        <w:tc>
          <w:tcPr>
            <w:tcW w:type="dxa" w:w="2948"/>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5"/>
              </w:rPr>
              <w:t>US-07 · SCRUM-21</w:t>
            </w:r>
          </w:p>
        </w:tc>
        <w:tc>
          <w:tcPr>
            <w:tcW w:type="dxa" w:w="6520"/>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Pasarela externa opcional; solo si se escoge medio en línea.</w:t>
            </w:r>
          </w:p>
        </w:tc>
      </w:tr>
      <w:tr>
        <w:tc>
          <w:tcPr>
            <w:tcW w:type="dxa" w:w="2948"/>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5"/>
              </w:rPr>
              <w:t>US-12 · SCRUM-62</w:t>
            </w:r>
          </w:p>
        </w:tc>
        <w:tc>
          <w:tcPr>
            <w:tcW w:type="dxa" w:w="6520"/>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Acumulación de pedidos por cuenta y consulta de saldo; S1 y S2.</w:t>
            </w:r>
          </w:p>
        </w:tc>
      </w:tr>
      <w:tr>
        <w:tc>
          <w:tcPr>
            <w:tcW w:type="dxa" w:w="2948"/>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5"/>
              </w:rPr>
              <w:t>US-13 · SCRUM-63</w:t>
            </w:r>
          </w:p>
        </w:tc>
        <w:tc>
          <w:tcPr>
            <w:tcW w:type="dxa" w:w="6520"/>
            <w:tcBorders>
              <w:top w:val="single" w:sz="4" w:color="D9E4E9"/>
              <w:left w:val="single" w:sz="4" w:color="D9E4E9"/>
              <w:bottom w:val="single" w:sz="4" w:color="D9E4E9"/>
              <w:right w:val="single" w:sz="4" w:color="D9E4E9"/>
            </w:tcBorders>
            <w:vAlign w:val="center"/>
          </w:tcPr>
          <w:p>
            <w:pPr>
              <w:spacing w:after="20" w:line="257" w:lineRule="auto"/>
            </w:pPr>
            <w:r/>
            <w:r>
              <w:rPr>
                <w:rFonts w:ascii="Aptos" w:hAnsi="Aptos"/>
                <w:b w:val="0"/>
                <w:sz w:val="16"/>
              </w:rPr>
              <w:t>Generación de NotaVenta distinta de Factura; cierre de S1.</w:t>
            </w:r>
          </w:p>
        </w:tc>
      </w:tr>
      <w:tr>
        <w:tc>
          <w:tcPr>
            <w:tcW w:type="dxa" w:w="2948"/>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5"/>
              </w:rPr>
              <w:t>T11 · SCRUM-80</w:t>
            </w:r>
          </w:p>
        </w:tc>
        <w:tc>
          <w:tcPr>
            <w:tcW w:type="dxa" w:w="6520"/>
            <w:tcBorders>
              <w:top w:val="single" w:sz="4" w:color="D9E4E9"/>
              <w:left w:val="single" w:sz="4" w:color="D9E4E9"/>
              <w:bottom w:val="single" w:sz="4" w:color="D9E4E9"/>
              <w:right w:val="single" w:sz="4" w:color="D9E4E9"/>
            </w:tcBorders>
            <w:vAlign w:val="center"/>
            <w:shd w:fill="F2F6F8"/>
          </w:tcPr>
          <w:p>
            <w:pPr>
              <w:spacing w:after="20" w:line="257" w:lineRule="auto"/>
            </w:pPr>
            <w:r/>
            <w:r>
              <w:rPr>
                <w:rFonts w:ascii="Aptos" w:hAnsi="Aptos"/>
                <w:b w:val="0"/>
                <w:sz w:val="16"/>
              </w:rPr>
              <w:t>ST02 / SCRUM-82 diseña S1; ST03 / SCRUM-83 diseña S2; ST04 valida alternativas.</w:t>
            </w:r>
          </w:p>
        </w:tc>
      </w:tr>
    </w:tbl>
    <w:p>
      <w:pPr>
        <w:spacing w:after="0"/>
      </w:pPr>
    </w:p>
    <w:p>
      <w:pPr>
        <w:pStyle w:val="Heading1"/>
      </w:pPr>
      <w:r>
        <w:t>8. Límites y decisiones por definir</w:t>
      </w:r>
    </w:p>
    <w:p>
      <w:pPr>
        <w:pStyle w:val="ListBullet"/>
        <w:spacing w:after="40"/>
      </w:pPr>
      <w:r>
        <w:t>El plazo de descuento de stock (confirmación, preparación o venta) no está cerrado; se evitará representarlo como regla definitiva.</w:t>
      </w:r>
    </w:p>
    <w:p>
      <w:pPr>
        <w:pStyle w:val="ListBullet"/>
        <w:spacing w:after="40"/>
      </w:pPr>
      <w:r>
        <w:t>Los pagos parciales, pagos mixtos y reversiones quedan abiertos a definición; el diseño permite distinguir pagos confirmados de pendientes/revertidos.</w:t>
      </w:r>
    </w:p>
    <w:p>
      <w:pPr>
        <w:pStyle w:val="ListBullet"/>
        <w:spacing w:after="40"/>
      </w:pPr>
      <w:r>
        <w:t>La NotaVenta es un documento interno propuesto; no sustituye automáticamente a Factura ni acredita cumplimiento tributario.</w:t>
      </w:r>
    </w:p>
    <w:p>
      <w:pPr>
        <w:pStyle w:val="ListBullet"/>
        <w:spacing w:after="40"/>
      </w:pPr>
      <w:r>
        <w:t>La apertura automática de cuentas, rutas HTTP exactas, formatos de error y diseño de concurrencia requieren decisión técnica antes de programar.</w:t>
      </w:r>
    </w:p>
    <w:tbl>
      <w:tblPr>
        <w:tblW w:type="auto" w:w="0"/>
        <w:tblLook w:firstColumn="1" w:firstRow="1" w:lastColumn="0" w:lastRow="0" w:noHBand="0" w:noVBand="1" w:val="04A0"/>
      </w:tblPr>
      <w:tblGrid>
        <w:gridCol w:w="9524"/>
      </w:tblGrid>
      <w:tr>
        <w:tc>
          <w:tcPr>
            <w:tcW w:type="dxa" w:w="9524"/>
            <w:shd w:fill="E8F2F6"/>
            <w:tcBorders>
              <w:top w:val="single" w:sz="4" w:color="BED4DE"/>
              <w:left w:val="single" w:sz="4" w:color="BED4DE"/>
              <w:bottom w:val="single" w:sz="4" w:color="BED4DE"/>
              <w:right w:val="single" w:sz="4" w:color="BED4DE"/>
            </w:tcBorders>
          </w:tcPr>
          <w:p>
            <w:pPr>
              <w:spacing w:after="60"/>
            </w:pPr>
            <w:r>
              <w:rPr>
                <w:b/>
                <w:color w:val="00667E"/>
                <w:sz w:val="16"/>
              </w:rPr>
              <w:t>CRITERIO DE FINALIZACIÓN DE ST01</w:t>
            </w:r>
          </w:p>
          <w:p>
            <w:pPr>
              <w:spacing w:after="40"/>
            </w:pPr>
            <w:r>
              <w:t>Están identificados Mesero, Cajero, Blazor WebAssembly, API, servicios de negocio, dominio, EF Core/repositorios y SQL Server; se enumeraron solicitudes, respuestas y casos alternativos de S1 y S2. Evidencia recomendada: adjuntar este DOCX a SCRUM-81.</w:t>
            </w:r>
          </w:p>
        </w:tc>
      </w:tr>
    </w:tbl>
    <w:p>
      <w:pPr>
        <w:spacing w:after="0"/>
      </w:pPr>
    </w:p>
    <w:p>
      <w:r>
        <w:t>Fuentes de referencia: Informe de Levantamiento de Requisitos, secciones de ventas/pedidos, actores y arquitectura inicial; Práctica 02, apartado diagramas de secuencia; Reglas de negocio de cuentas y notas de venta (RN-01 a RN-13); US-03, US-06, US-12 y US-13 del backlog. Las rutas HTTP y cargas JSON se señalan como propuestas de diseño.</w:t>
      </w:r>
    </w:p>
    <w:sectPr w:rsidR="00FC693F" w:rsidRPr="0006063C" w:rsidSect="00034616">
      <w:headerReference w:type="default" r:id="rId9"/>
      <w:footerReference w:type="default" r:id="rId10"/>
      <w:pgSz w:w="11906" w:h="16838"/>
      <w:pgMar w:top="1106" w:right="1191" w:bottom="992" w:left="1191"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A77"/>
        <w:sz w:val="14"/>
      </w:rPr>
      <w:t xml:space="preserve">Sprint 2 · T11 / SCRUM-80 · ST01 / SCRUM-81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63049"/>
        <w:sz w:val="15"/>
      </w:rPr>
      <w:t>EPN  /  DASI  /  SISTEMA DE GESTIÓN DE BAR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4" w:lineRule="auto"/>
    </w:pPr>
    <w:rPr>
      <w:rFonts w:ascii="Aptos" w:hAnsi="Aptos"/>
      <w:color w:val="23313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w:hAnsi="Aptos"/>
      <w:b/>
      <w:bCs/>
      <w:color w:val="163049"/>
      <w:sz w:val="25"/>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b/>
      <w:bCs/>
      <w:color w:val="00667E"/>
      <w:sz w:val="21"/>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23568B"/>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Aptos Display" w:hAnsi="Aptos Display"/>
      <w:b/>
      <w:color w:val="16304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ST01 — Participantes y mensajes de diagramas UML de secuencia</dc:title>
  <dc:subject>Sistema de Gestión de Bar · Sprint 2</dc:subject>
  <dc:creator>Equipo del Sistema de Gestión de Bar</dc:creator>
  <cp:keywords/>
  <dc:description>generated by python-docx</dc:description>
  <cp:lastModifiedBy/>
  <cp:revision>1</cp:revision>
  <dcterms:created xsi:type="dcterms:W3CDTF">2013-12-23T23:15:00Z</dcterms:created>
  <dcterms:modified xsi:type="dcterms:W3CDTF">2013-12-23T23:15:00Z</dcterms:modified>
  <cp:category/>
</cp:coreProperties>
</file>