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Reglas de negocio: cuentas y notas de venta</w:t>
      </w:r>
    </w:p>
    <w:p>
      <w:pPr>
        <w:pStyle w:val="Subtitle"/>
      </w:pPr>
      <w:r>
        <w:t>Sistema de Gestión de Bar · Sprint 2 · Apoyo a SCRUM-64 / ST03</w:t>
      </w:r>
    </w:p>
    <w:p>
      <w:r>
        <w:rPr>
          <w:i/>
          <w:color w:val="526069"/>
          <w:sz w:val="18"/>
        </w:rPr>
        <w:t>Estado: documento de análisis y diseño  •  25 de octubre de 2026  •  Responsable documental: equipo de desarrollo</w:t>
      </w:r>
    </w:p>
    <w:p>
      <w:pPr>
        <w:pStyle w:val="Heading1"/>
      </w:pPr>
      <w:r>
        <w:t>1. Objetivo y alcance</w:t>
      </w:r>
    </w:p>
    <w:p>
      <w:r>
        <w:t>Precisar las reglas del proceso de cuentas por mesa, acumulación de pedidos, cálculo de importe pendiente, registro de pagos y generación de NotaVenta para que los diagramas UML, la arquitectura y los prototipos utilicen un mismo vocabulario.</w:t>
      </w:r>
    </w:p>
    <w:p>
      <w:pPr>
        <w:spacing w:before="80"/>
      </w:pPr>
      <w:r>
        <w:rPr>
          <w:b/>
          <w:color w:val="007A8B"/>
        </w:rPr>
        <w:t xml:space="preserve">Decisiones acordadas.  </w:t>
      </w:r>
      <w:r>
        <w:t>Saldo pendiente = deuda por consumo de una cuenta abierta, no saldo prepago. No se incorpora Super Admin. NotaVenta será entidad propia y distinta de Factura.</w:t>
      </w:r>
    </w:p>
    <w:p>
      <w:pPr>
        <w:pStyle w:val="Heading1"/>
      </w:pPr>
      <w:r>
        <w:t>2. Conceptos del dominio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ED8DD"/>
          <w:left w:val="single" w:sz="4" w:color="CED8DD"/>
          <w:bottom w:val="single" w:sz="4" w:color="CED8DD"/>
          <w:right w:val="single" w:sz="4" w:color="CED8DD"/>
          <w:insideH w:val="single" w:sz="4" w:color="CED8DD"/>
          <w:insideV w:val="single" w:sz="4" w:color="CED8DD"/>
        </w:tblBorders>
      </w:tblPr>
      <w:tblGrid>
        <w:gridCol w:w="4882"/>
        <w:gridCol w:w="4882"/>
      </w:tblGrid>
      <w:tr>
        <w:trPr>
          <w:cantSplit/>
        </w:trPr>
        <w:tc>
          <w:tcPr>
            <w:tcW w:type="dxa" w:w="4882"/>
            <w:shd w:fill="DBE9EE"/>
          </w:tcPr>
          <w:p>
            <w:r>
              <w:rPr>
                <w:b/>
                <w:color w:val="15415B"/>
                <w:sz w:val="18"/>
              </w:rPr>
              <w:t>Concepto</w:t>
            </w:r>
          </w:p>
        </w:tc>
        <w:tc>
          <w:tcPr>
            <w:tcW w:type="dxa" w:w="4882"/>
            <w:shd w:fill="DBE9EE"/>
          </w:tcPr>
          <w:p>
            <w:r>
              <w:rPr>
                <w:b/>
                <w:color w:val="15415B"/>
                <w:sz w:val="18"/>
              </w:rPr>
              <w:t>Definición para el proyecto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Mesa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Ubicación numerada donde se registran consumos del grupo; conserva historial de cuentas.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CuentaConsumo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Unidad de seguimiento de una estancia o consumo. Agrupa pedidos y pagos asociados a una mesa; puede asociarse a un cliente si hay datos disponibles.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Pedido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Solicitud registrada por personal autorizado, asociada a una cuenta abierta. Contiene productos y personalizaciones.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DetallePedido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Línea de un pedido con producto, cantidad, precio capturado y modificaciones como salsas.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Pago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Cobro realizado contra una cuenta, con monto, método, fecha y estado verificable.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Saldo pendiente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Importe que todavía falta cobrar por los consumos válidos de la cuenta.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NotaVenta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Documento operacional del sistema que resume los consumos y el cobro; mantiene un registro histórico independiente de la factura.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Factura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Documento de facturación cuyo contenido y emisión deben cumplir las reglas aplicables al negocio, diferenciadas del resumen operativo NotaVenta.</w:t>
            </w:r>
          </w:p>
        </w:tc>
      </w:tr>
    </w:tbl>
    <w:p/>
    <w:p>
      <w:pPr>
        <w:pStyle w:val="Heading1"/>
      </w:pPr>
      <w:r>
        <w:t>3. Reglas del negocio</w:t>
      </w:r>
    </w:p>
    <w:p>
      <w:pPr>
        <w:pStyle w:val="Heading2"/>
      </w:pPr>
      <w:r>
        <w:t>RN-01 — Identificación de cuenta</w:t>
      </w:r>
    </w:p>
    <w:p>
      <w:r>
        <w:t>Cada CuentaConsumo tendrá identificador único, mesa asociada, fecha de apertura y estado. Una mesa puede conservar varias cuentas históricas. Como regla de operación propuesta, solo una cuenta activa por mesa a la vez.</w:t>
      </w:r>
    </w:p>
    <w:p>
      <w:pPr>
        <w:pStyle w:val="Heading2"/>
      </w:pPr>
      <w:r>
        <w:t>RN-02 — Apertura y permisos</w:t>
      </w:r>
    </w:p>
    <w:p>
      <w:r>
        <w:t>Una cuenta se abre o consulta a través de personal autorizado (mesero o cajero según permisos). El cliente no necesita tener una cuenta de acceso para consumir; asociar un cliente identificado será opcional en este diseño.</w:t>
      </w:r>
    </w:p>
    <w:p>
      <w:pPr>
        <w:pStyle w:val="Heading2"/>
      </w:pPr>
      <w:r>
        <w:t>RN-03 — Acumulación de pedidos</w:t>
      </w:r>
    </w:p>
    <w:p>
      <w:r>
        <w:t>Una cuenta abierta puede agrupar varios pedidos, incluso creados en momentos distintos. Cada pedido conserva sus líneas, cantidades, precios aplicables y personalizaciones. Los pedidos de otras cuentas no deben mezclarse.</w:t>
      </w:r>
    </w:p>
    <w:p>
      <w:pPr>
        <w:pStyle w:val="Heading2"/>
      </w:pPr>
      <w:r>
        <w:t>RN-04 — Efecto de pedidos sobre consumo</w:t>
      </w:r>
    </w:p>
    <w:p>
      <w:r>
        <w:t>El importe de pedidos confirmados y vigentes incrementa el consumo total. Pedidos cancelados o anulados no deben seguir contabilizándose; toda modificación de importes debe evitar duplicados y registrar su justificación cuando sea relevante.</w:t>
      </w:r>
    </w:p>
    <w:p>
      <w:pPr>
        <w:pStyle w:val="Heading2"/>
      </w:pPr>
      <w:r>
        <w:t>RN-05 — Cálculo del total y saldo</w:t>
      </w:r>
    </w:p>
    <w:p>
      <w:r>
        <w:t>TotalConsumo = suma de importes de detalles de pedidos válidos, considerando descuentos/ajustes aprobados si existen. TotalPagado = suma de pagos confirmados y no revertidos. SaldoPendiente = TotalConsumo − TotalPagado. Para cerrar normalmente, el saldo pendiente deberá ser cero; no se modela un crédito a favor mediante prepagos.</w:t>
      </w:r>
    </w:p>
    <w:p>
      <w:pPr>
        <w:pStyle w:val="Heading2"/>
      </w:pPr>
      <w:r>
        <w:t>RN-06 — Registro de pagos</w:t>
      </w:r>
    </w:p>
    <w:p>
      <w:r>
        <w:t>Cada cobro debe quedar asociado a la CuentaConsumo y registrar monto, método, momento y resultado. Las transacciones rechazadas o pendientes de confirmación no se consideran pagadas. Los pagos en línea se dan por confirmados solo tras respuesta verificable del proveedor.</w:t>
      </w:r>
    </w:p>
    <w:p>
      <w:pPr>
        <w:pStyle w:val="Heading2"/>
      </w:pPr>
      <w:r>
        <w:t>RN-07 — Consulta de cuenta</w:t>
      </w:r>
    </w:p>
    <w:p>
      <w:r>
        <w:t>Mesero y cajero autorizados pueden consultar el detalle de pedidos, total de consumo, pagos reconocidos, saldo pendiente y estado. Mostrar los importes con formato monetario consistente.</w:t>
      </w:r>
    </w:p>
    <w:p>
      <w:pPr>
        <w:pStyle w:val="Heading2"/>
      </w:pPr>
      <w:r>
        <w:t>RN-08 — Cierre de cuenta</w:t>
      </w:r>
    </w:p>
    <w:p>
      <w:r>
        <w:t>El cierre normal requiere verificar que no existan importes por cobrar ni operaciones pendientes que alteren el total. Una cuenta cerrada no admite nuevos pedidos. Excepciones, anulaciones o reaperturas deberán quedar trazadas y requieren autorización definida.</w:t>
      </w:r>
    </w:p>
    <w:p>
      <w:pPr>
        <w:pStyle w:val="Heading2"/>
      </w:pPr>
      <w:r>
        <w:t>RN-09 — Generación de NotaVenta</w:t>
      </w:r>
    </w:p>
    <w:p>
      <w:r>
        <w:t>La NotaVenta se genera como documento del sistema relacionado con una cuenta al momento del cierre/cobro, con identificador, fecha, mesa, líneas de consumo, cantidades, precios, totales, pagos y resultado del cierre. Puede existir vista previa antes del cierre, claramente marcada como borrador.</w:t>
      </w:r>
    </w:p>
    <w:p>
      <w:pPr>
        <w:pStyle w:val="Heading2"/>
      </w:pPr>
      <w:r>
        <w:t>RN-10 — Histórico de nota de venta</w:t>
      </w:r>
    </w:p>
    <w:p>
      <w:r>
        <w:t>Al emitir la NotaVenta se conserva una copia histórica de descripciones, cantidades y precios. Modificaciones posteriores al catálogo no pueden alterar la nota ya emitida. Evitar duplicados cuando una solicitud de emisión se repita.</w:t>
      </w:r>
    </w:p>
    <w:p>
      <w:pPr>
        <w:pStyle w:val="Heading2"/>
      </w:pPr>
      <w:r>
        <w:t>RN-11 — Diferenciación NotaVenta / Factura</w:t>
      </w:r>
    </w:p>
    <w:p>
      <w:r>
        <w:t>NotaVenta y Factura son entidades distintas y no equivalentes por definición. NotaVenta cumple el papel de resumen operacional propuesto; Factura cubre la facturación requerida por el negocio conforme las reglas tributarias aplicables. El equipo debe definir su relación y emisión real antes de implementar.</w:t>
      </w:r>
    </w:p>
    <w:p>
      <w:pPr>
        <w:pStyle w:val="Heading2"/>
      </w:pPr>
      <w:r>
        <w:t>RN-12 — Inventario y trazabilidad</w:t>
      </w:r>
    </w:p>
    <w:p>
      <w:r>
        <w:t>Las operaciones de venta/pedidos deberán reflejarse en inventario según las reglas de receta y descuentos de stock del proyecto. Cambios de inventario, anulaciones y cobros relevantes conservarán trazabilidad. Se requiere acordar el instante preciso del descuento de stock.</w:t>
      </w:r>
    </w:p>
    <w:p>
      <w:pPr>
        <w:pStyle w:val="Heading2"/>
      </w:pPr>
      <w:r>
        <w:t>RN-13 — Seguridad de datos</w:t>
      </w:r>
    </w:p>
    <w:p>
      <w:r>
        <w:t>Solo usuarios y roles autorizados podrán registrar pedidos, aplicar pagos, generar documentos o anular operaciones. No se almacenan credenciales de tarjetas; los datos sensibles los administra la pasarela de pago externa.</w:t>
      </w:r>
    </w:p>
    <w:p>
      <w:pPr>
        <w:pStyle w:val="Heading1"/>
      </w:pPr>
      <w:r>
        <w:t>4. Ejemplo verificable de cálculo</w:t>
      </w:r>
    </w:p>
    <w:p>
      <w:r>
        <w:t>Caso ilustrativo de la Mesa 5 (valores en USD, sin descuentos ni impuestos adicionales):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ED8DD"/>
          <w:left w:val="single" w:sz="4" w:color="CED8DD"/>
          <w:bottom w:val="single" w:sz="4" w:color="CED8DD"/>
          <w:right w:val="single" w:sz="4" w:color="CED8DD"/>
          <w:insideH w:val="single" w:sz="4" w:color="CED8DD"/>
          <w:insideV w:val="single" w:sz="4" w:color="CED8DD"/>
        </w:tblBorders>
      </w:tblPr>
      <w:tblGrid>
        <w:gridCol w:w="3255"/>
        <w:gridCol w:w="3255"/>
        <w:gridCol w:w="3255"/>
      </w:tblGrid>
      <w:tr>
        <w:trPr>
          <w:cantSplit/>
        </w:trPr>
        <w:tc>
          <w:tcPr>
            <w:tcW w:type="dxa" w:w="3255"/>
            <w:shd w:fill="DBE9EE"/>
          </w:tcPr>
          <w:p>
            <w:r>
              <w:rPr>
                <w:b/>
                <w:color w:val="15415B"/>
                <w:sz w:val="18"/>
              </w:rPr>
              <w:t>Movimiento válido</w:t>
            </w:r>
          </w:p>
        </w:tc>
        <w:tc>
          <w:tcPr>
            <w:tcW w:type="dxa" w:w="3255"/>
            <w:shd w:fill="DBE9EE"/>
          </w:tcPr>
          <w:p>
            <w:r>
              <w:rPr>
                <w:b/>
                <w:color w:val="15415B"/>
                <w:sz w:val="18"/>
              </w:rPr>
              <w:t>Impacto</w:t>
            </w:r>
          </w:p>
        </w:tc>
        <w:tc>
          <w:tcPr>
            <w:tcW w:type="dxa" w:w="3255"/>
            <w:shd w:fill="DBE9EE"/>
          </w:tcPr>
          <w:p>
            <w:r>
              <w:rPr>
                <w:b/>
                <w:color w:val="15415B"/>
                <w:sz w:val="18"/>
              </w:rPr>
              <w:t>Saldo pendiente</w:t>
            </w:r>
          </w:p>
        </w:tc>
      </w:tr>
      <w:tr>
        <w:trPr>
          <w:cantSplit/>
        </w:trP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Pedido 1: hamburguesa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+ $8.00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$8.00</w:t>
            </w:r>
          </w:p>
        </w:tc>
      </w:tr>
      <w:tr>
        <w:trPr>
          <w:cantSplit/>
        </w:trPr>
        <w:tc>
          <w:tcPr>
            <w:tcW w:type="dxa" w:w="3255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Pedido 2: cóctel</w:t>
            </w:r>
          </w:p>
        </w:tc>
        <w:tc>
          <w:tcPr>
            <w:tcW w:type="dxa" w:w="3255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+ $6.00</w:t>
            </w:r>
          </w:p>
        </w:tc>
        <w:tc>
          <w:tcPr>
            <w:tcW w:type="dxa" w:w="3255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$14.00</w:t>
            </w:r>
          </w:p>
        </w:tc>
      </w:tr>
      <w:tr>
        <w:trPr>
          <w:cantSplit/>
        </w:trP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Pago confirmado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− $5.00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$9.00</w:t>
            </w:r>
          </w:p>
        </w:tc>
      </w:tr>
      <w:tr>
        <w:trPr>
          <w:cantSplit/>
        </w:trPr>
        <w:tc>
          <w:tcPr>
            <w:tcW w:type="dxa" w:w="3255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Pedido 3: nachos</w:t>
            </w:r>
          </w:p>
        </w:tc>
        <w:tc>
          <w:tcPr>
            <w:tcW w:type="dxa" w:w="3255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+ $4.00</w:t>
            </w:r>
          </w:p>
        </w:tc>
        <w:tc>
          <w:tcPr>
            <w:tcW w:type="dxa" w:w="3255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$13.00</w:t>
            </w:r>
          </w:p>
        </w:tc>
      </w:tr>
      <w:tr>
        <w:trPr>
          <w:cantSplit/>
        </w:trP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Pago final confirmado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− $13.00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$0.00</w:t>
            </w:r>
          </w:p>
        </w:tc>
      </w:tr>
    </w:tbl>
    <w:p/>
    <w:p>
      <w:r>
        <w:t>En este escenario la cuenta acumula tres pedidos y dos pagos. Una vez confirmado el saldo pendiente de $0.00, el sistema puede completar el cierre normal y registrar la NotaVenta. El ejemplo ilustra pagos parciales; su habilitación como funcionalidad definitiva debe acordarse expresamente.</w:t>
      </w:r>
    </w:p>
    <w:p>
      <w:pPr>
        <w:pStyle w:val="Heading1"/>
      </w:pPr>
      <w:r>
        <w:t>5. Modelo lógico mínimo y relaciones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ED8DD"/>
          <w:left w:val="single" w:sz="4" w:color="CED8DD"/>
          <w:bottom w:val="single" w:sz="4" w:color="CED8DD"/>
          <w:right w:val="single" w:sz="4" w:color="CED8DD"/>
          <w:insideH w:val="single" w:sz="4" w:color="CED8DD"/>
          <w:insideV w:val="single" w:sz="4" w:color="CED8DD"/>
        </w:tblBorders>
      </w:tblPr>
      <w:tblGrid>
        <w:gridCol w:w="4882"/>
        <w:gridCol w:w="4882"/>
      </w:tblGrid>
      <w:tr>
        <w:trPr>
          <w:cantSplit/>
        </w:trPr>
        <w:tc>
          <w:tcPr>
            <w:tcW w:type="dxa" w:w="4882"/>
            <w:shd w:fill="DBE9EE"/>
          </w:tcPr>
          <w:p>
            <w:r>
              <w:rPr>
                <w:b/>
                <w:color w:val="15415B"/>
                <w:sz w:val="18"/>
              </w:rPr>
              <w:t>Relación</w:t>
            </w:r>
          </w:p>
        </w:tc>
        <w:tc>
          <w:tcPr>
            <w:tcW w:type="dxa" w:w="4882"/>
            <w:shd w:fill="DBE9EE"/>
          </w:tcPr>
          <w:p>
            <w:r>
              <w:rPr>
                <w:b/>
                <w:color w:val="15415B"/>
                <w:sz w:val="18"/>
              </w:rPr>
              <w:t>Multiplicidad de diseño sugerida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Mesa → CuentaConsumo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Una mesa puede tener muchas cuentas a lo largo del tiempo; máximo una abierta por mesa (regla propuesta).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Cliente → CuentaConsumo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Un cliente identificado puede asociarse a varias cuentas; la asociación es opcional.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CuentaConsumo → Pedido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Una cuenta agrupa cero o varios pedidos; antes del cobro normalmente contendrá uno o más.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Pedido → DetallePedido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Un pedido confirmado contiene una o varias líneas.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CuentaConsumo → Pago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Una cuenta puede tener cero o varios pagos (si se permiten pagos parciales).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CuentaConsumo → NotaVenta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Una cuenta puede generar una NotaVenta definitiva; reimpresiones no generan nuevos documentos.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CuentaConsumo → Factura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La relación y emisión dependen de las reglas de facturación y podrán modelarse separadamente.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NotaVenta → DetalleNotaVenta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Una NotaVenta conserva una o varias líneas históricas de consumo.</w:t>
            </w:r>
          </w:p>
        </w:tc>
      </w:tr>
    </w:tbl>
    <w:p/>
    <w:p>
      <w:pPr>
        <w:pStyle w:val="Heading1"/>
      </w:pPr>
      <w:r>
        <w:t>6. Escenarios de aceptación para US-12 y US-13</w:t>
      </w:r>
    </w:p>
    <w:p>
      <w:pPr>
        <w:pStyle w:val="ListBullet"/>
      </w:pPr>
      <w:r>
        <w:t>US-12 / CA-01: Dada una mesa con cuenta abierta, cuando el mesero confirma un nuevo pedido, el pedido queda vinculado a esa cuenta y su importe se incorpora una sola vez al total.</w:t>
      </w:r>
    </w:p>
    <w:p>
      <w:pPr>
        <w:pStyle w:val="ListBullet"/>
      </w:pPr>
      <w:r>
        <w:t>US-12 / CA-02: Dada una cuenta con consumo y pagos confirmados, cuando el usuario consulta el saldo, se muestra la diferencia y el detalle que la justifica.</w:t>
      </w:r>
    </w:p>
    <w:p>
      <w:pPr>
        <w:pStyle w:val="ListBullet"/>
      </w:pPr>
      <w:r>
        <w:t>US-12 / CA-03: Dada una cuenta cerrada, cuando se intenta registrar otro pedido sobre ella, el sistema rechaza la operación o exige abrir una cuenta válida.</w:t>
      </w:r>
    </w:p>
    <w:p>
      <w:pPr>
        <w:pStyle w:val="ListBullet"/>
      </w:pPr>
      <w:r>
        <w:t>US-13 / CA-01: Al solicitar generar una NotaVenta al cierre, se incluyen identificador de cuenta/mesa, productos, cantidades, precios, total y referencia de pagos.</w:t>
      </w:r>
    </w:p>
    <w:p>
      <w:pPr>
        <w:pStyle w:val="ListBullet"/>
      </w:pPr>
      <w:r>
        <w:t>US-13 / CA-02: Si cambia posteriormente el precio del producto en el catálogo, el valor histórico de la NotaVenta emitida permanece inalterado.</w:t>
      </w:r>
    </w:p>
    <w:p>
      <w:pPr>
        <w:pStyle w:val="ListBullet"/>
      </w:pPr>
      <w:r>
        <w:t>US-13 / CA-03: Si una misma emisión se solicita dos veces, no deben crearse documentos definitivos duplicados.</w:t>
      </w:r>
    </w:p>
    <w:p>
      <w:pPr>
        <w:pStyle w:val="Heading1"/>
      </w:pPr>
      <w:r>
        <w:t>7. Puntos que requieren precisión antes de implementar</w:t>
      </w:r>
    </w:p>
    <w:p>
      <w:pPr>
        <w:pStyle w:val="ListBullet"/>
      </w:pPr>
      <w:r>
        <w:t>Confirmar si el bar admitirá pagos parciales, pagos mixtos o división de cuentas entre clientes; el modelo está preparado, pero su uso no se presupone.</w:t>
      </w:r>
    </w:p>
    <w:p>
      <w:pPr>
        <w:pStyle w:val="ListBullet"/>
      </w:pPr>
      <w:r>
        <w:t>Determinar el instante exacto en que se descuenta stock (confirmación de pedido, preparación o registro de venta) y cómo se revierte ante anulaciones.</w:t>
      </w:r>
    </w:p>
    <w:p>
      <w:pPr>
        <w:pStyle w:val="ListBullet"/>
      </w:pPr>
      <w:r>
        <w:t>Definir estados y autorización de anulaciones, ajustes, descuentos, devolución o reapertura de una cuenta.</w:t>
      </w:r>
    </w:p>
    <w:p>
      <w:pPr>
        <w:pStyle w:val="ListBullet"/>
      </w:pPr>
      <w:r>
        <w:t>Definir el contenido fiscal, numeración y tratamiento jurídico/tributario de una eventual nota de venta; no dar por hecho que el documento operacional propuesto sustituya una factura.</w:t>
      </w:r>
    </w:p>
    <w:p>
      <w:pPr>
        <w:pStyle w:val="ListBullet"/>
      </w:pPr>
      <w:r>
        <w:t>Confirmar el proveedor de pagos en línea, modalidades adicionales, reglas de notificación y el control de confirmación de transacciones.</w:t>
      </w:r>
    </w:p>
    <w:p>
      <w:pPr>
        <w:pStyle w:val="ListBullet"/>
      </w:pPr>
      <w:r>
        <w:t>Precisar impuestos, servicio, propinas y redondeos aplicables a los cálculos definitivos.</w:t>
      </w:r>
    </w:p>
    <w:p>
      <w:pPr>
        <w:spacing w:before="80"/>
      </w:pPr>
      <w:r>
        <w:rPr>
          <w:b/>
          <w:color w:val="007A8B"/>
        </w:rPr>
        <w:t xml:space="preserve">Criterio documental.  </w:t>
      </w:r>
      <w:r>
        <w:t>Los puntos anteriores son definiciones de implementación pendientes y no contradicen la decisión ya tomada de incluir cuentas abiertas, saldo por consumo y NotaVenta en el diseño del Sprint 2.</w:t>
      </w:r>
    </w:p>
    <w:p>
      <w:pPr>
        <w:pStyle w:val="Heading1"/>
      </w:pPr>
      <w:r>
        <w:t>8. Trazabilidad y uso en Sprint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ED8DD"/>
          <w:left w:val="single" w:sz="4" w:color="CED8DD"/>
          <w:bottom w:val="single" w:sz="4" w:color="CED8DD"/>
          <w:right w:val="single" w:sz="4" w:color="CED8DD"/>
          <w:insideH w:val="single" w:sz="4" w:color="CED8DD"/>
          <w:insideV w:val="single" w:sz="4" w:color="CED8DD"/>
        </w:tblBorders>
      </w:tblPr>
      <w:tblGrid>
        <w:gridCol w:w="4882"/>
        <w:gridCol w:w="4882"/>
      </w:tblGrid>
      <w:tr>
        <w:trPr>
          <w:cantSplit/>
        </w:trPr>
        <w:tc>
          <w:tcPr>
            <w:tcW w:type="dxa" w:w="4882"/>
            <w:shd w:fill="DBE9EE"/>
          </w:tcPr>
          <w:p>
            <w:r>
              <w:rPr>
                <w:b/>
                <w:color w:val="15415B"/>
                <w:sz w:val="18"/>
              </w:rPr>
              <w:t>Artefacto</w:t>
            </w:r>
          </w:p>
        </w:tc>
        <w:tc>
          <w:tcPr>
            <w:tcW w:type="dxa" w:w="4882"/>
            <w:shd w:fill="DBE9EE"/>
          </w:tcPr>
          <w:p>
            <w:r>
              <w:rPr>
                <w:b/>
                <w:color w:val="15415B"/>
                <w:sz w:val="18"/>
              </w:rPr>
              <w:t>Aplicación de estas reglas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US-03 / SCRUM-16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Registrar pedido asociado a mesa y cuenta.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US-06 / SCRUM-20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Cobrar, cerrar cuenta y gestionar factura.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US-12 / SCRUM-62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Abrir cuenta, acumular pedidos, consultar saldo pendiente.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US-13 / SCRUM-63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Generar NotaVenta del consumo.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T09 / SCRUM-69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Casos de uso: gestionar cuenta, consultar saldo, cobrar y generar nota.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T10 / SCRUM-74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Clases: CuentaConsumo, Pedido, Pago, NotaVenta y Factura.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T11 / SCRUM-80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Secuencias: pedido y nota; nuevo pedido y aumento del saldo.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T12 / SCRUM-86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Capas y responsabilidades del cálculo, validación y persistencia.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T13 / SCRUM-92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Pantallas: pedido, cuenta abierta, cobro y nota de venta.</w:t>
            </w:r>
          </w:p>
        </w:tc>
      </w:tr>
    </w:tbl>
    <w:p/>
    <w:p>
      <w:pPr>
        <w:spacing w:before="80"/>
      </w:pPr>
      <w:r>
        <w:rPr>
          <w:b/>
          <w:color w:val="007A8B"/>
        </w:rPr>
        <w:t xml:space="preserve">Fuentes base.  </w:t>
      </w:r>
      <w:r>
        <w:t>Informe de Levantamiento de Requisitos (especialmente apartados 4, 6, 8, 12 y 13); Práctica 02 — Diseño del Sistema y Arquitectura, págs. 2–4; acuerdos del equipo sobre US-12, US-13 y exclusiones.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123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9"/>
        <w:sz w:val="16"/>
      </w:rPr>
      <w:t xml:space="preserve">Sprint 2 · Diseño del sistema y arquitectura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26069"/>
        <w:sz w:val="16"/>
      </w:rPr>
      <w:t>EPN  /  DASI  /  SISTEMA DE GESTIÓN DE BAR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734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541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7A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"/>
      <w:contextualSpacing/>
    </w:pPr>
    <w:rPr>
      <w:rFonts w:asciiTheme="majorHAnsi" w:eastAsiaTheme="majorEastAsia" w:hAnsiTheme="majorHAnsi" w:cstheme="majorBidi" w:ascii="Aptos Display" w:hAnsi="Aptos Display"/>
      <w:b/>
      <w:color w:val="1541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