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Segoe UI" w:hAnsi="Segoe UI"/>
          <w:b/>
          <w:color w:val="1B365D"/>
          <w:sz w:val="40"/>
        </w:rPr>
        <w:t>[KN-345] CX_ERROR Log Analysis &amp; Root Cause Investigation</w:t>
      </w:r>
    </w:p>
    <w:p>
      <w:pPr>
        <w:spacing w:after="280"/>
      </w:pPr>
      <w:r>
        <w:rPr>
          <w:rFonts w:ascii="Segoe UI" w:hAnsi="Segoe UI"/>
          <w:i/>
          <w:color w:val="555555"/>
          <w:sz w:val="24"/>
        </w:rPr>
        <w:t>Systematic Analysis of High-Frequency Siebel Workflow Errors (Content Management, Bulk Emails &amp; Trading Status Validation)</w:t>
      </w:r>
    </w:p>
    <w:tbl>
      <w:tblPr>
        <w:tblW w:type="auto" w:w="0"/>
        <w:jc w:val="center"/>
        <w:tblLook w:firstColumn="1" w:firstRow="1" w:lastColumn="0" w:lastRow="0" w:noHBand="0" w:noVBand="1" w:val="04A0"/>
      </w:tblPr>
      <w:tblGrid>
        <w:gridCol w:w="2484"/>
        <w:gridCol w:w="2484"/>
        <w:gridCol w:w="2484"/>
        <w:gridCol w:w="2484"/>
      </w:tblGrid>
      <w:tr>
        <w:tc>
          <w:tcPr>
            <w:tcW w:type="dxa" w:w="2484"/>
            <w:shd w:fill="EBF0F5"/>
            <w:tcMar>
              <w:top w:w="80" w:type="dxa"/>
              <w:bottom w:w="80" w:type="dxa"/>
              <w:left w:w="100" w:type="dxa"/>
              <w:right w:w="100" w:type="dxa"/>
            </w:tcMar>
          </w:tcPr>
          <w:p>
            <w:pPr>
              <w:spacing w:after="0"/>
            </w:pPr>
            <w:r>
              <w:rPr>
                <w:rFonts w:ascii="Segoe UI" w:hAnsi="Segoe UI"/>
                <w:b/>
                <w:color w:val="1B365D"/>
                <w:sz w:val="19"/>
              </w:rPr>
              <w:t>Jira Ticket:</w:t>
            </w:r>
          </w:p>
        </w:tc>
        <w:tc>
          <w:tcPr>
            <w:tcW w:type="dxa" w:w="2484"/>
            <w:shd w:fill="F9FAFB"/>
            <w:tcMar>
              <w:top w:w="80" w:type="dxa"/>
              <w:bottom w:w="80" w:type="dxa"/>
              <w:left w:w="100" w:type="dxa"/>
              <w:right w:w="100" w:type="dxa"/>
            </w:tcMar>
          </w:tcPr>
          <w:p>
            <w:pPr>
              <w:spacing w:after="0"/>
            </w:pPr>
            <w:r>
              <w:rPr>
                <w:rFonts w:ascii="Segoe UI" w:hAnsi="Segoe UI"/>
                <w:color w:val="333333"/>
                <w:sz w:val="19"/>
              </w:rPr>
              <w:t>KN-345</w:t>
            </w:r>
          </w:p>
        </w:tc>
        <w:tc>
          <w:tcPr>
            <w:tcW w:type="dxa" w:w="2484"/>
            <w:shd w:fill="EBF0F5"/>
            <w:tcMar>
              <w:top w:w="80" w:type="dxa"/>
              <w:bottom w:w="80" w:type="dxa"/>
              <w:left w:w="100" w:type="dxa"/>
              <w:right w:w="100" w:type="dxa"/>
            </w:tcMar>
          </w:tcPr>
          <w:p>
            <w:pPr>
              <w:spacing w:after="0"/>
            </w:pPr>
            <w:r>
              <w:rPr>
                <w:rFonts w:ascii="Segoe UI" w:hAnsi="Segoe UI"/>
                <w:b/>
                <w:color w:val="1B365D"/>
                <w:sz w:val="19"/>
              </w:rPr>
              <w:t>Epic / Parent:</w:t>
            </w:r>
          </w:p>
        </w:tc>
        <w:tc>
          <w:tcPr>
            <w:tcW w:type="dxa" w:w="2484"/>
            <w:shd w:fill="F9FAFB"/>
            <w:tcMar>
              <w:top w:w="80" w:type="dxa"/>
              <w:bottom w:w="80" w:type="dxa"/>
              <w:left w:w="100" w:type="dxa"/>
              <w:right w:w="100" w:type="dxa"/>
            </w:tcMar>
          </w:tcPr>
          <w:p>
            <w:pPr>
              <w:spacing w:after="0"/>
            </w:pPr>
            <w:r>
              <w:rPr>
                <w:rFonts w:ascii="Segoe UI" w:hAnsi="Segoe UI"/>
                <w:color w:val="333333"/>
                <w:sz w:val="19"/>
              </w:rPr>
              <w:t>NS-737 (Kaizen NST)</w:t>
            </w:r>
          </w:p>
        </w:tc>
      </w:tr>
      <w:tr>
        <w:tc>
          <w:tcPr>
            <w:tcW w:type="dxa" w:w="2484"/>
            <w:shd w:fill="EBF0F5"/>
            <w:tcMar>
              <w:top w:w="80" w:type="dxa"/>
              <w:bottom w:w="80" w:type="dxa"/>
              <w:left w:w="100" w:type="dxa"/>
              <w:right w:w="100" w:type="dxa"/>
            </w:tcMar>
          </w:tcPr>
          <w:p>
            <w:pPr>
              <w:spacing w:after="0"/>
            </w:pPr>
            <w:r>
              <w:rPr>
                <w:rFonts w:ascii="Segoe UI" w:hAnsi="Segoe UI"/>
                <w:b/>
                <w:color w:val="1B365D"/>
                <w:sz w:val="19"/>
              </w:rPr>
              <w:t>Target Table:</w:t>
            </w:r>
          </w:p>
        </w:tc>
        <w:tc>
          <w:tcPr>
            <w:tcW w:type="dxa" w:w="2484"/>
            <w:shd w:fill="F9FAFB"/>
            <w:tcMar>
              <w:top w:w="80" w:type="dxa"/>
              <w:bottom w:w="80" w:type="dxa"/>
              <w:left w:w="100" w:type="dxa"/>
              <w:right w:w="100" w:type="dxa"/>
            </w:tcMar>
          </w:tcPr>
          <w:p>
            <w:pPr>
              <w:spacing w:after="0"/>
            </w:pPr>
            <w:r>
              <w:rPr>
                <w:rFonts w:ascii="Segoe UI" w:hAnsi="Segoe UI"/>
                <w:color w:val="333333"/>
                <w:sz w:val="19"/>
              </w:rPr>
              <w:t>SIEBEL.CX_ERROR / Splunk</w:t>
            </w:r>
          </w:p>
        </w:tc>
        <w:tc>
          <w:tcPr>
            <w:tcW w:type="dxa" w:w="2484"/>
            <w:shd w:fill="EBF0F5"/>
            <w:tcMar>
              <w:top w:w="80" w:type="dxa"/>
              <w:bottom w:w="80" w:type="dxa"/>
              <w:left w:w="100" w:type="dxa"/>
              <w:right w:w="100" w:type="dxa"/>
            </w:tcMar>
          </w:tcPr>
          <w:p>
            <w:pPr>
              <w:spacing w:after="0"/>
            </w:pPr>
            <w:r>
              <w:rPr>
                <w:rFonts w:ascii="Segoe UI" w:hAnsi="Segoe UI"/>
                <w:b/>
                <w:color w:val="1B365D"/>
                <w:sz w:val="19"/>
              </w:rPr>
              <w:t>Document Version:</w:t>
            </w:r>
          </w:p>
        </w:tc>
        <w:tc>
          <w:tcPr>
            <w:tcW w:type="dxa" w:w="2484"/>
            <w:shd w:fill="F9FAFB"/>
            <w:tcMar>
              <w:top w:w="80" w:type="dxa"/>
              <w:bottom w:w="80" w:type="dxa"/>
              <w:left w:w="100" w:type="dxa"/>
              <w:right w:w="100" w:type="dxa"/>
            </w:tcMar>
          </w:tcPr>
          <w:p>
            <w:pPr>
              <w:spacing w:after="0"/>
            </w:pPr>
            <w:r>
              <w:rPr>
                <w:rFonts w:ascii="Segoe UI" w:hAnsi="Segoe UI"/>
                <w:color w:val="333333"/>
                <w:sz w:val="19"/>
              </w:rPr>
              <w:t>v1.0 (Initial Technical Analysis)</w:t>
            </w:r>
          </w:p>
        </w:tc>
      </w:tr>
    </w:tbl>
    <w:p>
      <w:pPr>
        <w:spacing w:before="320" w:after="120"/>
        <w:pBdr>
          <w:bottom w:val="single" w:sz="8" w:space="4" w:color="1B365D"/>
        </w:pBdr>
      </w:pPr>
      <w:r>
        <w:rPr>
          <w:rFonts w:ascii="Segoe UI" w:hAnsi="Segoe UI"/>
          <w:b/>
          <w:color w:val="1B365D"/>
          <w:sz w:val="30"/>
        </w:rPr>
        <w:t>1. Overview &amp; Objective</w:t>
      </w:r>
    </w:p>
    <w:p>
      <w:pPr>
        <w:spacing w:after="120" w:line="276" w:lineRule="auto"/>
      </w:pPr>
      <w:r>
        <w:rPr>
          <w:rFonts w:ascii="Segoe UI" w:hAnsi="Segoe UI"/>
          <w:color w:val="333333"/>
          <w:sz w:val="20"/>
        </w:rPr>
        <w:t>As part of the Kaizen NST initiative (NS-737 / KN-345) to progressively reduce noise in the Siebel CX_ERROR log table and improve overall system reliability, this document provides a technical root-cause analysis of three high-frequency workflow errors recorded over the last 90 days. For each error pattern, the analysis evaluates why the error occurs so frequently, whether the logged exception is valid, and whether it stems from an internal Siebel defect or an external system issue.</w:t>
      </w:r>
    </w:p>
    <w:p>
      <w:pPr>
        <w:spacing w:before="320" w:after="120"/>
        <w:pBdr>
          <w:bottom w:val="single" w:sz="8" w:space="4" w:color="1B365D"/>
        </w:pBdr>
      </w:pPr>
      <w:r>
        <w:rPr>
          <w:rFonts w:ascii="Segoe UI" w:hAnsi="Segoe UI"/>
          <w:b/>
          <w:color w:val="1B365D"/>
          <w:sz w:val="30"/>
        </w:rPr>
        <w:t>2. Error #1: WP Content Management Web Service (207,182 Occurrences)</w:t>
      </w:r>
    </w:p>
    <w:p>
      <w:pPr>
        <w:spacing w:before="240" w:after="80"/>
      </w:pPr>
      <w:r>
        <w:rPr>
          <w:rFonts w:ascii="Segoe UI" w:hAnsi="Segoe UI"/>
          <w:b/>
          <w:color w:val="2B547E"/>
          <w:sz w:val="24"/>
        </w:rPr>
        <w:t>2.1. Error Signature &amp; Volume</w:t>
      </w:r>
    </w:p>
    <w:p>
      <w:pPr>
        <w:pStyle w:val="ListBullet"/>
        <w:spacing w:after="60" w:line="276" w:lineRule="auto"/>
      </w:pPr>
      <w:r>
        <w:rPr>
          <w:rFonts w:ascii="Segoe UI" w:hAnsi="Segoe UI"/>
          <w:b/>
          <w:color w:val="222222"/>
          <w:sz w:val="20"/>
        </w:rPr>
        <w:t xml:space="preserve">Error Count (90 Days): </w:t>
      </w:r>
      <w:r>
        <w:rPr>
          <w:rFonts w:ascii="Segoe UI" w:hAnsi="Segoe UI"/>
          <w:color w:val="333333"/>
          <w:sz w:val="20"/>
        </w:rPr>
        <w:t>207,182 occurrences in the last 90 days (spiked significantly starting August 2026).</w:t>
      </w:r>
    </w:p>
    <w:p>
      <w:pPr>
        <w:pStyle w:val="ListBullet"/>
        <w:spacing w:after="60" w:line="276" w:lineRule="auto"/>
      </w:pPr>
      <w:r>
        <w:rPr>
          <w:rFonts w:ascii="Segoe UI" w:hAnsi="Segoe UI"/>
          <w:b/>
          <w:color w:val="222222"/>
          <w:sz w:val="20"/>
        </w:rPr>
        <w:t xml:space="preserve">Workflow Name: </w:t>
      </w:r>
      <w:r>
        <w:rPr>
          <w:rFonts w:ascii="Segoe UI" w:hAnsi="Segoe UI"/>
          <w:color w:val="333333"/>
          <w:sz w:val="20"/>
        </w:rPr>
        <w:t>WP Content Management Web Service (logged in CX_ERROR under 'WP Content Management Web Service Error').</w:t>
      </w:r>
    </w:p>
    <w:p>
      <w:pPr>
        <w:pStyle w:val="ListBullet"/>
        <w:spacing w:after="60" w:line="276" w:lineRule="auto"/>
      </w:pPr>
      <w:r>
        <w:rPr>
          <w:rFonts w:ascii="Segoe UI" w:hAnsi="Segoe UI"/>
          <w:b/>
          <w:color w:val="222222"/>
          <w:sz w:val="20"/>
        </w:rPr>
        <w:t xml:space="preserve">Failing Step: </w:t>
      </w:r>
      <w:r>
        <w:rPr>
          <w:rFonts w:ascii="Segoe UI" w:hAnsi="Segoe UI"/>
          <w:color w:val="333333"/>
          <w:sz w:val="20"/>
        </w:rPr>
        <w:t>Call UpdateDocumentMetadata (invoking Outbound Web Service 'ContentManagement', method 'UpdateDocumentMetaData').</w:t>
      </w:r>
    </w:p>
    <w:tbl>
      <w:tblPr>
        <w:tblW w:type="auto" w:w="0"/>
        <w:jc w:val="center"/>
        <w:tblLook w:firstColumn="1" w:firstRow="1" w:lastColumn="0" w:lastRow="0" w:noHBand="0" w:noVBand="1" w:val="04A0"/>
      </w:tblPr>
      <w:tblGrid>
        <w:gridCol w:w="9936"/>
      </w:tblGrid>
      <w:tr>
        <w:tc>
          <w:tcPr>
            <w:tcW w:type="dxa" w:w="9936"/>
            <w:shd w:fill="F4F6F8"/>
            <w:tcMar>
              <w:top w:w="120" w:type="dxa"/>
              <w:bottom w:w="120" w:type="dxa"/>
              <w:left w:w="180" w:type="dxa"/>
              <w:right w:w="180" w:type="dxa"/>
            </w:tcMar>
            <w:tcBorders>
              <w:top w:val="single" w:sz="4" w:space="0" w:color="D0D7DE"/>
              <w:left w:val="single" w:sz="16" w:space="0" w:color="1B365D"/>
              <w:bottom w:val="single" w:sz="4" w:space="0" w:color="D0D7DE"/>
              <w:right w:val="single" w:sz="4" w:space="0" w:color="D0D7DE"/>
            </w:tcBorders>
          </w:tcPr>
          <w:p>
            <w:pPr>
              <w:spacing w:before="0" w:after="0" w:line="264" w:lineRule="auto"/>
            </w:pPr>
            <w:r>
              <w:rPr>
                <w:rFonts w:ascii="Consolas" w:hAnsi="Consolas"/>
                <w:color w:val="1F2328"/>
                <w:sz w:val="18"/>
              </w:rPr>
              <w:t>Workflow Error: Error invoking service 'ContentManagement', method 'UpdateDocumentMetaData' at step 'Call UpdateDocumentMetadata'.(SBL-BPR-00162)</w:t>
              <w:br/>
              <w:t>Operation 'UpdateDocumentMetaData' of Web Service 'http://www.worldpay.com/SchemasAndContracts/com/worldpay/contentmanagement/wsdl/1.0/ContentManagement.ContentManagement' at port 'ContentManagementSOAP' failed with the following explanation: "Invocation of com.worldpay.syscon.services.impl.ContentManagementServiceImpl failed with exception java.lang.Exception: Unable to pass stepUpdateDocumentMetadata after 3 attempts".(SBL-EAI-04308)</w:t>
            </w:r>
          </w:p>
        </w:tc>
      </w:tr>
    </w:tbl>
    <w:p>
      <w:pPr>
        <w:spacing w:after="80"/>
      </w:pPr>
    </w:p>
    <w:p>
      <w:pPr>
        <w:spacing w:before="240" w:after="80"/>
      </w:pPr>
      <w:r>
        <w:rPr>
          <w:rFonts w:ascii="Segoe UI" w:hAnsi="Segoe UI"/>
          <w:b/>
          <w:color w:val="2B547E"/>
          <w:sz w:val="24"/>
        </w:rPr>
        <w:t>2.2. End-to-End Workflow Analysis (WP Content Management Web Service)</w:t>
      </w:r>
    </w:p>
    <w:p>
      <w:pPr>
        <w:spacing w:after="120" w:line="276" w:lineRule="auto"/>
      </w:pPr>
      <w:r>
        <w:rPr>
          <w:rFonts w:ascii="Segoe UI" w:hAnsi="Segoe UI"/>
          <w:color w:val="333333"/>
          <w:sz w:val="20"/>
        </w:rPr>
        <w:t>Inspection of the workflow WP Content Management Web Service in Siebel Tools reveals the following execution path:</w:t>
      </w:r>
    </w:p>
    <w:p>
      <w:pPr>
        <w:pStyle w:val="ListBullet"/>
        <w:spacing w:after="60" w:line="276" w:lineRule="auto"/>
      </w:pPr>
      <w:r>
        <w:rPr>
          <w:rFonts w:ascii="Segoe UI" w:hAnsi="Segoe UI"/>
          <w:b/>
          <w:color w:val="222222"/>
          <w:sz w:val="20"/>
        </w:rPr>
        <w:t xml:space="preserve">1. Context Retrieval: </w:t>
      </w:r>
      <w:r>
        <w:rPr>
          <w:rFonts w:ascii="Segoe UI" w:hAnsi="Segoe UI"/>
          <w:color w:val="333333"/>
          <w:sz w:val="20"/>
        </w:rPr>
        <w:t>The workflow starts by executing Get Activity Details and Get Email Properties, followed by the decision point WS Operation Provided? (if 'No', it executes Get WS Operation Name).</w:t>
      </w:r>
    </w:p>
    <w:p>
      <w:pPr>
        <w:pStyle w:val="ListBullet"/>
        <w:spacing w:after="60" w:line="276" w:lineRule="auto"/>
      </w:pPr>
      <w:r>
        <w:rPr>
          <w:rFonts w:ascii="Segoe UI" w:hAnsi="Segoe UI"/>
          <w:b/>
          <w:color w:val="222222"/>
          <w:sz w:val="20"/>
        </w:rPr>
        <w:t xml:space="preserve">2. Operation Routing: </w:t>
      </w:r>
      <w:r>
        <w:rPr>
          <w:rFonts w:ascii="Segoe UI" w:hAnsi="Segoe UI"/>
          <w:color w:val="333333"/>
          <w:sz w:val="20"/>
        </w:rPr>
        <w:t>At the Operation Name decision point, execution branches into one of three paths: Update Document Data (top path), Get Document (middle path), or Put Document (bottom path).</w:t>
      </w:r>
    </w:p>
    <w:p>
      <w:pPr>
        <w:pStyle w:val="ListBullet"/>
        <w:spacing w:after="60" w:line="276" w:lineRule="auto"/>
      </w:pPr>
      <w:r>
        <w:rPr>
          <w:rFonts w:ascii="Segoe UI" w:hAnsi="Segoe UI"/>
          <w:b/>
          <w:color w:val="222222"/>
          <w:sz w:val="20"/>
        </w:rPr>
        <w:t xml:space="preserve">3. Update Document Data Path: </w:t>
      </w:r>
      <w:r>
        <w:rPr>
          <w:rFonts w:ascii="Segoe UI" w:hAnsi="Segoe UI"/>
          <w:color w:val="333333"/>
          <w:sz w:val="20"/>
        </w:rPr>
        <w:t>When routed to Update Document Data, the workflow executes Prepare Update Request -&gt; DataMap UpdateDocumentMetaData (which populates the UpdateDocumentMetaDataRequest process property) -&gt; Call UpdateDocumentMetadata.</w:t>
      </w:r>
    </w:p>
    <w:p>
      <w:pPr>
        <w:pStyle w:val="ListBullet"/>
        <w:spacing w:after="60" w:line="276" w:lineRule="auto"/>
      </w:pPr>
      <w:r>
        <w:rPr>
          <w:rFonts w:ascii="Segoe UI" w:hAnsi="Segoe UI"/>
          <w:b/>
          <w:color w:val="222222"/>
          <w:sz w:val="20"/>
        </w:rPr>
        <w:t xml:space="preserve">4. Direct Termination (No Status Flag Update): </w:t>
      </w:r>
      <w:r>
        <w:rPr>
          <w:rFonts w:ascii="Segoe UI" w:hAnsi="Segoe UI"/>
          <w:color w:val="333333"/>
          <w:sz w:val="20"/>
        </w:rPr>
        <w:t>Unlike the Put Document branch (which proceeds to Remove Attachments from Siebel? -&gt; Cleanup Siebel Attachments), the Update Document Data branch has NO post-processing database update step. On success, Call UpdateDocumentMetadata transitions directly to End 0.</w:t>
      </w:r>
    </w:p>
    <w:p>
      <w:pPr>
        <w:pStyle w:val="ListBullet"/>
        <w:spacing w:after="60" w:line="276" w:lineRule="auto"/>
      </w:pPr>
      <w:r>
        <w:rPr>
          <w:rFonts w:ascii="Segoe UI" w:hAnsi="Segoe UI"/>
          <w:b/>
          <w:color w:val="222222"/>
          <w:sz w:val="20"/>
        </w:rPr>
        <w:t xml:space="preserve">5. Exception Handling Path: </w:t>
      </w:r>
      <w:r>
        <w:rPr>
          <w:rFonts w:ascii="Segoe UI" w:hAnsi="Segoe UI"/>
          <w:color w:val="333333"/>
          <w:sz w:val="20"/>
        </w:rPr>
        <w:t>When the outbound SOAP call fails with SBL-EAI-04308, the red exception connector (Web Service Exception / Error 5) routes execution to Get Response Status -&gt; Log Error -&gt; and directly into End 0.</w:t>
      </w:r>
    </w:p>
    <w:p>
      <w:pPr>
        <w:spacing w:before="240" w:after="80"/>
      </w:pPr>
      <w:r>
        <w:rPr>
          <w:rFonts w:ascii="Segoe UI" w:hAnsi="Segoe UI"/>
          <w:b/>
          <w:color w:val="2B547E"/>
          <w:sz w:val="24"/>
        </w:rPr>
        <w:t>2.3. Root Cause, Validity &amp; Classification (Internal vs. External)</w:t>
      </w:r>
    </w:p>
    <w:p>
      <w:pPr>
        <w:pStyle w:val="ListBullet"/>
        <w:spacing w:after="60" w:line="276" w:lineRule="auto"/>
      </w:pPr>
      <w:r>
        <w:rPr>
          <w:rFonts w:ascii="Segoe UI" w:hAnsi="Segoe UI"/>
          <w:b/>
          <w:color w:val="222222"/>
          <w:sz w:val="20"/>
        </w:rPr>
        <w:t xml:space="preserve">Classification (Internal vs. External): </w:t>
      </w:r>
      <w:r>
        <w:rPr>
          <w:rFonts w:ascii="Segoe UI" w:hAnsi="Segoe UI"/>
          <w:color w:val="333333"/>
          <w:sz w:val="20"/>
        </w:rPr>
        <w:t>External Integration / Middleware Failure (triggered by CDS Go-Live).</w:t>
      </w:r>
    </w:p>
    <w:p>
      <w:pPr>
        <w:pStyle w:val="ListBullet"/>
        <w:spacing w:after="60" w:line="276" w:lineRule="auto"/>
      </w:pPr>
      <w:r>
        <w:rPr>
          <w:rFonts w:ascii="Segoe UI" w:hAnsi="Segoe UI"/>
          <w:b/>
          <w:color w:val="222222"/>
          <w:sz w:val="20"/>
        </w:rPr>
        <w:t xml:space="preserve">Technical Root Cause: </w:t>
      </w:r>
      <w:r>
        <w:rPr>
          <w:rFonts w:ascii="Segoe UI" w:hAnsi="Segoe UI"/>
          <w:color w:val="333333"/>
          <w:sz w:val="20"/>
        </w:rPr>
        <w:t>The error code SBL-EAI-04308 confirms that Siebel successfully establishes a connection and receives an explicit SOAP Fault from the external Java middleware layer (com.worldpay.syscon.services.impl.ContentManagementServiceImpl), which internally retries 3 times before failing at stepUpdateDocumentMetadata.</w:t>
      </w:r>
    </w:p>
    <w:p>
      <w:pPr>
        <w:pStyle w:val="ListBullet"/>
        <w:spacing w:after="60" w:line="276" w:lineRule="auto"/>
      </w:pPr>
      <w:r>
        <w:rPr>
          <w:rFonts w:ascii="Segoe UI" w:hAnsi="Segoe UI"/>
          <w:b/>
          <w:color w:val="222222"/>
          <w:sz w:val="20"/>
        </w:rPr>
        <w:t xml:space="preserve">Correlation with CDS Go-Live (August 2026): </w:t>
      </w:r>
      <w:r>
        <w:rPr>
          <w:rFonts w:ascii="Segoe UI" w:hAnsi="Segoe UI"/>
          <w:color w:val="333333"/>
          <w:sz w:val="20"/>
        </w:rPr>
        <w:t>While sporadic occurrences existed historically without breaking front-end functionality, the massive surge in error volume (reaching 207k+ in 90 days, ~3,000–6,000/day) coincided directly with the CDS Go-Live in August 2026. Activities/documents created or modified by CDS integration trigger the Siebel Update Document Data flow for records that either do not exist in the legacy Content Management repository or lack required metadata expected by ContentManagementServiceImpl.</w:t>
      </w:r>
    </w:p>
    <w:p>
      <w:pPr>
        <w:pStyle w:val="ListBullet"/>
        <w:spacing w:after="60" w:line="276" w:lineRule="auto"/>
      </w:pPr>
      <w:r>
        <w:rPr>
          <w:rFonts w:ascii="Segoe UI" w:hAnsi="Segoe UI"/>
          <w:b/>
          <w:color w:val="222222"/>
          <w:sz w:val="20"/>
        </w:rPr>
        <w:t xml:space="preserve">Validity Assessment: </w:t>
      </w:r>
      <w:r>
        <w:rPr>
          <w:rFonts w:ascii="Segoe UI" w:hAnsi="Segoe UI"/>
          <w:color w:val="333333"/>
          <w:sz w:val="20"/>
        </w:rPr>
        <w:t>Valid technical integration exception, but operationally acting as log noise (no production incidents or user-facing breakages reported; identified via proactive Splunk dashboard monitoring).</w:t>
      </w:r>
    </w:p>
    <w:p>
      <w:pPr>
        <w:spacing w:before="320" w:after="120"/>
        <w:pBdr>
          <w:bottom w:val="single" w:sz="8" w:space="4" w:color="1B365D"/>
        </w:pBdr>
      </w:pPr>
      <w:r>
        <w:rPr>
          <w:rFonts w:ascii="Segoe UI" w:hAnsi="Segoe UI"/>
          <w:b/>
          <w:color w:val="1B365D"/>
          <w:sz w:val="30"/>
        </w:rPr>
        <w:t>3. Error #2: WP Send Bulk Emails Sub Process (55,896 Occurrences)</w:t>
      </w:r>
    </w:p>
    <w:p>
      <w:pPr>
        <w:spacing w:before="240" w:after="80"/>
      </w:pPr>
      <w:r>
        <w:rPr>
          <w:rFonts w:ascii="Segoe UI" w:hAnsi="Segoe UI"/>
          <w:b/>
          <w:color w:val="2B547E"/>
          <w:sz w:val="24"/>
        </w:rPr>
        <w:t>3.1. Error Signature &amp; Volume</w:t>
      </w:r>
    </w:p>
    <w:p>
      <w:pPr>
        <w:pStyle w:val="ListBullet"/>
        <w:spacing w:after="60" w:line="276" w:lineRule="auto"/>
      </w:pPr>
      <w:r>
        <w:rPr>
          <w:rFonts w:ascii="Segoe UI" w:hAnsi="Segoe UI"/>
          <w:b/>
          <w:color w:val="222222"/>
          <w:sz w:val="20"/>
        </w:rPr>
        <w:t xml:space="preserve">Error Count (90 Days): </w:t>
      </w:r>
      <w:r>
        <w:rPr>
          <w:rFonts w:ascii="Segoe UI" w:hAnsi="Segoe UI"/>
          <w:color w:val="333333"/>
          <w:sz w:val="20"/>
        </w:rPr>
        <w:t>55,896 occurrences in the last 90 days.</w:t>
      </w:r>
    </w:p>
    <w:p>
      <w:pPr>
        <w:pStyle w:val="ListBullet"/>
        <w:spacing w:after="60" w:line="276" w:lineRule="auto"/>
      </w:pPr>
      <w:r>
        <w:rPr>
          <w:rFonts w:ascii="Segoe UI" w:hAnsi="Segoe UI"/>
          <w:b/>
          <w:color w:val="222222"/>
          <w:sz w:val="20"/>
        </w:rPr>
        <w:t xml:space="preserve">Workflow Name: </w:t>
      </w:r>
      <w:r>
        <w:rPr>
          <w:rFonts w:ascii="Segoe UI" w:hAnsi="Segoe UI"/>
          <w:color w:val="333333"/>
          <w:sz w:val="20"/>
        </w:rPr>
        <w:t>WP Send Bulk Emails Sub Process.</w:t>
      </w:r>
    </w:p>
    <w:p>
      <w:pPr>
        <w:pStyle w:val="ListBullet"/>
        <w:spacing w:after="60" w:line="276" w:lineRule="auto"/>
      </w:pPr>
      <w:r>
        <w:rPr>
          <w:rFonts w:ascii="Segoe UI" w:hAnsi="Segoe UI"/>
          <w:b/>
          <w:color w:val="222222"/>
          <w:sz w:val="20"/>
        </w:rPr>
        <w:t xml:space="preserve">Failing Step: </w:t>
      </w:r>
      <w:r>
        <w:rPr>
          <w:rFonts w:ascii="Segoe UI" w:hAnsi="Segoe UI"/>
          <w:color w:val="333333"/>
          <w:sz w:val="20"/>
        </w:rPr>
        <w:t>Data Transformation (invoking service 'EAI Data Transformation Engine', method 'Execute').</w:t>
      </w:r>
    </w:p>
    <w:tbl>
      <w:tblPr>
        <w:tblW w:type="auto" w:w="0"/>
        <w:jc w:val="center"/>
        <w:tblLook w:firstColumn="1" w:firstRow="1" w:lastColumn="0" w:lastRow="0" w:noHBand="0" w:noVBand="1" w:val="04A0"/>
      </w:tblPr>
      <w:tblGrid>
        <w:gridCol w:w="9936"/>
      </w:tblGrid>
      <w:tr>
        <w:tc>
          <w:tcPr>
            <w:tcW w:type="dxa" w:w="9936"/>
            <w:shd w:fill="F4F6F8"/>
            <w:tcMar>
              <w:top w:w="120" w:type="dxa"/>
              <w:bottom w:w="120" w:type="dxa"/>
              <w:left w:w="180" w:type="dxa"/>
              <w:right w:w="180" w:type="dxa"/>
            </w:tcMar>
            <w:tcBorders>
              <w:top w:val="single" w:sz="4" w:space="0" w:color="D0D7DE"/>
              <w:left w:val="single" w:sz="16" w:space="0" w:color="1B365D"/>
              <w:bottom w:val="single" w:sz="4" w:space="0" w:color="D0D7DE"/>
              <w:right w:val="single" w:sz="4" w:space="0" w:color="D0D7DE"/>
            </w:tcBorders>
          </w:tcPr>
          <w:p>
            <w:pPr>
              <w:spacing w:before="0" w:after="0" w:line="264" w:lineRule="auto"/>
            </w:pPr>
            <w:r>
              <w:rPr>
                <w:rFonts w:ascii="Consolas" w:hAnsi="Consolas"/>
                <w:color w:val="1F2328"/>
                <w:sz w:val="18"/>
              </w:rPr>
              <w:t>Error invoking service 'EAI Data Transformation Engine', method 'Execute' at step 'Data Transformation'.(SBL-BPR-00162)</w:t>
              <w:br/>
              <w:t>Input message is missing header properties.(SBL-EAI-04024)</w:t>
            </w:r>
          </w:p>
        </w:tc>
      </w:tr>
    </w:tbl>
    <w:p>
      <w:pPr>
        <w:spacing w:after="80"/>
      </w:pPr>
    </w:p>
    <w:p>
      <w:pPr>
        <w:spacing w:before="240" w:after="80"/>
      </w:pPr>
      <w:r>
        <w:rPr>
          <w:rFonts w:ascii="Segoe UI" w:hAnsi="Segoe UI"/>
          <w:b/>
          <w:color w:val="2B547E"/>
          <w:sz w:val="24"/>
        </w:rPr>
        <w:t>3.2. End-to-End Workflow &amp; Subprocess Interaction Analysis</w:t>
      </w:r>
    </w:p>
    <w:p>
      <w:pPr>
        <w:spacing w:after="120" w:line="276" w:lineRule="auto"/>
      </w:pPr>
      <w:r>
        <w:rPr>
          <w:rFonts w:ascii="Segoe UI" w:hAnsi="Segoe UI"/>
          <w:color w:val="333333"/>
          <w:sz w:val="20"/>
        </w:rPr>
        <w:t>Analysis of WP Send Bulk Emails Sub Process alongside its child workflow WP Content Management Web Service uncovered a critical design flaw in error propagation between the two processes:</w:t>
      </w:r>
    </w:p>
    <w:p>
      <w:pPr>
        <w:pStyle w:val="ListBullet"/>
        <w:spacing w:after="60" w:line="276" w:lineRule="auto"/>
      </w:pPr>
      <w:r>
        <w:rPr>
          <w:rFonts w:ascii="Segoe UI" w:hAnsi="Segoe UI"/>
          <w:b/>
          <w:color w:val="222222"/>
          <w:sz w:val="20"/>
        </w:rPr>
        <w:t xml:space="preserve">1. Parent Workflow Sequence: </w:t>
      </w:r>
      <w:r>
        <w:rPr>
          <w:rFonts w:ascii="Segoe UI" w:hAnsi="Segoe UI"/>
          <w:color w:val="333333"/>
          <w:sz w:val="20"/>
        </w:rPr>
        <w:t>WP Send Bulk Emails Sub Process executes: Start -&gt; Get Email Details -&gt; Required details exist? -&gt; Get Comm Profile -&gt; Get Email Body &amp; Subject -&gt; Get files from WCC.</w:t>
      </w:r>
    </w:p>
    <w:p>
      <w:pPr>
        <w:pStyle w:val="ListBullet"/>
        <w:spacing w:after="60" w:line="276" w:lineRule="auto"/>
      </w:pPr>
      <w:r>
        <w:rPr>
          <w:rFonts w:ascii="Segoe UI" w:hAnsi="Segoe UI"/>
          <w:b/>
          <w:color w:val="222222"/>
          <w:sz w:val="20"/>
        </w:rPr>
        <w:t xml:space="preserve">2. Subprocess Invocation (Get files from WCC): </w:t>
      </w:r>
      <w:r>
        <w:rPr>
          <w:rFonts w:ascii="Segoe UI" w:hAnsi="Segoe UI"/>
          <w:color w:val="333333"/>
          <w:sz w:val="20"/>
        </w:rPr>
        <w:t>The step Get files from WCC is a Subprocess step that invokes the exact same workflow analyzed in Error #1: WP Content Management Web Service (specifically following the middle 'Get Document' branch: Prepare Get Request -&gt; DataMap GetDocument -&gt; Call GetDocument). It expects the output argument GetDocumentResponse.</w:t>
      </w:r>
    </w:p>
    <w:p>
      <w:pPr>
        <w:pStyle w:val="ListBullet"/>
        <w:spacing w:after="60" w:line="276" w:lineRule="auto"/>
      </w:pPr>
      <w:r>
        <w:rPr>
          <w:rFonts w:ascii="Segoe UI" w:hAnsi="Segoe UI"/>
          <w:b/>
          <w:color w:val="222222"/>
          <w:sz w:val="20"/>
        </w:rPr>
        <w:t xml:space="preserve">3. Swallowed Exception in Child Workflow (Root Cause of Empty Input): </w:t>
      </w:r>
      <w:r>
        <w:rPr>
          <w:rFonts w:ascii="Segoe UI" w:hAnsi="Segoe UI"/>
          <w:color w:val="333333"/>
          <w:sz w:val="20"/>
        </w:rPr>
        <w:t>When Call GetDocument fails inside the child workflow WP Content Management Web Service (or when Operation Name routes to 'None'), the exception is caught by the red connector, logged via Get Response Status -&gt; Log Error, and routed to the normal End 0 step. Because the child workflow terminates gracefully at End 0 instead of raising an error or returning a failure flag, the parent workflow assumes Get files from WCC succeeded, even though GetDocumentResponse is completely empty.</w:t>
      </w:r>
    </w:p>
    <w:p>
      <w:pPr>
        <w:pStyle w:val="ListBullet"/>
        <w:spacing w:after="60" w:line="276" w:lineRule="auto"/>
      </w:pPr>
      <w:r>
        <w:rPr>
          <w:rFonts w:ascii="Segoe UI" w:hAnsi="Segoe UI"/>
          <w:b/>
          <w:color w:val="222222"/>
          <w:sz w:val="20"/>
        </w:rPr>
        <w:t xml:space="preserve">4. Failure at Data Transformation (SBL-EAI-04024): </w:t>
      </w:r>
      <w:r>
        <w:rPr>
          <w:rFonts w:ascii="Segoe UI" w:hAnsi="Segoe UI"/>
          <w:color w:val="333333"/>
          <w:sz w:val="20"/>
        </w:rPr>
        <w:t>The parent workflow immediately passes the empty GetDocumentResponse property set into the Data Transformation step (map: 'WP Content Management In - G...'). Because the input property set is empty and lacks an Integration Object header, EAI Data Transformation Engine throws SBL-EAI-04024: Input message is missing header properties.</w:t>
      </w:r>
    </w:p>
    <w:p>
      <w:pPr>
        <w:pStyle w:val="ListBullet"/>
        <w:spacing w:after="60" w:line="276" w:lineRule="auto"/>
      </w:pPr>
      <w:r>
        <w:rPr>
          <w:rFonts w:ascii="Segoe UI" w:hAnsi="Segoe UI"/>
          <w:b/>
          <w:color w:val="222222"/>
          <w:sz w:val="20"/>
        </w:rPr>
        <w:t xml:space="preserve">5. Built-In Retry Loop Multiplier: </w:t>
      </w:r>
      <w:r>
        <w:rPr>
          <w:rFonts w:ascii="Segoe UI" w:hAnsi="Segoe UI"/>
          <w:color w:val="333333"/>
          <w:sz w:val="20"/>
        </w:rPr>
        <w:t>When Data Transformation fails, its red exception connector routes to Get Error Text 2 -&gt; Process Error -&gt; Retried? (Decision Point). If not yet retried, it passes through a Wait step and loops back to Get Email Body &amp; Subject -&gt; Get files from WCC, doubling the error count for every failed record.</w:t>
      </w:r>
    </w:p>
    <w:p>
      <w:pPr>
        <w:spacing w:before="240" w:after="80"/>
      </w:pPr>
      <w:r>
        <w:rPr>
          <w:rFonts w:ascii="Segoe UI" w:hAnsi="Segoe UI"/>
          <w:b/>
          <w:color w:val="2B547E"/>
          <w:sz w:val="24"/>
        </w:rPr>
        <w:t>3.3. Root Cause, Validity &amp; Classification (Internal vs. External)</w:t>
      </w:r>
    </w:p>
    <w:p>
      <w:pPr>
        <w:pStyle w:val="ListBullet"/>
        <w:spacing w:after="60" w:line="276" w:lineRule="auto"/>
      </w:pPr>
      <w:r>
        <w:rPr>
          <w:rFonts w:ascii="Segoe UI" w:hAnsi="Segoe UI"/>
          <w:b/>
          <w:color w:val="222222"/>
          <w:sz w:val="20"/>
        </w:rPr>
        <w:t xml:space="preserve">Classification (Internal vs. External): </w:t>
      </w:r>
      <w:r>
        <w:rPr>
          <w:rFonts w:ascii="Segoe UI" w:hAnsi="Segoe UI"/>
          <w:color w:val="333333"/>
          <w:sz w:val="20"/>
        </w:rPr>
        <w:t>Hybrid — External Root Trigger (failed document retrieval in Call GetDocument) compounded by an Internal Siebel Workflow Design Defect (swallowed exception &amp; missing null/empty check before Data Transformation).</w:t>
      </w:r>
    </w:p>
    <w:p>
      <w:pPr>
        <w:pStyle w:val="ListBullet"/>
        <w:spacing w:after="60" w:line="276" w:lineRule="auto"/>
      </w:pPr>
      <w:r>
        <w:rPr>
          <w:rFonts w:ascii="Segoe UI" w:hAnsi="Segoe UI"/>
          <w:b/>
          <w:color w:val="222222"/>
          <w:sz w:val="20"/>
        </w:rPr>
        <w:t xml:space="preserve">Validity Assessment: </w:t>
      </w:r>
      <w:r>
        <w:rPr>
          <w:rFonts w:ascii="Segoe UI" w:hAnsi="Segoe UI"/>
          <w:color w:val="333333"/>
          <w:sz w:val="20"/>
        </w:rPr>
        <w:t>The Integration Object definition itself is NOT missing header properties. Instead, SBL-EAI-04024 is a secondary/cascading error caused by passing an empty GetDocumentResponse property set to EAI Data Transformation Engine after WP Content Management Web Service silently catches a GetDocument failure and exits via End 0.</w:t>
      </w:r>
    </w:p>
    <w:p>
      <w:pPr>
        <w:pStyle w:val="ListBullet"/>
        <w:spacing w:after="60" w:line="276" w:lineRule="auto"/>
      </w:pPr>
      <w:r>
        <w:rPr>
          <w:rFonts w:ascii="Segoe UI" w:hAnsi="Segoe UI"/>
          <w:b/>
          <w:color w:val="222222"/>
          <w:sz w:val="20"/>
        </w:rPr>
        <w:t xml:space="preserve">Recommended Remediation: </w:t>
      </w:r>
      <w:r>
        <w:rPr>
          <w:rFonts w:ascii="Segoe UI" w:hAnsi="Segoe UI"/>
          <w:color w:val="333333"/>
          <w:sz w:val="20"/>
        </w:rPr>
        <w:t>Add a Decision Point in WP Send Bulk Emails Sub Process between 'Get files from WCC' and 'Data Transformation' (or pass an explicit Error/Status flag from the child workflow) to verify that GetDocumentResponse is non-empty before invoking EAI Data Transformation Engine.</w:t>
      </w:r>
    </w:p>
    <w:p>
      <w:pPr>
        <w:spacing w:before="320" w:after="120"/>
        <w:pBdr>
          <w:bottom w:val="single" w:sz="8" w:space="4" w:color="1B365D"/>
        </w:pBdr>
      </w:pPr>
      <w:r>
        <w:rPr>
          <w:rFonts w:ascii="Segoe UI" w:hAnsi="Segoe UI"/>
          <w:b/>
          <w:color w:val="1B365D"/>
          <w:sz w:val="30"/>
        </w:rPr>
        <w:t>4. Error #3: WP Validate Merchant Trading Status Live (6,388 Occurrences) — [Pending Review]</w:t>
      </w:r>
    </w:p>
    <w:p>
      <w:pPr>
        <w:spacing w:after="120" w:line="276" w:lineRule="auto"/>
      </w:pPr>
      <w:r>
        <w:rPr>
          <w:rFonts w:ascii="Segoe UI" w:hAnsi="Segoe UI"/>
          <w:color w:val="333333"/>
          <w:sz w:val="20"/>
        </w:rPr>
        <w:t>Workflow 'WP Validate Merchant Trading Status Live' logged 6,388 occurrences of error SDM-A10003 over the last 90 days: "Cannot set the customer to Live/Suspended as there is one or more error validation log entries for the customer setup. Please check Validation Log for details. (SDM-A10003)". Initial assessment indicates that this is a custom functional/business validation rule intentionally blocking status transitions when mandatory merchant setup criteria are incomplete (with details recorded in the Validation Log), rather than a technical system failure. Further analysis is currently in progress to determine the exact triggering paths and decide whether functional validation stops should be excluded from technical CX_ERROR logging.</w:t>
      </w:r>
    </w:p>
    <w:p>
      <w:pPr>
        <w:spacing w:before="320" w:after="120"/>
        <w:pBdr>
          <w:bottom w:val="single" w:sz="8" w:space="4" w:color="1B365D"/>
        </w:pBdr>
      </w:pPr>
      <w:r>
        <w:rPr>
          <w:rFonts w:ascii="Segoe UI" w:hAnsi="Segoe UI"/>
          <w:b/>
          <w:color w:val="1B365D"/>
          <w:sz w:val="30"/>
        </w:rPr>
        <w:t>5. Summary Matrix of Analyzed Errors</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1B365D"/>
            <w:tcMar>
              <w:top w:w="100" w:type="dxa"/>
              <w:bottom w:w="100" w:type="dxa"/>
              <w:left w:w="100" w:type="dxa"/>
              <w:right w:w="100" w:type="dxa"/>
            </w:tcMar>
          </w:tcPr>
          <w:p>
            <w:pPr>
              <w:spacing w:after="0"/>
            </w:pPr>
            <w:r>
              <w:rPr>
                <w:rFonts w:ascii="Segoe UI" w:hAnsi="Segoe UI"/>
                <w:b/>
                <w:color w:val="FFFFFF"/>
                <w:sz w:val="19"/>
              </w:rPr>
              <w:t>#</w:t>
            </w:r>
          </w:p>
        </w:tc>
        <w:tc>
          <w:tcPr>
            <w:tcW w:type="dxa" w:w="1656"/>
            <w:shd w:fill="1B365D"/>
            <w:tcMar>
              <w:top w:w="100" w:type="dxa"/>
              <w:bottom w:w="100" w:type="dxa"/>
              <w:left w:w="100" w:type="dxa"/>
              <w:right w:w="100" w:type="dxa"/>
            </w:tcMar>
          </w:tcPr>
          <w:p>
            <w:pPr>
              <w:spacing w:after="0"/>
            </w:pPr>
            <w:r>
              <w:rPr>
                <w:rFonts w:ascii="Segoe UI" w:hAnsi="Segoe UI"/>
                <w:b/>
                <w:color w:val="FFFFFF"/>
                <w:sz w:val="19"/>
              </w:rPr>
              <w:t>Workflow Name</w:t>
            </w:r>
          </w:p>
        </w:tc>
        <w:tc>
          <w:tcPr>
            <w:tcW w:type="dxa" w:w="1656"/>
            <w:shd w:fill="1B365D"/>
            <w:tcMar>
              <w:top w:w="100" w:type="dxa"/>
              <w:bottom w:w="100" w:type="dxa"/>
              <w:left w:w="100" w:type="dxa"/>
              <w:right w:w="100" w:type="dxa"/>
            </w:tcMar>
          </w:tcPr>
          <w:p>
            <w:pPr>
              <w:spacing w:after="0"/>
            </w:pPr>
            <w:r>
              <w:rPr>
                <w:rFonts w:ascii="Segoe UI" w:hAnsi="Segoe UI"/>
                <w:b/>
                <w:color w:val="FFFFFF"/>
                <w:sz w:val="19"/>
              </w:rPr>
              <w:t>90-Day Count</w:t>
            </w:r>
          </w:p>
        </w:tc>
        <w:tc>
          <w:tcPr>
            <w:tcW w:type="dxa" w:w="1656"/>
            <w:shd w:fill="1B365D"/>
            <w:tcMar>
              <w:top w:w="100" w:type="dxa"/>
              <w:bottom w:w="100" w:type="dxa"/>
              <w:left w:w="100" w:type="dxa"/>
              <w:right w:w="100" w:type="dxa"/>
            </w:tcMar>
          </w:tcPr>
          <w:p>
            <w:pPr>
              <w:spacing w:after="0"/>
            </w:pPr>
            <w:r>
              <w:rPr>
                <w:rFonts w:ascii="Segoe UI" w:hAnsi="Segoe UI"/>
                <w:b/>
                <w:color w:val="FFFFFF"/>
                <w:sz w:val="19"/>
              </w:rPr>
              <w:t>Error Code</w:t>
            </w:r>
          </w:p>
        </w:tc>
        <w:tc>
          <w:tcPr>
            <w:tcW w:type="dxa" w:w="1656"/>
            <w:shd w:fill="1B365D"/>
            <w:tcMar>
              <w:top w:w="100" w:type="dxa"/>
              <w:bottom w:w="100" w:type="dxa"/>
              <w:left w:w="100" w:type="dxa"/>
              <w:right w:w="100" w:type="dxa"/>
            </w:tcMar>
          </w:tcPr>
          <w:p>
            <w:pPr>
              <w:spacing w:after="0"/>
            </w:pPr>
            <w:r>
              <w:rPr>
                <w:rFonts w:ascii="Segoe UI" w:hAnsi="Segoe UI"/>
                <w:b/>
                <w:color w:val="FFFFFF"/>
                <w:sz w:val="19"/>
              </w:rPr>
              <w:t>Classification</w:t>
            </w:r>
          </w:p>
        </w:tc>
        <w:tc>
          <w:tcPr>
            <w:tcW w:type="dxa" w:w="1656"/>
            <w:shd w:fill="1B365D"/>
            <w:tcMar>
              <w:top w:w="100" w:type="dxa"/>
              <w:bottom w:w="100" w:type="dxa"/>
              <w:left w:w="100" w:type="dxa"/>
              <w:right w:w="100" w:type="dxa"/>
            </w:tcMar>
          </w:tcPr>
          <w:p>
            <w:pPr>
              <w:spacing w:after="0"/>
            </w:pPr>
            <w:r>
              <w:rPr>
                <w:rFonts w:ascii="Segoe UI" w:hAnsi="Segoe UI"/>
                <w:b/>
                <w:color w:val="FFFFFF"/>
                <w:sz w:val="19"/>
              </w:rPr>
              <w:t>Key Finding / Root Cause</w:t>
            </w:r>
          </w:p>
        </w:tc>
      </w:tr>
      <w:tr>
        <w:tc>
          <w:tcPr>
            <w:tcW w:type="dxa" w:w="504"/>
            <w:shd w:fill="FFFFFF"/>
            <w:tcMar>
              <w:top w:w="80" w:type="dxa"/>
              <w:bottom w:w="80" w:type="dxa"/>
              <w:left w:w="100" w:type="dxa"/>
              <w:right w:w="100" w:type="dxa"/>
            </w:tcMar>
          </w:tcPr>
          <w:p>
            <w:pPr>
              <w:spacing w:after="0" w:line="264" w:lineRule="auto"/>
            </w:pPr>
            <w:r>
              <w:rPr>
                <w:rFonts w:ascii="Segoe UI" w:hAnsi="Segoe UI"/>
                <w:b/>
                <w:color w:val="1B365D"/>
                <w:sz w:val="18"/>
              </w:rPr>
              <w:t>1</w:t>
            </w:r>
          </w:p>
        </w:tc>
        <w:tc>
          <w:tcPr>
            <w:tcW w:type="dxa" w:w="2160"/>
            <w:shd w:fill="FFFFFF"/>
            <w:tcMar>
              <w:top w:w="80" w:type="dxa"/>
              <w:bottom w:w="80" w:type="dxa"/>
              <w:left w:w="100" w:type="dxa"/>
              <w:right w:w="100" w:type="dxa"/>
            </w:tcMar>
          </w:tcPr>
          <w:p>
            <w:pPr>
              <w:spacing w:after="0" w:line="264" w:lineRule="auto"/>
            </w:pPr>
            <w:r>
              <w:rPr>
                <w:rFonts w:ascii="Segoe UI" w:hAnsi="Segoe UI"/>
                <w:b/>
                <w:color w:val="1B365D"/>
                <w:sz w:val="18"/>
              </w:rPr>
              <w:t>WP Content Management Web Service</w:t>
            </w:r>
          </w:p>
        </w:tc>
        <w:tc>
          <w:tcPr>
            <w:tcW w:type="dxa" w:w="1224"/>
            <w:shd w:fill="FFFFFF"/>
            <w:tcMar>
              <w:top w:w="80" w:type="dxa"/>
              <w:bottom w:w="80" w:type="dxa"/>
              <w:left w:w="100" w:type="dxa"/>
              <w:right w:w="100" w:type="dxa"/>
            </w:tcMar>
          </w:tcPr>
          <w:p>
            <w:pPr>
              <w:spacing w:after="0" w:line="264" w:lineRule="auto"/>
            </w:pPr>
            <w:r>
              <w:rPr>
                <w:rFonts w:ascii="Segoe UI" w:hAnsi="Segoe UI"/>
                <w:color w:val="222222"/>
                <w:sz w:val="18"/>
              </w:rPr>
              <w:t>207,182</w:t>
            </w:r>
          </w:p>
        </w:tc>
        <w:tc>
          <w:tcPr>
            <w:tcW w:type="dxa" w:w="1584"/>
            <w:shd w:fill="FFFFFF"/>
            <w:tcMar>
              <w:top w:w="80" w:type="dxa"/>
              <w:bottom w:w="80" w:type="dxa"/>
              <w:left w:w="100" w:type="dxa"/>
              <w:right w:w="100" w:type="dxa"/>
            </w:tcMar>
          </w:tcPr>
          <w:p>
            <w:pPr>
              <w:spacing w:after="0" w:line="264" w:lineRule="auto"/>
            </w:pPr>
            <w:r>
              <w:rPr>
                <w:rFonts w:ascii="Segoe UI" w:hAnsi="Segoe UI"/>
                <w:color w:val="222222"/>
                <w:sz w:val="18"/>
              </w:rPr>
              <w:t>SBL-BPR-00162 /</w:t>
              <w:br/>
              <w:t>SBL-EAI-04308</w:t>
            </w:r>
          </w:p>
        </w:tc>
        <w:tc>
          <w:tcPr>
            <w:tcW w:type="dxa" w:w="1584"/>
            <w:shd w:fill="FFFFFF"/>
            <w:tcMar>
              <w:top w:w="80" w:type="dxa"/>
              <w:bottom w:w="80" w:type="dxa"/>
              <w:left w:w="100" w:type="dxa"/>
              <w:right w:w="100" w:type="dxa"/>
            </w:tcMar>
          </w:tcPr>
          <w:p>
            <w:pPr>
              <w:spacing w:after="0" w:line="264" w:lineRule="auto"/>
            </w:pPr>
            <w:r>
              <w:rPr>
                <w:rFonts w:ascii="Segoe UI" w:hAnsi="Segoe UI"/>
                <w:color w:val="222222"/>
                <w:sz w:val="18"/>
              </w:rPr>
              <w:t>External</w:t>
              <w:br/>
              <w:t>(Middleware / CDS)</w:t>
            </w:r>
          </w:p>
        </w:tc>
        <w:tc>
          <w:tcPr>
            <w:tcW w:type="dxa" w:w="2880"/>
            <w:shd w:fill="FFFFFF"/>
            <w:tcMar>
              <w:top w:w="80" w:type="dxa"/>
              <w:bottom w:w="80" w:type="dxa"/>
              <w:left w:w="100" w:type="dxa"/>
              <w:right w:w="100" w:type="dxa"/>
            </w:tcMar>
          </w:tcPr>
          <w:p>
            <w:pPr>
              <w:spacing w:after="0" w:line="264" w:lineRule="auto"/>
            </w:pPr>
            <w:r>
              <w:rPr>
                <w:rFonts w:ascii="Segoe UI" w:hAnsi="Segoe UI"/>
                <w:color w:val="222222"/>
                <w:sz w:val="18"/>
              </w:rPr>
              <w:t>External SOAP Fault in ContentManagementServiceImpl (fails after 3 attempts). Volume surged in Aug 2026 following CDS Go-Live.</w:t>
            </w:r>
          </w:p>
        </w:tc>
      </w:tr>
      <w:tr>
        <w:tc>
          <w:tcPr>
            <w:tcW w:type="dxa" w:w="504"/>
            <w:shd w:fill="F4F6F9"/>
            <w:tcMar>
              <w:top w:w="80" w:type="dxa"/>
              <w:bottom w:w="80" w:type="dxa"/>
              <w:left w:w="100" w:type="dxa"/>
              <w:right w:w="100" w:type="dxa"/>
            </w:tcMar>
          </w:tcPr>
          <w:p>
            <w:pPr>
              <w:spacing w:after="0" w:line="264" w:lineRule="auto"/>
            </w:pPr>
            <w:r>
              <w:rPr>
                <w:rFonts w:ascii="Segoe UI" w:hAnsi="Segoe UI"/>
                <w:b/>
                <w:color w:val="1B365D"/>
                <w:sz w:val="18"/>
              </w:rPr>
              <w:t>2</w:t>
            </w:r>
          </w:p>
        </w:tc>
        <w:tc>
          <w:tcPr>
            <w:tcW w:type="dxa" w:w="2160"/>
            <w:shd w:fill="F4F6F9"/>
            <w:tcMar>
              <w:top w:w="80" w:type="dxa"/>
              <w:bottom w:w="80" w:type="dxa"/>
              <w:left w:w="100" w:type="dxa"/>
              <w:right w:w="100" w:type="dxa"/>
            </w:tcMar>
          </w:tcPr>
          <w:p>
            <w:pPr>
              <w:spacing w:after="0" w:line="264" w:lineRule="auto"/>
            </w:pPr>
            <w:r>
              <w:rPr>
                <w:rFonts w:ascii="Segoe UI" w:hAnsi="Segoe UI"/>
                <w:b/>
                <w:color w:val="1B365D"/>
                <w:sz w:val="18"/>
              </w:rPr>
              <w:t>WP Send Bulk Emails Sub Process</w:t>
            </w:r>
          </w:p>
        </w:tc>
        <w:tc>
          <w:tcPr>
            <w:tcW w:type="dxa" w:w="1224"/>
            <w:shd w:fill="F4F6F9"/>
            <w:tcMar>
              <w:top w:w="80" w:type="dxa"/>
              <w:bottom w:w="80" w:type="dxa"/>
              <w:left w:w="100" w:type="dxa"/>
              <w:right w:w="100" w:type="dxa"/>
            </w:tcMar>
          </w:tcPr>
          <w:p>
            <w:pPr>
              <w:spacing w:after="0" w:line="264" w:lineRule="auto"/>
            </w:pPr>
            <w:r>
              <w:rPr>
                <w:rFonts w:ascii="Segoe UI" w:hAnsi="Segoe UI"/>
                <w:color w:val="222222"/>
                <w:sz w:val="18"/>
              </w:rPr>
              <w:t>55,896</w:t>
            </w:r>
          </w:p>
        </w:tc>
        <w:tc>
          <w:tcPr>
            <w:tcW w:type="dxa" w:w="1584"/>
            <w:shd w:fill="F4F6F9"/>
            <w:tcMar>
              <w:top w:w="80" w:type="dxa"/>
              <w:bottom w:w="80" w:type="dxa"/>
              <w:left w:w="100" w:type="dxa"/>
              <w:right w:w="100" w:type="dxa"/>
            </w:tcMar>
          </w:tcPr>
          <w:p>
            <w:pPr>
              <w:spacing w:after="0" w:line="264" w:lineRule="auto"/>
            </w:pPr>
            <w:r>
              <w:rPr>
                <w:rFonts w:ascii="Segoe UI" w:hAnsi="Segoe UI"/>
                <w:color w:val="222222"/>
                <w:sz w:val="18"/>
              </w:rPr>
              <w:t>SBL-BPR-00162 /</w:t>
              <w:br/>
              <w:t>SBL-EAI-04024</w:t>
            </w:r>
          </w:p>
        </w:tc>
        <w:tc>
          <w:tcPr>
            <w:tcW w:type="dxa" w:w="1584"/>
            <w:shd w:fill="F4F6F9"/>
            <w:tcMar>
              <w:top w:w="80" w:type="dxa"/>
              <w:bottom w:w="80" w:type="dxa"/>
              <w:left w:w="100" w:type="dxa"/>
              <w:right w:w="100" w:type="dxa"/>
            </w:tcMar>
          </w:tcPr>
          <w:p>
            <w:pPr>
              <w:spacing w:after="0" w:line="264" w:lineRule="auto"/>
            </w:pPr>
            <w:r>
              <w:rPr>
                <w:rFonts w:ascii="Segoe UI" w:hAnsi="Segoe UI"/>
                <w:color w:val="222222"/>
                <w:sz w:val="18"/>
              </w:rPr>
              <w:t>Internal Design +</w:t>
              <w:br/>
              <w:t>External Trigger</w:t>
            </w:r>
          </w:p>
        </w:tc>
        <w:tc>
          <w:tcPr>
            <w:tcW w:type="dxa" w:w="2880"/>
            <w:shd w:fill="F4F6F9"/>
            <w:tcMar>
              <w:top w:w="80" w:type="dxa"/>
              <w:bottom w:w="80" w:type="dxa"/>
              <w:left w:w="100" w:type="dxa"/>
              <w:right w:w="100" w:type="dxa"/>
            </w:tcMar>
          </w:tcPr>
          <w:p>
            <w:pPr>
              <w:spacing w:after="0" w:line="264" w:lineRule="auto"/>
            </w:pPr>
            <w:r>
              <w:rPr>
                <w:rFonts w:ascii="Segoe UI" w:hAnsi="Segoe UI"/>
                <w:color w:val="222222"/>
                <w:sz w:val="18"/>
              </w:rPr>
              <w:t>Child workflow (Get files from WCC) catches Call GetDocument error and exits at End 0 with an empty GetDocumentResponse, causing Data Transformation to fail on empty input (amplified by a retry loop).</w:t>
            </w:r>
          </w:p>
        </w:tc>
      </w:tr>
      <w:tr>
        <w:tc>
          <w:tcPr>
            <w:tcW w:type="dxa" w:w="504"/>
            <w:shd w:fill="FFFFFF"/>
            <w:tcMar>
              <w:top w:w="80" w:type="dxa"/>
              <w:bottom w:w="80" w:type="dxa"/>
              <w:left w:w="100" w:type="dxa"/>
              <w:right w:w="100" w:type="dxa"/>
            </w:tcMar>
          </w:tcPr>
          <w:p>
            <w:pPr>
              <w:spacing w:after="0" w:line="264" w:lineRule="auto"/>
            </w:pPr>
            <w:r>
              <w:rPr>
                <w:rFonts w:ascii="Segoe UI" w:hAnsi="Segoe UI"/>
                <w:b/>
                <w:color w:val="1B365D"/>
                <w:sz w:val="18"/>
              </w:rPr>
              <w:t>3</w:t>
            </w:r>
          </w:p>
        </w:tc>
        <w:tc>
          <w:tcPr>
            <w:tcW w:type="dxa" w:w="2160"/>
            <w:shd w:fill="FFFFFF"/>
            <w:tcMar>
              <w:top w:w="80" w:type="dxa"/>
              <w:bottom w:w="80" w:type="dxa"/>
              <w:left w:w="100" w:type="dxa"/>
              <w:right w:w="100" w:type="dxa"/>
            </w:tcMar>
          </w:tcPr>
          <w:p>
            <w:pPr>
              <w:spacing w:after="0" w:line="264" w:lineRule="auto"/>
            </w:pPr>
            <w:r>
              <w:rPr>
                <w:rFonts w:ascii="Segoe UI" w:hAnsi="Segoe UI"/>
                <w:b/>
                <w:color w:val="1B365D"/>
                <w:sz w:val="18"/>
              </w:rPr>
              <w:t>WP Validate Merchant Trading Status Live</w:t>
            </w:r>
          </w:p>
        </w:tc>
        <w:tc>
          <w:tcPr>
            <w:tcW w:type="dxa" w:w="1224"/>
            <w:shd w:fill="FFFFFF"/>
            <w:tcMar>
              <w:top w:w="80" w:type="dxa"/>
              <w:bottom w:w="80" w:type="dxa"/>
              <w:left w:w="100" w:type="dxa"/>
              <w:right w:w="100" w:type="dxa"/>
            </w:tcMar>
          </w:tcPr>
          <w:p>
            <w:pPr>
              <w:spacing w:after="0" w:line="264" w:lineRule="auto"/>
            </w:pPr>
            <w:r>
              <w:rPr>
                <w:rFonts w:ascii="Segoe UI" w:hAnsi="Segoe UI"/>
                <w:color w:val="222222"/>
                <w:sz w:val="18"/>
              </w:rPr>
              <w:t>6,388</w:t>
            </w:r>
          </w:p>
        </w:tc>
        <w:tc>
          <w:tcPr>
            <w:tcW w:type="dxa" w:w="1584"/>
            <w:shd w:fill="FFFFFF"/>
            <w:tcMar>
              <w:top w:w="80" w:type="dxa"/>
              <w:bottom w:w="80" w:type="dxa"/>
              <w:left w:w="100" w:type="dxa"/>
              <w:right w:w="100" w:type="dxa"/>
            </w:tcMar>
          </w:tcPr>
          <w:p>
            <w:pPr>
              <w:spacing w:after="0" w:line="264" w:lineRule="auto"/>
            </w:pPr>
            <w:r>
              <w:rPr>
                <w:rFonts w:ascii="Segoe UI" w:hAnsi="Segoe UI"/>
                <w:color w:val="222222"/>
                <w:sz w:val="18"/>
              </w:rPr>
              <w:t>SDM-A10003</w:t>
            </w:r>
          </w:p>
        </w:tc>
        <w:tc>
          <w:tcPr>
            <w:tcW w:type="dxa" w:w="1584"/>
            <w:shd w:fill="FFFFFF"/>
            <w:tcMar>
              <w:top w:w="80" w:type="dxa"/>
              <w:bottom w:w="80" w:type="dxa"/>
              <w:left w:w="100" w:type="dxa"/>
              <w:right w:w="100" w:type="dxa"/>
            </w:tcMar>
          </w:tcPr>
          <w:p>
            <w:pPr>
              <w:spacing w:after="0" w:line="264" w:lineRule="auto"/>
            </w:pPr>
            <w:r>
              <w:rPr>
                <w:rFonts w:ascii="Segoe UI" w:hAnsi="Segoe UI"/>
                <w:color w:val="222222"/>
                <w:sz w:val="18"/>
              </w:rPr>
              <w:t>Internal</w:t>
              <w:br/>
              <w:t>(Business Validation)</w:t>
              <w:br/>
              <w:t>[TBD]</w:t>
            </w:r>
          </w:p>
        </w:tc>
        <w:tc>
          <w:tcPr>
            <w:tcW w:type="dxa" w:w="2880"/>
            <w:shd w:fill="FFFFFF"/>
            <w:tcMar>
              <w:top w:w="80" w:type="dxa"/>
              <w:bottom w:w="80" w:type="dxa"/>
              <w:left w:w="100" w:type="dxa"/>
              <w:right w:w="100" w:type="dxa"/>
            </w:tcMar>
          </w:tcPr>
          <w:p>
            <w:pPr>
              <w:spacing w:after="0" w:line="264" w:lineRule="auto"/>
            </w:pPr>
            <w:r>
              <w:rPr>
                <w:rFonts w:ascii="Segoe UI" w:hAnsi="Segoe UI"/>
                <w:color w:val="222222"/>
                <w:sz w:val="18"/>
              </w:rPr>
              <w:t>Functional validation rule blocking Live/Suspended transition due to incomplete customer setup. Under further review.</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