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8"/>
        </w:rPr>
        <w:t>Process-Centric RAG</w:t>
        <w:br/>
        <w:t>Knowledge Base Design</w:t>
      </w:r>
    </w:p>
    <w:p>
      <w:pPr>
        <w:spacing w:before="240"/>
        <w:jc w:val="center"/>
      </w:pPr>
      <w:r>
        <w:rPr>
          <w:color w:val="52677A"/>
          <w:sz w:val="26"/>
        </w:rPr>
        <w:t>A detailed design for document chunking, vector storage, BM25, hybrid retrieval, and strict process isolation</w:t>
      </w:r>
    </w:p>
    <w:tbl>
      <w:tblPr>
        <w:tblW w:type="auto" w:w="0"/>
        <w:jc w:val="center"/>
        <w:tblLayout w:type="fixed"/>
        <w:tblLook w:firstColumn="1" w:firstRow="1" w:lastColumn="0" w:lastRow="0" w:noHBand="0" w:noVBand="1" w:val="04A0"/>
      </w:tblPr>
      <w:tblGrid>
        <w:gridCol w:w="9792"/>
      </w:tblGrid>
      <w:tr>
        <w:tc>
          <w:tcPr>
            <w:tcW w:type="dxa" w:w="8496"/>
            <w:shd w:fill="EAF3F8"/>
            <w:tcMar>
              <w:top w:w="180" w:type="dxa"/>
              <w:start w:w="220" w:type="dxa"/>
              <w:bottom w:w="180" w:type="dxa"/>
              <w:end w:w="220" w:type="dxa"/>
            </w:tcMar>
          </w:tcPr>
          <w:p>
            <w:pPr>
              <w:jc w:val="center"/>
            </w:pPr>
            <w:r>
              <w:rPr>
                <w:b/>
                <w:color w:val="1F4E78"/>
              </w:rPr>
              <w:t>Core decision</w:t>
              <w:br/>
            </w:r>
            <w:r>
              <w:rPr>
                <w:color w:val="243447"/>
                <w:sz w:val="23"/>
              </w:rPr>
              <w:t>Resolve the canonical process first, apply a mandatory process_id filter, and only then run BM25 and vector retrieval within that process.</w:t>
            </w:r>
          </w:p>
        </w:tc>
      </w:tr>
    </w:tbl>
    <w:p>
      <w:pPr>
        <w:spacing w:before="3000"/>
        <w:jc w:val="center"/>
      </w:pPr>
      <w:r>
        <w:rPr>
          <w:b/>
          <w:color w:val="6B7280"/>
          <w:sz w:val="22"/>
        </w:rPr>
        <w:t>Architecture and implementation guide</w:t>
      </w:r>
    </w:p>
    <w:p>
      <w:pPr>
        <w:jc w:val="center"/>
      </w:pPr>
      <w:r>
        <w:rPr>
          <w:color w:val="6B7280"/>
          <w:sz w:val="20"/>
        </w:rPr>
        <w:t>July 2026</w:t>
      </w:r>
    </w:p>
    <w:p>
      <w:r>
        <w:br w:type="page"/>
      </w:r>
    </w:p>
    <w:p>
      <w:pPr>
        <w:pStyle w:val="Heading1"/>
      </w:pPr>
      <w:r>
        <w:t>Contents</w:t>
      </w:r>
    </w:p>
    <w:p>
      <w:pPr>
        <w:spacing w:after="60"/>
        <w:ind w:left="216"/>
      </w:pPr>
      <w:r>
        <w:rPr>
          <w:color w:val="243447"/>
          <w:sz w:val="20"/>
        </w:rPr>
        <w:t>1. Executive recommendation</w:t>
      </w:r>
    </w:p>
    <w:p>
      <w:pPr>
        <w:spacing w:after="60"/>
        <w:ind w:left="216"/>
      </w:pPr>
      <w:r>
        <w:rPr>
          <w:color w:val="243447"/>
          <w:sz w:val="20"/>
        </w:rPr>
        <w:t>2. The cross-process retrieval problem</w:t>
      </w:r>
    </w:p>
    <w:p>
      <w:pPr>
        <w:spacing w:after="60"/>
        <w:ind w:left="216"/>
      </w:pPr>
      <w:r>
        <w:rPr>
          <w:color w:val="243447"/>
          <w:sz w:val="20"/>
        </w:rPr>
        <w:t>3. Recommended two-index knowledge-store architecture</w:t>
      </w:r>
    </w:p>
    <w:p>
      <w:pPr>
        <w:spacing w:after="60"/>
        <w:ind w:left="216"/>
      </w:pPr>
      <w:r>
        <w:rPr>
          <w:color w:val="243447"/>
          <w:sz w:val="20"/>
        </w:rPr>
        <w:t>4. Running example: two similar refund processes</w:t>
      </w:r>
    </w:p>
    <w:p>
      <w:pPr>
        <w:spacing w:after="60"/>
        <w:ind w:left="216"/>
      </w:pPr>
      <w:r>
        <w:rPr>
          <w:color w:val="243447"/>
          <w:sz w:val="20"/>
        </w:rPr>
        <w:t>5. Document ingestion and structure-aware chunking</w:t>
      </w:r>
    </w:p>
    <w:p>
      <w:pPr>
        <w:spacing w:after="60"/>
        <w:ind w:left="216"/>
      </w:pPr>
      <w:r>
        <w:rPr>
          <w:color w:val="243447"/>
          <w:sz w:val="20"/>
        </w:rPr>
        <w:t>6. The complete chunk record</w:t>
      </w:r>
    </w:p>
    <w:p>
      <w:pPr>
        <w:spacing w:after="60"/>
        <w:ind w:left="216"/>
      </w:pPr>
      <w:r>
        <w:rPr>
          <w:color w:val="243447"/>
          <w:sz w:val="20"/>
        </w:rPr>
        <w:t>7. BM25 explained in practical terms</w:t>
      </w:r>
    </w:p>
    <w:p>
      <w:pPr>
        <w:spacing w:after="60"/>
        <w:ind w:left="216"/>
      </w:pPr>
      <w:r>
        <w:rPr>
          <w:color w:val="243447"/>
          <w:sz w:val="20"/>
        </w:rPr>
        <w:t>8. Vector search explained</w:t>
      </w:r>
    </w:p>
    <w:p>
      <w:pPr>
        <w:spacing w:after="60"/>
        <w:ind w:left="216"/>
      </w:pPr>
      <w:r>
        <w:rPr>
          <w:color w:val="243447"/>
          <w:sz w:val="20"/>
        </w:rPr>
        <w:t>9. Why hybrid retrieval is required</w:t>
      </w:r>
    </w:p>
    <w:p>
      <w:pPr>
        <w:spacing w:after="60"/>
        <w:ind w:left="216"/>
      </w:pPr>
      <w:r>
        <w:rPr>
          <w:color w:val="243447"/>
          <w:sz w:val="20"/>
        </w:rPr>
        <w:t>10. Complete query walkthrough</w:t>
      </w:r>
    </w:p>
    <w:p>
      <w:pPr>
        <w:spacing w:after="60"/>
        <w:ind w:left="216"/>
      </w:pPr>
      <w:r>
        <w:rPr>
          <w:color w:val="243447"/>
          <w:sz w:val="20"/>
        </w:rPr>
        <w:t>11. Parent-child retrieval and context expansion</w:t>
      </w:r>
    </w:p>
    <w:p>
      <w:pPr>
        <w:spacing w:after="60"/>
        <w:ind w:left="216"/>
      </w:pPr>
      <w:r>
        <w:rPr>
          <w:color w:val="243447"/>
          <w:sz w:val="20"/>
        </w:rPr>
        <w:t>12. Shared index versus one index per process</w:t>
      </w:r>
    </w:p>
    <w:p>
      <w:pPr>
        <w:spacing w:after="60"/>
        <w:ind w:left="216"/>
      </w:pPr>
      <w:r>
        <w:rPr>
          <w:color w:val="243447"/>
          <w:sz w:val="20"/>
        </w:rPr>
        <w:t>13. BPMN knowledge inside the same store</w:t>
      </w:r>
    </w:p>
    <w:p>
      <w:pPr>
        <w:spacing w:after="60"/>
        <w:ind w:left="216"/>
      </w:pPr>
      <w:r>
        <w:rPr>
          <w:color w:val="243447"/>
          <w:sz w:val="20"/>
        </w:rPr>
        <w:t>14. Versioning, updates, and publication controls</w:t>
      </w:r>
    </w:p>
    <w:p>
      <w:pPr>
        <w:spacing w:after="60"/>
        <w:ind w:left="216"/>
      </w:pPr>
      <w:r>
        <w:rPr>
          <w:color w:val="243447"/>
          <w:sz w:val="20"/>
        </w:rPr>
        <w:t>15. Elasticsearch-style index mapping</w:t>
      </w:r>
    </w:p>
    <w:p>
      <w:pPr>
        <w:spacing w:after="60"/>
        <w:ind w:left="216"/>
      </w:pPr>
      <w:r>
        <w:rPr>
          <w:color w:val="243447"/>
          <w:sz w:val="20"/>
        </w:rPr>
        <w:t>16. Retrieval pseudocode</w:t>
      </w:r>
    </w:p>
    <w:p>
      <w:pPr>
        <w:spacing w:after="60"/>
        <w:ind w:left="216"/>
      </w:pPr>
      <w:r>
        <w:rPr>
          <w:color w:val="243447"/>
          <w:sz w:val="20"/>
        </w:rPr>
        <w:t>17. Testing and quality metrics</w:t>
      </w:r>
    </w:p>
    <w:p>
      <w:pPr>
        <w:spacing w:after="60"/>
        <w:ind w:left="216"/>
      </w:pPr>
      <w:r>
        <w:rPr>
          <w:color w:val="243447"/>
          <w:sz w:val="20"/>
        </w:rPr>
        <w:t>18. Implementation plan</w:t>
      </w:r>
    </w:p>
    <w:p>
      <w:pPr>
        <w:spacing w:after="60"/>
        <w:ind w:left="216"/>
      </w:pPr>
      <w:r>
        <w:rPr>
          <w:color w:val="243447"/>
          <w:sz w:val="20"/>
        </w:rPr>
        <w:t>19. Final architecture decision</w:t>
      </w:r>
    </w:p>
    <w:p>
      <w:r>
        <w:br w:type="page"/>
      </w:r>
    </w:p>
    <w:p>
      <w:pPr>
        <w:pStyle w:val="Heading1"/>
      </w:pPr>
      <w:r>
        <w:t>1. Executive recommendation</w:t>
      </w:r>
    </w:p>
    <w:p>
      <w:r>
        <w:t>Build a process-centric hybrid RAG knowledge store. The system must first resolve the user's business language to a canonical process_id, then apply that process_id as a mandatory datastore filter, and only then search the chunks belonging to that process. Inside the filtered process scope, combine BM25 keyword retrieval with semantic vector retrieval, fuse and rerank the results, expand the selected chunk to its parent section, and pass only validated evidence to the LLM.</w:t>
      </w:r>
    </w:p>
    <w:tbl>
      <w:tblPr>
        <w:tblW w:type="auto" w:w="0"/>
        <w:jc w:val="center"/>
        <w:tblLayout w:type="fixed"/>
        <w:tblLook w:firstColumn="1" w:firstRow="1" w:lastColumn="0" w:lastRow="0" w:noHBand="0" w:noVBand="1" w:val="04A0"/>
      </w:tblPr>
      <w:tblGrid>
        <w:gridCol w:w="9792"/>
      </w:tblGrid>
      <w:tr>
        <w:tc>
          <w:tcPr>
            <w:tcW w:type="dxa" w:w="9720"/>
            <w:shd w:fill="E2F0D9"/>
            <w:tcMar>
              <w:top w:w="120" w:type="dxa"/>
              <w:start w:w="160" w:type="dxa"/>
              <w:bottom w:w="120" w:type="dxa"/>
              <w:end w:w="160" w:type="dxa"/>
            </w:tcMar>
          </w:tcPr>
          <w:p>
            <w:r>
              <w:rPr>
                <w:b/>
                <w:color w:val="17365D"/>
              </w:rPr>
              <w:t>The design in one sentence</w:t>
              <w:br/>
            </w:r>
            <w:r>
              <w:rPr>
                <w:color w:val="243447"/>
              </w:rPr>
              <w:t>Resolve process → hard-filter by process_id → run BM25 and vector search → rerank → expand context → validate process_id → answer from cited evidence.</w:t>
            </w:r>
          </w:p>
        </w:tc>
      </w:tr>
    </w:tbl>
    <w:p>
      <w:pPr>
        <w:spacing w:after="0"/>
      </w:pPr>
    </w:p>
    <w:p>
      <w:r>
        <w:t>This is better than vector-only RAG because semantic similarity cannot guarantee that a chunk belongs to the requested process. Two processes may use nearly identical language but define different thresholds, owners, systems, activities, or controls. Process isolation therefore has to be an exact datastore operation, not a suggestion placed in the LLM prompt.</w:t>
      </w:r>
    </w:p>
    <w:p>
      <w:pPr>
        <w:pStyle w:val="Heading1"/>
      </w:pPr>
      <w:r>
        <w:t>2. The cross-process retrieval problem</w:t>
      </w:r>
    </w:p>
    <w:p>
      <w:r>
        <w:t>Assume the platform stores thousands of SOPs and policies. Many documents will reuse common terms such as approval, validation, escalation, review, refund, exception, and manager. Embeddings intentionally place semantically similar text close together. That is useful for discovering meaning, but dangerous when two processes contain similar text with different facts.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76"/>
            <w:shd w:fill="1F4E78"/>
            <w:tcMar>
              <w:top w:w="100" w:type="dxa"/>
              <w:start w:w="120" w:type="dxa"/>
              <w:bottom w:w="100" w:type="dxa"/>
              <w:end w:w="120" w:type="dxa"/>
            </w:tcMar>
            <w:vAlign w:val="center"/>
          </w:tcPr>
          <w:p>
            <w:r>
              <w:rPr>
                <w:b/>
                <w:color w:val="FFFFFF"/>
                <w:sz w:val="18"/>
              </w:rPr>
              <w:t>Process</w:t>
            </w:r>
          </w:p>
        </w:tc>
        <w:tc>
          <w:tcPr>
            <w:tcW w:type="dxa" w:w="4536"/>
            <w:shd w:fill="1F4E78"/>
            <w:tcMar>
              <w:top w:w="100" w:type="dxa"/>
              <w:start w:w="120" w:type="dxa"/>
              <w:bottom w:w="100" w:type="dxa"/>
              <w:end w:w="120" w:type="dxa"/>
            </w:tcMar>
            <w:vAlign w:val="center"/>
          </w:tcPr>
          <w:p>
            <w:r>
              <w:rPr>
                <w:b/>
                <w:color w:val="FFFFFF"/>
                <w:sz w:val="18"/>
              </w:rPr>
              <w:t>SOP rule</w:t>
            </w:r>
          </w:p>
        </w:tc>
        <w:tc>
          <w:tcPr>
            <w:tcW w:type="dxa" w:w="2808"/>
            <w:shd w:fill="1F4E78"/>
            <w:tcMar>
              <w:top w:w="100" w:type="dxa"/>
              <w:start w:w="120" w:type="dxa"/>
              <w:bottom w:w="100" w:type="dxa"/>
              <w:end w:w="120" w:type="dxa"/>
            </w:tcMar>
            <w:vAlign w:val="center"/>
          </w:tcPr>
          <w:p>
            <w:r>
              <w:rPr>
                <w:b/>
                <w:color w:val="FFFFFF"/>
                <w:sz w:val="18"/>
              </w:rPr>
              <w:t>Risk if globally searched</w:t>
            </w:r>
          </w:p>
        </w:tc>
      </w:tr>
      <w:tr>
        <w:trPr>
          <w:cantSplit/>
        </w:trPr>
        <w:tc>
          <w:tcPr>
            <w:tcW w:type="dxa" w:w="3264"/>
            <w:tcMar>
              <w:top w:w="100" w:type="dxa"/>
              <w:start w:w="120" w:type="dxa"/>
              <w:bottom w:w="100" w:type="dxa"/>
              <w:end w:w="120" w:type="dxa"/>
            </w:tcMar>
            <w:vAlign w:val="top"/>
          </w:tcPr>
          <w:p>
            <w:pPr>
              <w:spacing w:after="0"/>
            </w:pPr>
            <w:r>
              <w:rPr>
                <w:color w:val="243447"/>
                <w:sz w:val="17"/>
              </w:rPr>
              <w:t>PROC_1234 – Credit Balance Refund</w:t>
            </w:r>
          </w:p>
        </w:tc>
        <w:tc>
          <w:tcPr>
            <w:tcW w:type="dxa" w:w="3264"/>
            <w:tcMar>
              <w:top w:w="100" w:type="dxa"/>
              <w:start w:w="120" w:type="dxa"/>
              <w:bottom w:w="100" w:type="dxa"/>
              <w:end w:w="120" w:type="dxa"/>
            </w:tcMar>
            <w:vAlign w:val="top"/>
          </w:tcPr>
          <w:p>
            <w:pPr>
              <w:spacing w:after="0"/>
            </w:pPr>
            <w:r>
              <w:rPr>
                <w:color w:val="243447"/>
                <w:sz w:val="17"/>
              </w:rPr>
              <w:t>Refunds above $10,000 require Refund Operations Manager approval.</w:t>
            </w:r>
          </w:p>
        </w:tc>
        <w:tc>
          <w:tcPr>
            <w:tcW w:type="dxa" w:w="3264"/>
            <w:tcMar>
              <w:top w:w="100" w:type="dxa"/>
              <w:start w:w="120" w:type="dxa"/>
              <w:bottom w:w="100" w:type="dxa"/>
              <w:end w:w="120" w:type="dxa"/>
            </w:tcMar>
            <w:vAlign w:val="top"/>
          </w:tcPr>
          <w:p>
            <w:pPr>
              <w:spacing w:after="0"/>
            </w:pPr>
            <w:r>
              <w:rPr>
                <w:color w:val="243447"/>
                <w:sz w:val="17"/>
              </w:rPr>
              <w:t>Correct answer for CBR.</w:t>
            </w:r>
          </w:p>
        </w:tc>
      </w:tr>
      <w:tr>
        <w:trPr>
          <w:cantSplit/>
        </w:trPr>
        <w:tc>
          <w:tcPr>
            <w:tcW w:type="dxa" w:w="3264"/>
            <w:tcMar>
              <w:top w:w="100" w:type="dxa"/>
              <w:start w:w="120" w:type="dxa"/>
              <w:bottom w:w="100" w:type="dxa"/>
              <w:end w:w="120" w:type="dxa"/>
            </w:tcMar>
            <w:vAlign w:val="top"/>
          </w:tcPr>
          <w:p>
            <w:pPr>
              <w:spacing w:after="0"/>
            </w:pPr>
            <w:r>
              <w:rPr>
                <w:color w:val="243447"/>
                <w:sz w:val="17"/>
              </w:rPr>
              <w:t>PROC_5678 – Vendor Payment Refund</w:t>
            </w:r>
          </w:p>
        </w:tc>
        <w:tc>
          <w:tcPr>
            <w:tcW w:type="dxa" w:w="3264"/>
            <w:tcMar>
              <w:top w:w="100" w:type="dxa"/>
              <w:start w:w="120" w:type="dxa"/>
              <w:bottom w:w="100" w:type="dxa"/>
              <w:end w:w="120" w:type="dxa"/>
            </w:tcMar>
            <w:vAlign w:val="top"/>
          </w:tcPr>
          <w:p>
            <w:pPr>
              <w:spacing w:after="0"/>
            </w:pPr>
            <w:r>
              <w:rPr>
                <w:color w:val="243447"/>
                <w:sz w:val="17"/>
              </w:rPr>
              <w:t>Refunds above $5,000 require Vendor Payment Manager approval.</w:t>
            </w:r>
          </w:p>
        </w:tc>
        <w:tc>
          <w:tcPr>
            <w:tcW w:type="dxa" w:w="3264"/>
            <w:tcMar>
              <w:top w:w="100" w:type="dxa"/>
              <w:start w:w="120" w:type="dxa"/>
              <w:bottom w:w="100" w:type="dxa"/>
              <w:end w:w="120" w:type="dxa"/>
            </w:tcMar>
            <w:vAlign w:val="top"/>
          </w:tcPr>
          <w:p>
            <w:pPr>
              <w:spacing w:after="0"/>
            </w:pPr>
            <w:r>
              <w:rPr>
                <w:color w:val="243447"/>
                <w:sz w:val="17"/>
              </w:rPr>
              <w:t>May rank higher because the wording is almost identical.</w:t>
            </w:r>
          </w:p>
        </w:tc>
      </w:tr>
    </w:tbl>
    <w:p>
      <w:pPr>
        <w:spacing w:after="0"/>
      </w:pPr>
    </w:p>
    <w:p>
      <w:r>
        <w:t>If the user asks, “What is the approval threshold for Credit Balance Refund?”, a global vector search might return the Vendor Payment Refund chunk first. The correct solution is not merely to put the process name into the prompt. The correct solution is to prevent PROC_5678 from participating in retrieval after PROC_1234 has been resolved.</w:t>
      </w:r>
    </w:p>
    <w:p>
      <w:pPr>
        <w:pStyle w:val="Heading1"/>
      </w:pPr>
      <w:r>
        <w:t>3. Recommended two-index knowledge-store architecture</w:t>
      </w:r>
    </w:p>
    <w:p>
      <w:r>
        <w:t>Use two logical indexes with different responsibilities.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F4E78"/>
            <w:tcMar>
              <w:top w:w="100" w:type="dxa"/>
              <w:start w:w="120" w:type="dxa"/>
              <w:bottom w:w="100" w:type="dxa"/>
              <w:end w:w="120" w:type="dxa"/>
            </w:tcMar>
            <w:vAlign w:val="center"/>
          </w:tcPr>
          <w:p>
            <w:r>
              <w:rPr>
                <w:b/>
                <w:color w:val="FFFFFF"/>
                <w:sz w:val="18"/>
              </w:rPr>
              <w:t>Index</w:t>
            </w:r>
          </w:p>
        </w:tc>
        <w:tc>
          <w:tcPr>
            <w:tcW w:type="dxa" w:w="4824"/>
            <w:shd w:fill="1F4E78"/>
            <w:tcMar>
              <w:top w:w="100" w:type="dxa"/>
              <w:start w:w="120" w:type="dxa"/>
              <w:bottom w:w="100" w:type="dxa"/>
              <w:end w:w="120" w:type="dxa"/>
            </w:tcMar>
            <w:vAlign w:val="center"/>
          </w:tcPr>
          <w:p>
            <w:r>
              <w:rPr>
                <w:b/>
                <w:color w:val="FFFFFF"/>
                <w:sz w:val="18"/>
              </w:rPr>
              <w:t>Purpose</w:t>
            </w:r>
          </w:p>
        </w:tc>
        <w:tc>
          <w:tcPr>
            <w:tcW w:type="dxa" w:w="2664"/>
            <w:shd w:fill="1F4E78"/>
            <w:tcMar>
              <w:top w:w="100" w:type="dxa"/>
              <w:start w:w="120" w:type="dxa"/>
              <w:bottom w:w="100" w:type="dxa"/>
              <w:end w:w="120" w:type="dxa"/>
            </w:tcMar>
            <w:vAlign w:val="center"/>
          </w:tcPr>
          <w:p>
            <w:r>
              <w:rPr>
                <w:b/>
                <w:color w:val="FFFFFF"/>
                <w:sz w:val="18"/>
              </w:rPr>
              <w:t>Unit stored</w:t>
            </w:r>
          </w:p>
        </w:tc>
      </w:tr>
      <w:tr>
        <w:trPr>
          <w:cantSplit/>
        </w:trPr>
        <w:tc>
          <w:tcPr>
            <w:tcW w:type="dxa" w:w="3264"/>
            <w:tcMar>
              <w:top w:w="100" w:type="dxa"/>
              <w:start w:w="120" w:type="dxa"/>
              <w:bottom w:w="100" w:type="dxa"/>
              <w:end w:w="120" w:type="dxa"/>
            </w:tcMar>
            <w:vAlign w:val="top"/>
          </w:tcPr>
          <w:p>
            <w:pPr>
              <w:spacing w:after="0"/>
            </w:pPr>
            <w:r>
              <w:rPr>
                <w:color w:val="243447"/>
                <w:sz w:val="17"/>
              </w:rPr>
              <w:t>Process registry</w:t>
            </w:r>
          </w:p>
        </w:tc>
        <w:tc>
          <w:tcPr>
            <w:tcW w:type="dxa" w:w="3264"/>
            <w:tcMar>
              <w:top w:w="100" w:type="dxa"/>
              <w:start w:w="120" w:type="dxa"/>
              <w:bottom w:w="100" w:type="dxa"/>
              <w:end w:w="120" w:type="dxa"/>
            </w:tcMar>
            <w:vAlign w:val="top"/>
          </w:tcPr>
          <w:p>
            <w:pPr>
              <w:spacing w:after="0"/>
            </w:pPr>
            <w:r>
              <w:rPr>
                <w:color w:val="243447"/>
                <w:sz w:val="17"/>
              </w:rPr>
              <w:t>Resolve business language, aliases, IDs, and descriptions to one canonical process_id.</w:t>
            </w:r>
          </w:p>
        </w:tc>
        <w:tc>
          <w:tcPr>
            <w:tcW w:type="dxa" w:w="3264"/>
            <w:tcMar>
              <w:top w:w="100" w:type="dxa"/>
              <w:start w:w="120" w:type="dxa"/>
              <w:bottom w:w="100" w:type="dxa"/>
              <w:end w:w="120" w:type="dxa"/>
            </w:tcMar>
            <w:vAlign w:val="top"/>
          </w:tcPr>
          <w:p>
            <w:pPr>
              <w:spacing w:after="0"/>
            </w:pPr>
            <w:r>
              <w:rPr>
                <w:color w:val="243447"/>
                <w:sz w:val="17"/>
              </w:rPr>
              <w:t>One record per process.</w:t>
            </w:r>
          </w:p>
        </w:tc>
      </w:tr>
      <w:tr>
        <w:trPr>
          <w:cantSplit/>
        </w:trPr>
        <w:tc>
          <w:tcPr>
            <w:tcW w:type="dxa" w:w="3264"/>
            <w:tcMar>
              <w:top w:w="100" w:type="dxa"/>
              <w:start w:w="120" w:type="dxa"/>
              <w:bottom w:w="100" w:type="dxa"/>
              <w:end w:w="120" w:type="dxa"/>
            </w:tcMar>
            <w:vAlign w:val="top"/>
          </w:tcPr>
          <w:p>
            <w:pPr>
              <w:spacing w:after="0"/>
            </w:pPr>
            <w:r>
              <w:rPr>
                <w:color w:val="243447"/>
                <w:sz w:val="17"/>
              </w:rPr>
              <w:t>Process knowledge chunks</w:t>
            </w:r>
          </w:p>
        </w:tc>
        <w:tc>
          <w:tcPr>
            <w:tcW w:type="dxa" w:w="3264"/>
            <w:tcMar>
              <w:top w:w="100" w:type="dxa"/>
              <w:start w:w="120" w:type="dxa"/>
              <w:bottom w:w="100" w:type="dxa"/>
              <w:end w:w="120" w:type="dxa"/>
            </w:tcMar>
            <w:vAlign w:val="top"/>
          </w:tcPr>
          <w:p>
            <w:pPr>
              <w:spacing w:after="0"/>
            </w:pPr>
            <w:r>
              <w:rPr>
                <w:color w:val="243447"/>
                <w:sz w:val="17"/>
              </w:rPr>
              <w:t>Retrieve exact document, BPMN, policy, and other knowledge after the process has been resolved.</w:t>
            </w:r>
          </w:p>
        </w:tc>
        <w:tc>
          <w:tcPr>
            <w:tcW w:type="dxa" w:w="3264"/>
            <w:tcMar>
              <w:top w:w="100" w:type="dxa"/>
              <w:start w:w="120" w:type="dxa"/>
              <w:bottom w:w="100" w:type="dxa"/>
              <w:end w:w="120" w:type="dxa"/>
            </w:tcMar>
            <w:vAlign w:val="top"/>
          </w:tcPr>
          <w:p>
            <w:pPr>
              <w:spacing w:after="0"/>
            </w:pPr>
            <w:r>
              <w:rPr>
                <w:color w:val="243447"/>
                <w:sz w:val="17"/>
              </w:rPr>
              <w:t>Many structured chunks per process.</w:t>
            </w:r>
          </w:p>
        </w:tc>
      </w:tr>
    </w:tbl>
    <w:p>
      <w:pPr>
        <w:spacing w:after="0"/>
      </w:pP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15"/>
            <w:shd w:fill="DDEBF7"/>
            <w:tcMar>
              <w:top w:w="120" w:type="dxa"/>
              <w:start w:w="80" w:type="dxa"/>
              <w:bottom w:w="120" w:type="dxa"/>
              <w:end w:w="80" w:type="dxa"/>
            </w:tcMar>
          </w:tcPr>
          <w:p>
            <w:pPr>
              <w:jc w:val="center"/>
            </w:pPr>
            <w:r>
              <w:rPr>
                <w:b/>
                <w:color w:val="17365D"/>
                <w:sz w:val="16"/>
              </w:rPr>
              <w:t>User question</w:t>
            </w:r>
          </w:p>
        </w:tc>
        <w:tc>
          <w:tcPr>
            <w:tcW w:type="dxa" w:w="1915"/>
            <w:shd w:fill="EAF3F8"/>
            <w:tcMar>
              <w:top w:w="120" w:type="dxa"/>
              <w:start w:w="80" w:type="dxa"/>
              <w:bottom w:w="120" w:type="dxa"/>
              <w:end w:w="80" w:type="dxa"/>
            </w:tcMar>
          </w:tcPr>
          <w:p>
            <w:pPr>
              <w:jc w:val="center"/>
            </w:pPr>
            <w:r>
              <w:rPr>
                <w:b/>
                <w:color w:val="17365D"/>
                <w:sz w:val="16"/>
              </w:rPr>
              <w:t>Process registry</w:t>
            </w:r>
          </w:p>
        </w:tc>
        <w:tc>
          <w:tcPr>
            <w:tcW w:type="dxa" w:w="1915"/>
            <w:shd w:fill="DDEBF7"/>
            <w:tcMar>
              <w:top w:w="120" w:type="dxa"/>
              <w:start w:w="80" w:type="dxa"/>
              <w:bottom w:w="120" w:type="dxa"/>
              <w:end w:w="80" w:type="dxa"/>
            </w:tcMar>
          </w:tcPr>
          <w:p>
            <w:pPr>
              <w:jc w:val="center"/>
            </w:pPr>
            <w:r>
              <w:rPr>
                <w:b/>
                <w:color w:val="17365D"/>
                <w:sz w:val="16"/>
              </w:rPr>
              <w:t>Canonical process_id</w:t>
            </w:r>
          </w:p>
        </w:tc>
        <w:tc>
          <w:tcPr>
            <w:tcW w:type="dxa" w:w="1915"/>
            <w:shd w:fill="EAF3F8"/>
            <w:tcMar>
              <w:top w:w="120" w:type="dxa"/>
              <w:start w:w="80" w:type="dxa"/>
              <w:bottom w:w="120" w:type="dxa"/>
              <w:end w:w="80" w:type="dxa"/>
            </w:tcMar>
          </w:tcPr>
          <w:p>
            <w:pPr>
              <w:jc w:val="center"/>
            </w:pPr>
            <w:r>
              <w:rPr>
                <w:b/>
                <w:color w:val="17365D"/>
                <w:sz w:val="16"/>
              </w:rPr>
              <w:t>Filtered chunk search</w:t>
            </w:r>
          </w:p>
        </w:tc>
        <w:tc>
          <w:tcPr>
            <w:tcW w:type="dxa" w:w="1915"/>
            <w:shd w:fill="DDEBF7"/>
            <w:tcMar>
              <w:top w:w="120" w:type="dxa"/>
              <w:start w:w="80" w:type="dxa"/>
              <w:bottom w:w="120" w:type="dxa"/>
              <w:end w:w="80" w:type="dxa"/>
            </w:tcMar>
          </w:tcPr>
          <w:p>
            <w:pPr>
              <w:jc w:val="center"/>
            </w:pPr>
            <w:r>
              <w:rPr>
                <w:b/>
                <w:color w:val="17365D"/>
                <w:sz w:val="16"/>
              </w:rPr>
              <w:t>Evidence for LLM</w:t>
            </w:r>
          </w:p>
        </w:tc>
      </w:tr>
    </w:tbl>
    <w:p>
      <w:pPr>
        <w:spacing w:after="0"/>
      </w:pPr>
    </w:p>
    <w:p>
      <w:pPr>
        <w:pStyle w:val="Heading2"/>
      </w:pPr>
      <w:r>
        <w:t>3.1 Process registry record</w:t>
      </w:r>
    </w:p>
    <w:p>
      <w:r>
        <w:t>The process registry is small and stable. It should contain the official name, aliases, description, domain, systems, and status. Its job is entity resolution—not answering detailed SOP questions.</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w:t>
              <w:br/>
              <w:t xml:space="preserve">  "tenant_id": "BANK_001",</w:t>
              <w:br/>
              <w:t xml:space="preserve">  "process_id": "PROC_1234",</w:t>
              <w:br/>
              <w:t xml:space="preserve">  "process_name": "Credit Balance Refund",</w:t>
              <w:br/>
              <w:t xml:space="preserve">  "aliases": ["CBR", "Credit Refund", "Customer Credit Refund"],</w:t>
              <w:br/>
              <w:t xml:space="preserve">  "description": "Validates and issues refunds for customer credit balances.",</w:t>
              <w:br/>
              <w:t xml:space="preserve">  "business_domain": "Refund Operations",</w:t>
              <w:br/>
              <w:t xml:space="preserve">  "systems": ["Triumph", "Checkify", "GHDB"],</w:t>
              <w:br/>
              <w:t xml:space="preserve">  "status": "ACTIVE"</w:t>
              <w:br/>
              <w:t>}</w:t>
            </w:r>
          </w:p>
        </w:tc>
      </w:tr>
    </w:tbl>
    <w:p>
      <w:pPr>
        <w:spacing w:after="0"/>
      </w:pPr>
    </w:p>
    <w:p>
      <w:pPr>
        <w:pStyle w:val="Heading2"/>
      </w:pPr>
      <w:r>
        <w:t>3.2 Process knowledge chunk index</w:t>
      </w:r>
    </w:p>
    <w:p>
      <w:r>
        <w:t>Every retrievable item must carry tenant_id and process_id. The same shared index may contain many processes, but a query is executed with an exact process filter. This means a similar chunk from another process is excluded before ranking.</w:t>
      </w:r>
    </w:p>
    <w:tbl>
      <w:tblPr>
        <w:tblW w:type="auto" w:w="0"/>
        <w:jc w:val="center"/>
        <w:tblLayout w:type="fixed"/>
        <w:tblLook w:firstColumn="1" w:firstRow="1" w:lastColumn="0" w:lastRow="0" w:noHBand="0" w:noVBand="1" w:val="04A0"/>
      </w:tblPr>
      <w:tblGrid>
        <w:gridCol w:w="9792"/>
      </w:tblGrid>
      <w:tr>
        <w:tc>
          <w:tcPr>
            <w:tcW w:type="dxa" w:w="9720"/>
            <w:shd w:fill="FFF2CC"/>
            <w:tcMar>
              <w:top w:w="120" w:type="dxa"/>
              <w:start w:w="160" w:type="dxa"/>
              <w:bottom w:w="120" w:type="dxa"/>
              <w:end w:w="160" w:type="dxa"/>
            </w:tcMar>
          </w:tcPr>
          <w:p>
            <w:r>
              <w:rPr>
                <w:b/>
                <w:color w:val="17365D"/>
              </w:rPr>
              <w:t>Non-negotiable rule</w:t>
              <w:br/>
            </w:r>
            <w:r>
              <w:rPr>
                <w:color w:val="243447"/>
              </w:rPr>
              <w:t>Never retrieve globally and ask the LLM to ignore other processes. Apply tenant_id and process_id filters to both BM25 and vector retrieval at the datastore level.</w:t>
            </w:r>
          </w:p>
        </w:tc>
      </w:tr>
    </w:tbl>
    <w:p>
      <w:pPr>
        <w:spacing w:after="0"/>
      </w:pPr>
    </w:p>
    <w:p>
      <w:pPr>
        <w:pStyle w:val="Heading1"/>
      </w:pPr>
      <w:r>
        <w:t>4. Running example: two similar refund processes</w:t>
      </w:r>
    </w:p>
    <w:p>
      <w:r>
        <w:t>The following example will be used throughout the document.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F4E78"/>
            <w:tcMar>
              <w:top w:w="100" w:type="dxa"/>
              <w:start w:w="120" w:type="dxa"/>
              <w:bottom w:w="100" w:type="dxa"/>
              <w:end w:w="120" w:type="dxa"/>
            </w:tcMar>
            <w:vAlign w:val="center"/>
          </w:tcPr>
          <w:p>
            <w:r>
              <w:rPr>
                <w:b/>
                <w:color w:val="FFFFFF"/>
                <w:sz w:val="18"/>
              </w:rPr>
              <w:t>Attribute</w:t>
            </w:r>
          </w:p>
        </w:tc>
        <w:tc>
          <w:tcPr>
            <w:tcW w:type="dxa" w:w="3744"/>
            <w:shd w:fill="1F4E78"/>
            <w:tcMar>
              <w:top w:w="100" w:type="dxa"/>
              <w:start w:w="120" w:type="dxa"/>
              <w:bottom w:w="100" w:type="dxa"/>
              <w:end w:w="120" w:type="dxa"/>
            </w:tcMar>
            <w:vAlign w:val="center"/>
          </w:tcPr>
          <w:p>
            <w:r>
              <w:rPr>
                <w:b/>
                <w:color w:val="FFFFFF"/>
                <w:sz w:val="18"/>
              </w:rPr>
              <w:t>Credit Balance Refund</w:t>
            </w:r>
          </w:p>
        </w:tc>
        <w:tc>
          <w:tcPr>
            <w:tcW w:type="dxa" w:w="3744"/>
            <w:shd w:fill="1F4E78"/>
            <w:tcMar>
              <w:top w:w="100" w:type="dxa"/>
              <w:start w:w="120" w:type="dxa"/>
              <w:bottom w:w="100" w:type="dxa"/>
              <w:end w:w="120" w:type="dxa"/>
            </w:tcMar>
            <w:vAlign w:val="center"/>
          </w:tcPr>
          <w:p>
            <w:r>
              <w:rPr>
                <w:b/>
                <w:color w:val="FFFFFF"/>
                <w:sz w:val="18"/>
              </w:rPr>
              <w:t>Vendor Payment Refund</w:t>
            </w:r>
          </w:p>
        </w:tc>
      </w:tr>
      <w:tr>
        <w:trPr>
          <w:cantSplit/>
        </w:trPr>
        <w:tc>
          <w:tcPr>
            <w:tcW w:type="dxa" w:w="3264"/>
            <w:tcMar>
              <w:top w:w="100" w:type="dxa"/>
              <w:start w:w="120" w:type="dxa"/>
              <w:bottom w:w="100" w:type="dxa"/>
              <w:end w:w="120" w:type="dxa"/>
            </w:tcMar>
            <w:vAlign w:val="top"/>
          </w:tcPr>
          <w:p>
            <w:pPr>
              <w:spacing w:after="0"/>
            </w:pPr>
            <w:r>
              <w:rPr>
                <w:color w:val="243447"/>
                <w:sz w:val="17"/>
              </w:rPr>
              <w:t>Process ID</w:t>
            </w:r>
          </w:p>
        </w:tc>
        <w:tc>
          <w:tcPr>
            <w:tcW w:type="dxa" w:w="3264"/>
            <w:tcMar>
              <w:top w:w="100" w:type="dxa"/>
              <w:start w:w="120" w:type="dxa"/>
              <w:bottom w:w="100" w:type="dxa"/>
              <w:end w:w="120" w:type="dxa"/>
            </w:tcMar>
            <w:vAlign w:val="top"/>
          </w:tcPr>
          <w:p>
            <w:pPr>
              <w:spacing w:after="0"/>
            </w:pPr>
            <w:r>
              <w:rPr>
                <w:color w:val="243447"/>
                <w:sz w:val="17"/>
              </w:rPr>
              <w:t>PROC_1234</w:t>
            </w:r>
          </w:p>
        </w:tc>
        <w:tc>
          <w:tcPr>
            <w:tcW w:type="dxa" w:w="3264"/>
            <w:tcMar>
              <w:top w:w="100" w:type="dxa"/>
              <w:start w:w="120" w:type="dxa"/>
              <w:bottom w:w="100" w:type="dxa"/>
              <w:end w:w="120" w:type="dxa"/>
            </w:tcMar>
            <w:vAlign w:val="top"/>
          </w:tcPr>
          <w:p>
            <w:pPr>
              <w:spacing w:after="0"/>
            </w:pPr>
            <w:r>
              <w:rPr>
                <w:color w:val="243447"/>
                <w:sz w:val="17"/>
              </w:rPr>
              <w:t>PROC_5678</w:t>
            </w:r>
          </w:p>
        </w:tc>
      </w:tr>
      <w:tr>
        <w:trPr>
          <w:cantSplit/>
        </w:trPr>
        <w:tc>
          <w:tcPr>
            <w:tcW w:type="dxa" w:w="3264"/>
            <w:tcMar>
              <w:top w:w="100" w:type="dxa"/>
              <w:start w:w="120" w:type="dxa"/>
              <w:bottom w:w="100" w:type="dxa"/>
              <w:end w:w="120" w:type="dxa"/>
            </w:tcMar>
            <w:vAlign w:val="top"/>
          </w:tcPr>
          <w:p>
            <w:pPr>
              <w:spacing w:after="0"/>
            </w:pPr>
            <w:r>
              <w:rPr>
                <w:color w:val="243447"/>
                <w:sz w:val="17"/>
              </w:rPr>
              <w:t>Aliases</w:t>
            </w:r>
          </w:p>
        </w:tc>
        <w:tc>
          <w:tcPr>
            <w:tcW w:type="dxa" w:w="3264"/>
            <w:tcMar>
              <w:top w:w="100" w:type="dxa"/>
              <w:start w:w="120" w:type="dxa"/>
              <w:bottom w:w="100" w:type="dxa"/>
              <w:end w:w="120" w:type="dxa"/>
            </w:tcMar>
            <w:vAlign w:val="top"/>
          </w:tcPr>
          <w:p>
            <w:pPr>
              <w:spacing w:after="0"/>
            </w:pPr>
            <w:r>
              <w:rPr>
                <w:color w:val="243447"/>
                <w:sz w:val="17"/>
              </w:rPr>
              <w:t>CBR; Credit Refund</w:t>
            </w:r>
          </w:p>
        </w:tc>
        <w:tc>
          <w:tcPr>
            <w:tcW w:type="dxa" w:w="3264"/>
            <w:tcMar>
              <w:top w:w="100" w:type="dxa"/>
              <w:start w:w="120" w:type="dxa"/>
              <w:bottom w:w="100" w:type="dxa"/>
              <w:end w:w="120" w:type="dxa"/>
            </w:tcMar>
            <w:vAlign w:val="top"/>
          </w:tcPr>
          <w:p>
            <w:pPr>
              <w:spacing w:after="0"/>
            </w:pPr>
            <w:r>
              <w:rPr>
                <w:color w:val="243447"/>
                <w:sz w:val="17"/>
              </w:rPr>
              <w:t>VPR; Vendor Refund</w:t>
            </w:r>
          </w:p>
        </w:tc>
      </w:tr>
      <w:tr>
        <w:trPr>
          <w:cantSplit/>
        </w:trPr>
        <w:tc>
          <w:tcPr>
            <w:tcW w:type="dxa" w:w="3264"/>
            <w:tcMar>
              <w:top w:w="100" w:type="dxa"/>
              <w:start w:w="120" w:type="dxa"/>
              <w:bottom w:w="100" w:type="dxa"/>
              <w:end w:w="120" w:type="dxa"/>
            </w:tcMar>
            <w:vAlign w:val="top"/>
          </w:tcPr>
          <w:p>
            <w:pPr>
              <w:spacing w:after="0"/>
            </w:pPr>
            <w:r>
              <w:rPr>
                <w:color w:val="243447"/>
                <w:sz w:val="17"/>
              </w:rPr>
              <w:t>Approval threshold</w:t>
            </w:r>
          </w:p>
        </w:tc>
        <w:tc>
          <w:tcPr>
            <w:tcW w:type="dxa" w:w="3264"/>
            <w:tcMar>
              <w:top w:w="100" w:type="dxa"/>
              <w:start w:w="120" w:type="dxa"/>
              <w:bottom w:w="100" w:type="dxa"/>
              <w:end w:w="120" w:type="dxa"/>
            </w:tcMar>
            <w:vAlign w:val="top"/>
          </w:tcPr>
          <w:p>
            <w:pPr>
              <w:spacing w:after="0"/>
            </w:pPr>
            <w:r>
              <w:rPr>
                <w:color w:val="243447"/>
                <w:sz w:val="17"/>
              </w:rPr>
              <w:t>$10,000</w:t>
            </w:r>
          </w:p>
        </w:tc>
        <w:tc>
          <w:tcPr>
            <w:tcW w:type="dxa" w:w="3264"/>
            <w:tcMar>
              <w:top w:w="100" w:type="dxa"/>
              <w:start w:w="120" w:type="dxa"/>
              <w:bottom w:w="100" w:type="dxa"/>
              <w:end w:w="120" w:type="dxa"/>
            </w:tcMar>
            <w:vAlign w:val="top"/>
          </w:tcPr>
          <w:p>
            <w:pPr>
              <w:spacing w:after="0"/>
            </w:pPr>
            <w:r>
              <w:rPr>
                <w:color w:val="243447"/>
                <w:sz w:val="17"/>
              </w:rPr>
              <w:t>$5,000</w:t>
            </w:r>
          </w:p>
        </w:tc>
      </w:tr>
      <w:tr>
        <w:trPr>
          <w:cantSplit/>
        </w:trPr>
        <w:tc>
          <w:tcPr>
            <w:tcW w:type="dxa" w:w="3264"/>
            <w:tcMar>
              <w:top w:w="100" w:type="dxa"/>
              <w:start w:w="120" w:type="dxa"/>
              <w:bottom w:w="100" w:type="dxa"/>
              <w:end w:w="120" w:type="dxa"/>
            </w:tcMar>
            <w:vAlign w:val="top"/>
          </w:tcPr>
          <w:p>
            <w:pPr>
              <w:spacing w:after="0"/>
            </w:pPr>
            <w:r>
              <w:rPr>
                <w:color w:val="243447"/>
                <w:sz w:val="17"/>
              </w:rPr>
              <w:t>Approver</w:t>
            </w:r>
          </w:p>
        </w:tc>
        <w:tc>
          <w:tcPr>
            <w:tcW w:type="dxa" w:w="3264"/>
            <w:tcMar>
              <w:top w:w="100" w:type="dxa"/>
              <w:start w:w="120" w:type="dxa"/>
              <w:bottom w:w="100" w:type="dxa"/>
              <w:end w:w="120" w:type="dxa"/>
            </w:tcMar>
            <w:vAlign w:val="top"/>
          </w:tcPr>
          <w:p>
            <w:pPr>
              <w:spacing w:after="0"/>
            </w:pPr>
            <w:r>
              <w:rPr>
                <w:color w:val="243447"/>
                <w:sz w:val="17"/>
              </w:rPr>
              <w:t>Refund Operations Manager</w:t>
            </w:r>
          </w:p>
        </w:tc>
        <w:tc>
          <w:tcPr>
            <w:tcW w:type="dxa" w:w="3264"/>
            <w:tcMar>
              <w:top w:w="100" w:type="dxa"/>
              <w:start w:w="120" w:type="dxa"/>
              <w:bottom w:w="100" w:type="dxa"/>
              <w:end w:w="120" w:type="dxa"/>
            </w:tcMar>
            <w:vAlign w:val="top"/>
          </w:tcPr>
          <w:p>
            <w:pPr>
              <w:spacing w:after="0"/>
            </w:pPr>
            <w:r>
              <w:rPr>
                <w:color w:val="243447"/>
                <w:sz w:val="17"/>
              </w:rPr>
              <w:t>Vendor Payment Manager</w:t>
            </w:r>
          </w:p>
        </w:tc>
      </w:tr>
      <w:tr>
        <w:trPr>
          <w:cantSplit/>
        </w:trPr>
        <w:tc>
          <w:tcPr>
            <w:tcW w:type="dxa" w:w="3264"/>
            <w:tcMar>
              <w:top w:w="100" w:type="dxa"/>
              <w:start w:w="120" w:type="dxa"/>
              <w:bottom w:w="100" w:type="dxa"/>
              <w:end w:w="120" w:type="dxa"/>
            </w:tcMar>
            <w:vAlign w:val="top"/>
          </w:tcPr>
          <w:p>
            <w:pPr>
              <w:spacing w:after="0"/>
            </w:pPr>
            <w:r>
              <w:rPr>
                <w:color w:val="243447"/>
                <w:sz w:val="17"/>
              </w:rPr>
              <w:t>Similar terms</w:t>
            </w:r>
          </w:p>
        </w:tc>
        <w:tc>
          <w:tcPr>
            <w:tcW w:type="dxa" w:w="3264"/>
            <w:tcMar>
              <w:top w:w="100" w:type="dxa"/>
              <w:start w:w="120" w:type="dxa"/>
              <w:bottom w:w="100" w:type="dxa"/>
              <w:end w:w="120" w:type="dxa"/>
            </w:tcMar>
            <w:vAlign w:val="top"/>
          </w:tcPr>
          <w:p>
            <w:pPr>
              <w:spacing w:after="0"/>
            </w:pPr>
            <w:r>
              <w:rPr>
                <w:color w:val="243447"/>
                <w:sz w:val="17"/>
              </w:rPr>
              <w:t>refund, approval, manager, threshold</w:t>
            </w:r>
          </w:p>
        </w:tc>
        <w:tc>
          <w:tcPr>
            <w:tcW w:type="dxa" w:w="3264"/>
            <w:tcMar>
              <w:top w:w="100" w:type="dxa"/>
              <w:start w:w="120" w:type="dxa"/>
              <w:bottom w:w="100" w:type="dxa"/>
              <w:end w:w="120" w:type="dxa"/>
            </w:tcMar>
            <w:vAlign w:val="top"/>
          </w:tcPr>
          <w:p>
            <w:pPr>
              <w:spacing w:after="0"/>
            </w:pPr>
            <w:r>
              <w:rPr>
                <w:color w:val="243447"/>
                <w:sz w:val="17"/>
              </w:rPr>
              <w:t>refund, approval, manager, threshold</w:t>
            </w:r>
          </w:p>
        </w:tc>
      </w:tr>
    </w:tbl>
    <w:p>
      <w:pPr>
        <w:spacing w:after="0"/>
      </w:pPr>
    </w:p>
    <w:p>
      <w:r>
        <w:t>A vector embedding will correctly recognize that both rules discuss high-value refund approval. It cannot, by similarity alone, guarantee which process is intended. The process_id filter provides that guarantee.</w:t>
      </w:r>
    </w:p>
    <w:p>
      <w:pPr>
        <w:pStyle w:val="Heading1"/>
      </w:pPr>
      <w:r>
        <w:t>5. Document ingestion and structure-aware chunking</w:t>
      </w:r>
    </w:p>
    <w:p>
      <w:r>
        <w:t>A document should not be stored as one large vector, and it should not be divided only by a fixed token counter. The parser should first recover the document's hierarchy: title, headings, subsections, paragraphs, numbered procedures, tables, figures, appendices, and pages. Chunk boundaries should follow complete business ideas.</w:t>
      </w:r>
    </w:p>
    <w:p>
      <w:pPr>
        <w:pStyle w:val="Heading2"/>
      </w:pPr>
      <w:r>
        <w:t>5.1 Example source SOP</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Credit Balance Refund Operations SOP – Version 4.2</w:t>
              <w:br/>
              <w:br/>
              <w:t>1. Purpose</w:t>
              <w:br/>
              <w:t>The process returns excess customer credit balances.</w:t>
              <w:br/>
              <w:br/>
              <w:t>2. Customer Validation</w:t>
              <w:br/>
              <w:t>The customer account must be active and the balance validated in Triumph.</w:t>
              <w:br/>
              <w:br/>
              <w:t>3. Standard Refund Approval</w:t>
              <w:br/>
              <w:t>Refunds of $10,000 or less may be approved by a Refund Specialist.</w:t>
              <w:br/>
              <w:br/>
              <w:t>4. High-Value Refund Approval</w:t>
              <w:br/>
              <w:t>Refunds above $10,000 require approval from the Refund Operations Manager.</w:t>
              <w:br/>
              <w:t>The approval must be recorded before the refund is issued.</w:t>
              <w:br/>
              <w:br/>
              <w:t>5. Rejected Refunds</w:t>
              <w:br/>
              <w:t>Requests that fail validation must be sent to Manual Review.</w:t>
            </w:r>
          </w:p>
        </w:tc>
      </w:tr>
    </w:tbl>
    <w:p>
      <w:pPr>
        <w:spacing w:after="0"/>
      </w:pPr>
    </w:p>
    <w:p>
      <w:pPr>
        <w:pStyle w:val="Heading2"/>
      </w:pPr>
      <w:r>
        <w:t>5.2 Correct chunks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24"/>
            <w:shd w:fill="1F4E78"/>
            <w:tcMar>
              <w:top w:w="100" w:type="dxa"/>
              <w:start w:w="120" w:type="dxa"/>
              <w:bottom w:w="100" w:type="dxa"/>
              <w:end w:w="120" w:type="dxa"/>
            </w:tcMar>
            <w:vAlign w:val="center"/>
          </w:tcPr>
          <w:p>
            <w:r>
              <w:rPr>
                <w:b/>
                <w:color w:val="FFFFFF"/>
                <w:sz w:val="18"/>
              </w:rPr>
              <w:t>Chunk</w:t>
            </w:r>
          </w:p>
        </w:tc>
        <w:tc>
          <w:tcPr>
            <w:tcW w:type="dxa" w:w="3240"/>
            <w:shd w:fill="1F4E78"/>
            <w:tcMar>
              <w:top w:w="100" w:type="dxa"/>
              <w:start w:w="120" w:type="dxa"/>
              <w:bottom w:w="100" w:type="dxa"/>
              <w:end w:w="120" w:type="dxa"/>
            </w:tcMar>
            <w:vAlign w:val="center"/>
          </w:tcPr>
          <w:p>
            <w:r>
              <w:rPr>
                <w:b/>
                <w:color w:val="FFFFFF"/>
                <w:sz w:val="18"/>
              </w:rPr>
              <w:t>Business unit</w:t>
            </w:r>
          </w:p>
        </w:tc>
        <w:tc>
          <w:tcPr>
            <w:tcW w:type="dxa" w:w="5256"/>
            <w:shd w:fill="1F4E78"/>
            <w:tcMar>
              <w:top w:w="100" w:type="dxa"/>
              <w:start w:w="120" w:type="dxa"/>
              <w:bottom w:w="100" w:type="dxa"/>
              <w:end w:w="120" w:type="dxa"/>
            </w:tcMar>
            <w:vAlign w:val="center"/>
          </w:tcPr>
          <w:p>
            <w:r>
              <w:rPr>
                <w:b/>
                <w:color w:val="FFFFFF"/>
                <w:sz w:val="18"/>
              </w:rPr>
              <w:t>Content retained together</w:t>
            </w:r>
          </w:p>
        </w:tc>
      </w:tr>
      <w:tr>
        <w:trPr>
          <w:cantSplit/>
        </w:trPr>
        <w:tc>
          <w:tcPr>
            <w:tcW w:type="dxa" w:w="3264"/>
            <w:tcMar>
              <w:top w:w="100" w:type="dxa"/>
              <w:start w:w="120" w:type="dxa"/>
              <w:bottom w:w="100" w:type="dxa"/>
              <w:end w:w="120" w:type="dxa"/>
            </w:tcMar>
            <w:vAlign w:val="top"/>
          </w:tcPr>
          <w:p>
            <w:pPr>
              <w:spacing w:after="0"/>
            </w:pPr>
            <w:r>
              <w:rPr>
                <w:color w:val="243447"/>
                <w:sz w:val="17"/>
              </w:rPr>
              <w:t>CH_01</w:t>
            </w:r>
          </w:p>
        </w:tc>
        <w:tc>
          <w:tcPr>
            <w:tcW w:type="dxa" w:w="3264"/>
            <w:tcMar>
              <w:top w:w="100" w:type="dxa"/>
              <w:start w:w="120" w:type="dxa"/>
              <w:bottom w:w="100" w:type="dxa"/>
              <w:end w:w="120" w:type="dxa"/>
            </w:tcMar>
            <w:vAlign w:val="top"/>
          </w:tcPr>
          <w:p>
            <w:pPr>
              <w:spacing w:after="0"/>
            </w:pPr>
            <w:r>
              <w:rPr>
                <w:color w:val="243447"/>
                <w:sz w:val="17"/>
              </w:rPr>
              <w:t>Purpose</w:t>
            </w:r>
          </w:p>
        </w:tc>
        <w:tc>
          <w:tcPr>
            <w:tcW w:type="dxa" w:w="3264"/>
            <w:tcMar>
              <w:top w:w="100" w:type="dxa"/>
              <w:start w:w="120" w:type="dxa"/>
              <w:bottom w:w="100" w:type="dxa"/>
              <w:end w:w="120" w:type="dxa"/>
            </w:tcMar>
            <w:vAlign w:val="top"/>
          </w:tcPr>
          <w:p>
            <w:pPr>
              <w:spacing w:after="0"/>
            </w:pPr>
            <w:r>
              <w:rPr>
                <w:color w:val="243447"/>
                <w:sz w:val="17"/>
              </w:rPr>
              <w:t>Why the process exists.</w:t>
            </w:r>
          </w:p>
        </w:tc>
      </w:tr>
      <w:tr>
        <w:trPr>
          <w:cantSplit/>
        </w:trPr>
        <w:tc>
          <w:tcPr>
            <w:tcW w:type="dxa" w:w="3264"/>
            <w:tcMar>
              <w:top w:w="100" w:type="dxa"/>
              <w:start w:w="120" w:type="dxa"/>
              <w:bottom w:w="100" w:type="dxa"/>
              <w:end w:w="120" w:type="dxa"/>
            </w:tcMar>
            <w:vAlign w:val="top"/>
          </w:tcPr>
          <w:p>
            <w:pPr>
              <w:spacing w:after="0"/>
            </w:pPr>
            <w:r>
              <w:rPr>
                <w:color w:val="243447"/>
                <w:sz w:val="17"/>
              </w:rPr>
              <w:t>CH_02</w:t>
            </w:r>
          </w:p>
        </w:tc>
        <w:tc>
          <w:tcPr>
            <w:tcW w:type="dxa" w:w="3264"/>
            <w:tcMar>
              <w:top w:w="100" w:type="dxa"/>
              <w:start w:w="120" w:type="dxa"/>
              <w:bottom w:w="100" w:type="dxa"/>
              <w:end w:w="120" w:type="dxa"/>
            </w:tcMar>
            <w:vAlign w:val="top"/>
          </w:tcPr>
          <w:p>
            <w:pPr>
              <w:spacing w:after="0"/>
            </w:pPr>
            <w:r>
              <w:rPr>
                <w:color w:val="243447"/>
                <w:sz w:val="17"/>
              </w:rPr>
              <w:t>Customer Validation</w:t>
            </w:r>
          </w:p>
        </w:tc>
        <w:tc>
          <w:tcPr>
            <w:tcW w:type="dxa" w:w="3264"/>
            <w:tcMar>
              <w:top w:w="100" w:type="dxa"/>
              <w:start w:w="120" w:type="dxa"/>
              <w:bottom w:w="100" w:type="dxa"/>
              <w:end w:w="120" w:type="dxa"/>
            </w:tcMar>
            <w:vAlign w:val="top"/>
          </w:tcPr>
          <w:p>
            <w:pPr>
              <w:spacing w:after="0"/>
            </w:pPr>
            <w:r>
              <w:rPr>
                <w:color w:val="243447"/>
                <w:sz w:val="17"/>
              </w:rPr>
              <w:t>Validation requirement and system.</w:t>
            </w:r>
          </w:p>
        </w:tc>
      </w:tr>
      <w:tr>
        <w:trPr>
          <w:cantSplit/>
        </w:trPr>
        <w:tc>
          <w:tcPr>
            <w:tcW w:type="dxa" w:w="3264"/>
            <w:tcMar>
              <w:top w:w="100" w:type="dxa"/>
              <w:start w:w="120" w:type="dxa"/>
              <w:bottom w:w="100" w:type="dxa"/>
              <w:end w:w="120" w:type="dxa"/>
            </w:tcMar>
            <w:vAlign w:val="top"/>
          </w:tcPr>
          <w:p>
            <w:pPr>
              <w:spacing w:after="0"/>
            </w:pPr>
            <w:r>
              <w:rPr>
                <w:color w:val="243447"/>
                <w:sz w:val="17"/>
              </w:rPr>
              <w:t>CH_03</w:t>
            </w:r>
          </w:p>
        </w:tc>
        <w:tc>
          <w:tcPr>
            <w:tcW w:type="dxa" w:w="3264"/>
            <w:tcMar>
              <w:top w:w="100" w:type="dxa"/>
              <w:start w:w="120" w:type="dxa"/>
              <w:bottom w:w="100" w:type="dxa"/>
              <w:end w:w="120" w:type="dxa"/>
            </w:tcMar>
            <w:vAlign w:val="top"/>
          </w:tcPr>
          <w:p>
            <w:pPr>
              <w:spacing w:after="0"/>
            </w:pPr>
            <w:r>
              <w:rPr>
                <w:color w:val="243447"/>
                <w:sz w:val="17"/>
              </w:rPr>
              <w:t>Standard Refund Approval</w:t>
            </w:r>
          </w:p>
        </w:tc>
        <w:tc>
          <w:tcPr>
            <w:tcW w:type="dxa" w:w="3264"/>
            <w:tcMar>
              <w:top w:w="100" w:type="dxa"/>
              <w:start w:w="120" w:type="dxa"/>
              <w:bottom w:w="100" w:type="dxa"/>
              <w:end w:w="120" w:type="dxa"/>
            </w:tcMar>
            <w:vAlign w:val="top"/>
          </w:tcPr>
          <w:p>
            <w:pPr>
              <w:spacing w:after="0"/>
            </w:pPr>
            <w:r>
              <w:rPr>
                <w:color w:val="243447"/>
                <w:sz w:val="17"/>
              </w:rPr>
              <w:t>Threshold ≤ $10,000 and Refund Specialist authority.</w:t>
            </w:r>
          </w:p>
        </w:tc>
      </w:tr>
      <w:tr>
        <w:trPr>
          <w:cantSplit/>
        </w:trPr>
        <w:tc>
          <w:tcPr>
            <w:tcW w:type="dxa" w:w="3264"/>
            <w:tcMar>
              <w:top w:w="100" w:type="dxa"/>
              <w:start w:w="120" w:type="dxa"/>
              <w:bottom w:w="100" w:type="dxa"/>
              <w:end w:w="120" w:type="dxa"/>
            </w:tcMar>
            <w:vAlign w:val="top"/>
          </w:tcPr>
          <w:p>
            <w:pPr>
              <w:spacing w:after="0"/>
            </w:pPr>
            <w:r>
              <w:rPr>
                <w:color w:val="243447"/>
                <w:sz w:val="17"/>
              </w:rPr>
              <w:t>CH_04</w:t>
            </w:r>
          </w:p>
        </w:tc>
        <w:tc>
          <w:tcPr>
            <w:tcW w:type="dxa" w:w="3264"/>
            <w:tcMar>
              <w:top w:w="100" w:type="dxa"/>
              <w:start w:w="120" w:type="dxa"/>
              <w:bottom w:w="100" w:type="dxa"/>
              <w:end w:w="120" w:type="dxa"/>
            </w:tcMar>
            <w:vAlign w:val="top"/>
          </w:tcPr>
          <w:p>
            <w:pPr>
              <w:spacing w:after="0"/>
            </w:pPr>
            <w:r>
              <w:rPr>
                <w:color w:val="243447"/>
                <w:sz w:val="17"/>
              </w:rPr>
              <w:t>High-Value Refund Approval</w:t>
            </w:r>
          </w:p>
        </w:tc>
        <w:tc>
          <w:tcPr>
            <w:tcW w:type="dxa" w:w="3264"/>
            <w:tcMar>
              <w:top w:w="100" w:type="dxa"/>
              <w:start w:w="120" w:type="dxa"/>
              <w:bottom w:w="100" w:type="dxa"/>
              <w:end w:w="120" w:type="dxa"/>
            </w:tcMar>
            <w:vAlign w:val="top"/>
          </w:tcPr>
          <w:p>
            <w:pPr>
              <w:spacing w:after="0"/>
            </w:pPr>
            <w:r>
              <w:rPr>
                <w:color w:val="243447"/>
                <w:sz w:val="17"/>
              </w:rPr>
              <w:t>Threshold &gt; $10,000, approver, and required timing.</w:t>
            </w:r>
          </w:p>
        </w:tc>
      </w:tr>
      <w:tr>
        <w:trPr>
          <w:cantSplit/>
        </w:trPr>
        <w:tc>
          <w:tcPr>
            <w:tcW w:type="dxa" w:w="3264"/>
            <w:tcMar>
              <w:top w:w="100" w:type="dxa"/>
              <w:start w:w="120" w:type="dxa"/>
              <w:bottom w:w="100" w:type="dxa"/>
              <w:end w:w="120" w:type="dxa"/>
            </w:tcMar>
            <w:vAlign w:val="top"/>
          </w:tcPr>
          <w:p>
            <w:pPr>
              <w:spacing w:after="0"/>
            </w:pPr>
            <w:r>
              <w:rPr>
                <w:color w:val="243447"/>
                <w:sz w:val="17"/>
              </w:rPr>
              <w:t>CH_05</w:t>
            </w:r>
          </w:p>
        </w:tc>
        <w:tc>
          <w:tcPr>
            <w:tcW w:type="dxa" w:w="3264"/>
            <w:tcMar>
              <w:top w:w="100" w:type="dxa"/>
              <w:start w:w="120" w:type="dxa"/>
              <w:bottom w:w="100" w:type="dxa"/>
              <w:end w:w="120" w:type="dxa"/>
            </w:tcMar>
            <w:vAlign w:val="top"/>
          </w:tcPr>
          <w:p>
            <w:pPr>
              <w:spacing w:after="0"/>
            </w:pPr>
            <w:r>
              <w:rPr>
                <w:color w:val="243447"/>
                <w:sz w:val="17"/>
              </w:rPr>
              <w:t>Rejected Refunds</w:t>
            </w:r>
          </w:p>
        </w:tc>
        <w:tc>
          <w:tcPr>
            <w:tcW w:type="dxa" w:w="3264"/>
            <w:tcMar>
              <w:top w:w="100" w:type="dxa"/>
              <w:start w:w="120" w:type="dxa"/>
              <w:bottom w:w="100" w:type="dxa"/>
              <w:end w:w="120" w:type="dxa"/>
            </w:tcMar>
            <w:vAlign w:val="top"/>
          </w:tcPr>
          <w:p>
            <w:pPr>
              <w:spacing w:after="0"/>
            </w:pPr>
            <w:r>
              <w:rPr>
                <w:color w:val="243447"/>
                <w:sz w:val="17"/>
              </w:rPr>
              <w:t>Failure condition and Manual Review routing.</w:t>
            </w:r>
          </w:p>
        </w:tc>
      </w:tr>
    </w:tbl>
    <w:p>
      <w:pPr>
        <w:spacing w:after="0"/>
      </w:pPr>
    </w:p>
    <w:p>
      <w:r>
        <w:t>CH_04 is a strong chunk because the condition, amount, approver, and timing remain together. Blindly cutting the document at a token boundary could put “above $10,000” in one chunk and “Refund Operations Manager” in another, weakening retrieval and answer quality.</w:t>
      </w:r>
    </w:p>
    <w:p>
      <w:pPr>
        <w:pStyle w:val="Heading2"/>
      </w:pPr>
      <w:r>
        <w:t>5.3 Chunk-size guidance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15"/>
            <w:shd w:fill="1F4E78"/>
            <w:tcMar>
              <w:top w:w="100" w:type="dxa"/>
              <w:start w:w="120" w:type="dxa"/>
              <w:bottom w:w="100" w:type="dxa"/>
              <w:end w:w="120" w:type="dxa"/>
            </w:tcMar>
            <w:vAlign w:val="center"/>
          </w:tcPr>
          <w:p>
            <w:r>
              <w:rPr>
                <w:b/>
                <w:color w:val="FFFFFF"/>
                <w:sz w:val="18"/>
              </w:rPr>
              <w:t>Content type</w:t>
            </w:r>
          </w:p>
        </w:tc>
        <w:tc>
          <w:tcPr>
            <w:tcW w:type="dxa" w:w="2592"/>
            <w:shd w:fill="1F4E78"/>
            <w:tcMar>
              <w:top w:w="100" w:type="dxa"/>
              <w:start w:w="120" w:type="dxa"/>
              <w:bottom w:w="100" w:type="dxa"/>
              <w:end w:w="120" w:type="dxa"/>
            </w:tcMar>
            <w:vAlign w:val="center"/>
          </w:tcPr>
          <w:p>
            <w:r>
              <w:rPr>
                <w:b/>
                <w:color w:val="FFFFFF"/>
                <w:sz w:val="18"/>
              </w:rPr>
              <w:t>Starting guidance</w:t>
            </w:r>
          </w:p>
        </w:tc>
        <w:tc>
          <w:tcPr>
            <w:tcW w:type="dxa" w:w="5112"/>
            <w:shd w:fill="1F4E78"/>
            <w:tcMar>
              <w:top w:w="100" w:type="dxa"/>
              <w:start w:w="120" w:type="dxa"/>
              <w:bottom w:w="100" w:type="dxa"/>
              <w:end w:w="120" w:type="dxa"/>
            </w:tcMar>
            <w:vAlign w:val="center"/>
          </w:tcPr>
          <w:p>
            <w:r>
              <w:rPr>
                <w:b/>
                <w:color w:val="FFFFFF"/>
                <w:sz w:val="18"/>
              </w:rPr>
              <w:t>Important rule</w:t>
            </w:r>
          </w:p>
        </w:tc>
      </w:tr>
      <w:tr>
        <w:trPr>
          <w:cantSplit/>
        </w:trPr>
        <w:tc>
          <w:tcPr>
            <w:tcW w:type="dxa" w:w="3264"/>
            <w:tcMar>
              <w:top w:w="100" w:type="dxa"/>
              <w:start w:w="120" w:type="dxa"/>
              <w:bottom w:w="100" w:type="dxa"/>
              <w:end w:w="120" w:type="dxa"/>
            </w:tcMar>
            <w:vAlign w:val="top"/>
          </w:tcPr>
          <w:p>
            <w:pPr>
              <w:spacing w:after="0"/>
            </w:pPr>
            <w:r>
              <w:rPr>
                <w:color w:val="243447"/>
                <w:sz w:val="17"/>
              </w:rPr>
              <w:t>Normal prose</w:t>
            </w:r>
          </w:p>
        </w:tc>
        <w:tc>
          <w:tcPr>
            <w:tcW w:type="dxa" w:w="3264"/>
            <w:tcMar>
              <w:top w:w="100" w:type="dxa"/>
              <w:start w:w="120" w:type="dxa"/>
              <w:bottom w:w="100" w:type="dxa"/>
              <w:end w:w="120" w:type="dxa"/>
            </w:tcMar>
            <w:vAlign w:val="top"/>
          </w:tcPr>
          <w:p>
            <w:pPr>
              <w:spacing w:after="0"/>
            </w:pPr>
            <w:r>
              <w:rPr>
                <w:color w:val="243447"/>
                <w:sz w:val="17"/>
              </w:rPr>
              <w:t>Approximately 300–700 tokens</w:t>
            </w:r>
          </w:p>
        </w:tc>
        <w:tc>
          <w:tcPr>
            <w:tcW w:type="dxa" w:w="3264"/>
            <w:tcMar>
              <w:top w:w="100" w:type="dxa"/>
              <w:start w:w="120" w:type="dxa"/>
              <w:bottom w:w="100" w:type="dxa"/>
              <w:end w:w="120" w:type="dxa"/>
            </w:tcMar>
            <w:vAlign w:val="top"/>
          </w:tcPr>
          <w:p>
            <w:pPr>
              <w:spacing w:after="0"/>
            </w:pPr>
            <w:r>
              <w:rPr>
                <w:color w:val="243447"/>
                <w:sz w:val="17"/>
              </w:rPr>
              <w:t>Prefer a complete subsection or business concept.</w:t>
            </w:r>
          </w:p>
        </w:tc>
      </w:tr>
      <w:tr>
        <w:trPr>
          <w:cantSplit/>
        </w:trPr>
        <w:tc>
          <w:tcPr>
            <w:tcW w:type="dxa" w:w="3264"/>
            <w:tcMar>
              <w:top w:w="100" w:type="dxa"/>
              <w:start w:w="120" w:type="dxa"/>
              <w:bottom w:w="100" w:type="dxa"/>
              <w:end w:w="120" w:type="dxa"/>
            </w:tcMar>
            <w:vAlign w:val="top"/>
          </w:tcPr>
          <w:p>
            <w:pPr>
              <w:spacing w:after="0"/>
            </w:pPr>
            <w:r>
              <w:rPr>
                <w:color w:val="243447"/>
                <w:sz w:val="17"/>
              </w:rPr>
              <w:t>Short policy clause</w:t>
            </w:r>
          </w:p>
        </w:tc>
        <w:tc>
          <w:tcPr>
            <w:tcW w:type="dxa" w:w="3264"/>
            <w:tcMar>
              <w:top w:w="100" w:type="dxa"/>
              <w:start w:w="120" w:type="dxa"/>
              <w:bottom w:w="100" w:type="dxa"/>
              <w:end w:w="120" w:type="dxa"/>
            </w:tcMar>
            <w:vAlign w:val="top"/>
          </w:tcPr>
          <w:p>
            <w:pPr>
              <w:spacing w:after="0"/>
            </w:pPr>
            <w:r>
              <w:rPr>
                <w:color w:val="243447"/>
                <w:sz w:val="17"/>
              </w:rPr>
              <w:t>May be below 300 tokens</w:t>
            </w:r>
          </w:p>
        </w:tc>
        <w:tc>
          <w:tcPr>
            <w:tcW w:type="dxa" w:w="3264"/>
            <w:tcMar>
              <w:top w:w="100" w:type="dxa"/>
              <w:start w:w="120" w:type="dxa"/>
              <w:bottom w:w="100" w:type="dxa"/>
              <w:end w:w="120" w:type="dxa"/>
            </w:tcMar>
            <w:vAlign w:val="top"/>
          </w:tcPr>
          <w:p>
            <w:pPr>
              <w:spacing w:after="0"/>
            </w:pPr>
            <w:r>
              <w:rPr>
                <w:color w:val="243447"/>
                <w:sz w:val="17"/>
              </w:rPr>
              <w:t>Do not pad it with unrelated content.</w:t>
            </w:r>
          </w:p>
        </w:tc>
      </w:tr>
      <w:tr>
        <w:trPr>
          <w:cantSplit/>
        </w:trPr>
        <w:tc>
          <w:tcPr>
            <w:tcW w:type="dxa" w:w="3264"/>
            <w:tcMar>
              <w:top w:w="100" w:type="dxa"/>
              <w:start w:w="120" w:type="dxa"/>
              <w:bottom w:w="100" w:type="dxa"/>
              <w:end w:w="120" w:type="dxa"/>
            </w:tcMar>
            <w:vAlign w:val="top"/>
          </w:tcPr>
          <w:p>
            <w:pPr>
              <w:spacing w:after="0"/>
            </w:pPr>
            <w:r>
              <w:rPr>
                <w:color w:val="243447"/>
                <w:sz w:val="17"/>
              </w:rPr>
              <w:t>Complex subsection</w:t>
            </w:r>
          </w:p>
        </w:tc>
        <w:tc>
          <w:tcPr>
            <w:tcW w:type="dxa" w:w="3264"/>
            <w:tcMar>
              <w:top w:w="100" w:type="dxa"/>
              <w:start w:w="120" w:type="dxa"/>
              <w:bottom w:w="100" w:type="dxa"/>
              <w:end w:w="120" w:type="dxa"/>
            </w:tcMar>
            <w:vAlign w:val="top"/>
          </w:tcPr>
          <w:p>
            <w:pPr>
              <w:spacing w:after="0"/>
            </w:pPr>
            <w:r>
              <w:rPr>
                <w:color w:val="243447"/>
                <w:sz w:val="17"/>
              </w:rPr>
              <w:t>May reach about 1,000 tokens</w:t>
            </w:r>
          </w:p>
        </w:tc>
        <w:tc>
          <w:tcPr>
            <w:tcW w:type="dxa" w:w="3264"/>
            <w:tcMar>
              <w:top w:w="100" w:type="dxa"/>
              <w:start w:w="120" w:type="dxa"/>
              <w:bottom w:w="100" w:type="dxa"/>
              <w:end w:w="120" w:type="dxa"/>
            </w:tcMar>
            <w:vAlign w:val="top"/>
          </w:tcPr>
          <w:p>
            <w:pPr>
              <w:spacing w:after="0"/>
            </w:pPr>
            <w:r>
              <w:rPr>
                <w:color w:val="243447"/>
                <w:sz w:val="17"/>
              </w:rPr>
              <w:t>Split only at meaningful subtopic boundaries.</w:t>
            </w:r>
          </w:p>
        </w:tc>
      </w:tr>
      <w:tr>
        <w:trPr>
          <w:cantSplit/>
        </w:trPr>
        <w:tc>
          <w:tcPr>
            <w:tcW w:type="dxa" w:w="3264"/>
            <w:tcMar>
              <w:top w:w="100" w:type="dxa"/>
              <w:start w:w="120" w:type="dxa"/>
              <w:bottom w:w="100" w:type="dxa"/>
              <w:end w:w="120" w:type="dxa"/>
            </w:tcMar>
            <w:vAlign w:val="top"/>
          </w:tcPr>
          <w:p>
            <w:pPr>
              <w:spacing w:after="0"/>
            </w:pPr>
            <w:r>
              <w:rPr>
                <w:color w:val="243447"/>
                <w:sz w:val="17"/>
              </w:rPr>
              <w:t>Numbered procedure</w:t>
            </w:r>
          </w:p>
        </w:tc>
        <w:tc>
          <w:tcPr>
            <w:tcW w:type="dxa" w:w="3264"/>
            <w:tcMar>
              <w:top w:w="100" w:type="dxa"/>
              <w:start w:w="120" w:type="dxa"/>
              <w:bottom w:w="100" w:type="dxa"/>
              <w:end w:w="120" w:type="dxa"/>
            </w:tcMar>
            <w:vAlign w:val="top"/>
          </w:tcPr>
          <w:p>
            <w:pPr>
              <w:spacing w:after="0"/>
            </w:pPr>
            <w:r>
              <w:rPr>
                <w:color w:val="243447"/>
                <w:sz w:val="17"/>
              </w:rPr>
              <w:t>One logical group of steps</w:t>
            </w:r>
          </w:p>
        </w:tc>
        <w:tc>
          <w:tcPr>
            <w:tcW w:type="dxa" w:w="3264"/>
            <w:tcMar>
              <w:top w:w="100" w:type="dxa"/>
              <w:start w:w="120" w:type="dxa"/>
              <w:bottom w:w="100" w:type="dxa"/>
              <w:end w:w="120" w:type="dxa"/>
            </w:tcMar>
            <w:vAlign w:val="top"/>
          </w:tcPr>
          <w:p>
            <w:pPr>
              <w:spacing w:after="0"/>
            </w:pPr>
            <w:r>
              <w:rPr>
                <w:color w:val="243447"/>
                <w:sz w:val="17"/>
              </w:rPr>
              <w:t>Keep conditions and outcomes with the steps they govern.</w:t>
            </w:r>
          </w:p>
        </w:tc>
      </w:tr>
      <w:tr>
        <w:trPr>
          <w:cantSplit/>
        </w:trPr>
        <w:tc>
          <w:tcPr>
            <w:tcW w:type="dxa" w:w="3264"/>
            <w:tcMar>
              <w:top w:w="100" w:type="dxa"/>
              <w:start w:w="120" w:type="dxa"/>
              <w:bottom w:w="100" w:type="dxa"/>
              <w:end w:w="120" w:type="dxa"/>
            </w:tcMar>
            <w:vAlign w:val="top"/>
          </w:tcPr>
          <w:p>
            <w:pPr>
              <w:spacing w:after="0"/>
            </w:pPr>
            <w:r>
              <w:rPr>
                <w:color w:val="243447"/>
                <w:sz w:val="17"/>
              </w:rPr>
              <w:t>Table</w:t>
            </w:r>
          </w:p>
        </w:tc>
        <w:tc>
          <w:tcPr>
            <w:tcW w:type="dxa" w:w="3264"/>
            <w:tcMar>
              <w:top w:w="100" w:type="dxa"/>
              <w:start w:w="120" w:type="dxa"/>
              <w:bottom w:w="100" w:type="dxa"/>
              <w:end w:w="120" w:type="dxa"/>
            </w:tcMar>
            <w:vAlign w:val="top"/>
          </w:tcPr>
          <w:p>
            <w:pPr>
              <w:spacing w:after="0"/>
            </w:pPr>
            <w:r>
              <w:rPr>
                <w:color w:val="243447"/>
                <w:sz w:val="17"/>
              </w:rPr>
              <w:t>One logical table</w:t>
            </w:r>
          </w:p>
        </w:tc>
        <w:tc>
          <w:tcPr>
            <w:tcW w:type="dxa" w:w="3264"/>
            <w:tcMar>
              <w:top w:w="100" w:type="dxa"/>
              <w:start w:w="120" w:type="dxa"/>
              <w:bottom w:w="100" w:type="dxa"/>
              <w:end w:w="120" w:type="dxa"/>
            </w:tcMar>
            <w:vAlign w:val="top"/>
          </w:tcPr>
          <w:p>
            <w:pPr>
              <w:spacing w:after="0"/>
            </w:pPr>
            <w:r>
              <w:rPr>
                <w:color w:val="243447"/>
                <w:sz w:val="17"/>
              </w:rPr>
              <w:t>Repeat headers when a very large table must be split.</w:t>
            </w:r>
          </w:p>
        </w:tc>
      </w:tr>
      <w:tr>
        <w:trPr>
          <w:cantSplit/>
        </w:trPr>
        <w:tc>
          <w:tcPr>
            <w:tcW w:type="dxa" w:w="3264"/>
            <w:tcMar>
              <w:top w:w="100" w:type="dxa"/>
              <w:start w:w="120" w:type="dxa"/>
              <w:bottom w:w="100" w:type="dxa"/>
              <w:end w:w="120" w:type="dxa"/>
            </w:tcMar>
            <w:vAlign w:val="top"/>
          </w:tcPr>
          <w:p>
            <w:pPr>
              <w:spacing w:after="0"/>
            </w:pPr>
            <w:r>
              <w:rPr>
                <w:color w:val="243447"/>
                <w:sz w:val="17"/>
              </w:rPr>
              <w:t>Overlap</w:t>
            </w:r>
          </w:p>
        </w:tc>
        <w:tc>
          <w:tcPr>
            <w:tcW w:type="dxa" w:w="3264"/>
            <w:tcMar>
              <w:top w:w="100" w:type="dxa"/>
              <w:start w:w="120" w:type="dxa"/>
              <w:bottom w:w="100" w:type="dxa"/>
              <w:end w:w="120" w:type="dxa"/>
            </w:tcMar>
            <w:vAlign w:val="top"/>
          </w:tcPr>
          <w:p>
            <w:pPr>
              <w:spacing w:after="0"/>
            </w:pPr>
            <w:r>
              <w:rPr>
                <w:color w:val="243447"/>
                <w:sz w:val="17"/>
              </w:rPr>
              <w:t>Usually 50–100 tokens for continuous prose</w:t>
            </w:r>
          </w:p>
        </w:tc>
        <w:tc>
          <w:tcPr>
            <w:tcW w:type="dxa" w:w="3264"/>
            <w:tcMar>
              <w:top w:w="100" w:type="dxa"/>
              <w:start w:w="120" w:type="dxa"/>
              <w:bottom w:w="100" w:type="dxa"/>
              <w:end w:w="120" w:type="dxa"/>
            </w:tcMar>
            <w:vAlign w:val="top"/>
          </w:tcPr>
          <w:p>
            <w:pPr>
              <w:spacing w:after="0"/>
            </w:pPr>
            <w:r>
              <w:rPr>
                <w:color w:val="243447"/>
                <w:sz w:val="17"/>
              </w:rPr>
              <w:t>Avoid overlap when clauses are already self-contained.</w:t>
            </w:r>
          </w:p>
        </w:tc>
      </w:tr>
    </w:tbl>
    <w:p>
      <w:pPr>
        <w:spacing w:after="0"/>
      </w:pPr>
    </w:p>
    <w:p>
      <w:pPr>
        <w:pStyle w:val="Heading2"/>
      </w:pPr>
      <w:r>
        <w:t>5.4 Three retrieval levels</w:t>
      </w:r>
    </w:p>
    <w:p>
      <w:r>
        <w:t>For each document, create three types of records: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F4E78"/>
            <w:tcMar>
              <w:top w:w="100" w:type="dxa"/>
              <w:start w:w="120" w:type="dxa"/>
              <w:bottom w:w="100" w:type="dxa"/>
              <w:end w:w="120" w:type="dxa"/>
            </w:tcMar>
            <w:vAlign w:val="center"/>
          </w:tcPr>
          <w:p>
            <w:r>
              <w:rPr>
                <w:b/>
                <w:color w:val="FFFFFF"/>
                <w:sz w:val="18"/>
              </w:rPr>
              <w:t>Record type</w:t>
            </w:r>
          </w:p>
        </w:tc>
        <w:tc>
          <w:tcPr>
            <w:tcW w:type="dxa" w:w="4536"/>
            <w:shd w:fill="1F4E78"/>
            <w:tcMar>
              <w:top w:w="100" w:type="dxa"/>
              <w:start w:w="120" w:type="dxa"/>
              <w:bottom w:w="100" w:type="dxa"/>
              <w:end w:w="120" w:type="dxa"/>
            </w:tcMar>
            <w:vAlign w:val="center"/>
          </w:tcPr>
          <w:p>
            <w:r>
              <w:rPr>
                <w:b/>
                <w:color w:val="FFFFFF"/>
                <w:sz w:val="18"/>
              </w:rPr>
              <w:t>What it contains</w:t>
            </w:r>
          </w:p>
        </w:tc>
        <w:tc>
          <w:tcPr>
            <w:tcW w:type="dxa" w:w="2951"/>
            <w:shd w:fill="1F4E78"/>
            <w:tcMar>
              <w:top w:w="100" w:type="dxa"/>
              <w:start w:w="120" w:type="dxa"/>
              <w:bottom w:w="100" w:type="dxa"/>
              <w:end w:w="120" w:type="dxa"/>
            </w:tcMar>
            <w:vAlign w:val="center"/>
          </w:tcPr>
          <w:p>
            <w:r>
              <w:rPr>
                <w:b/>
                <w:color w:val="FFFFFF"/>
                <w:sz w:val="18"/>
              </w:rPr>
              <w:t>Example question</w:t>
            </w:r>
          </w:p>
        </w:tc>
      </w:tr>
      <w:tr>
        <w:trPr>
          <w:cantSplit/>
        </w:trPr>
        <w:tc>
          <w:tcPr>
            <w:tcW w:type="dxa" w:w="3264"/>
            <w:tcMar>
              <w:top w:w="100" w:type="dxa"/>
              <w:start w:w="120" w:type="dxa"/>
              <w:bottom w:w="100" w:type="dxa"/>
              <w:end w:w="120" w:type="dxa"/>
            </w:tcMar>
            <w:vAlign w:val="top"/>
          </w:tcPr>
          <w:p>
            <w:pPr>
              <w:spacing w:after="0"/>
            </w:pPr>
            <w:r>
              <w:rPr>
                <w:color w:val="243447"/>
                <w:sz w:val="17"/>
              </w:rPr>
              <w:t>DOCUMENT_SUMMARY</w:t>
            </w:r>
          </w:p>
        </w:tc>
        <w:tc>
          <w:tcPr>
            <w:tcW w:type="dxa" w:w="3264"/>
            <w:tcMar>
              <w:top w:w="100" w:type="dxa"/>
              <w:start w:w="120" w:type="dxa"/>
              <w:bottom w:w="100" w:type="dxa"/>
              <w:end w:w="120" w:type="dxa"/>
            </w:tcMar>
            <w:vAlign w:val="top"/>
          </w:tcPr>
          <w:p>
            <w:pPr>
              <w:spacing w:after="0"/>
            </w:pPr>
            <w:r>
              <w:rPr>
                <w:color w:val="243447"/>
                <w:sz w:val="17"/>
              </w:rPr>
              <w:t>Title, document type, purpose, major topics, version.</w:t>
            </w:r>
          </w:p>
        </w:tc>
        <w:tc>
          <w:tcPr>
            <w:tcW w:type="dxa" w:w="3264"/>
            <w:tcMar>
              <w:top w:w="100" w:type="dxa"/>
              <w:start w:w="120" w:type="dxa"/>
              <w:bottom w:w="100" w:type="dxa"/>
              <w:end w:w="120" w:type="dxa"/>
            </w:tcMar>
            <w:vAlign w:val="top"/>
          </w:tcPr>
          <w:p>
            <w:pPr>
              <w:spacing w:after="0"/>
            </w:pPr>
            <w:r>
              <w:rPr>
                <w:color w:val="243447"/>
                <w:sz w:val="17"/>
              </w:rPr>
              <w:t>Which document describes approval rules?</w:t>
            </w:r>
          </w:p>
        </w:tc>
      </w:tr>
      <w:tr>
        <w:trPr>
          <w:cantSplit/>
        </w:trPr>
        <w:tc>
          <w:tcPr>
            <w:tcW w:type="dxa" w:w="3264"/>
            <w:tcMar>
              <w:top w:w="100" w:type="dxa"/>
              <w:start w:w="120" w:type="dxa"/>
              <w:bottom w:w="100" w:type="dxa"/>
              <w:end w:w="120" w:type="dxa"/>
            </w:tcMar>
            <w:vAlign w:val="top"/>
          </w:tcPr>
          <w:p>
            <w:pPr>
              <w:spacing w:after="0"/>
            </w:pPr>
            <w:r>
              <w:rPr>
                <w:color w:val="243447"/>
                <w:sz w:val="17"/>
              </w:rPr>
              <w:t>SECTION_SUMMARY</w:t>
            </w:r>
          </w:p>
        </w:tc>
        <w:tc>
          <w:tcPr>
            <w:tcW w:type="dxa" w:w="3264"/>
            <w:tcMar>
              <w:top w:w="100" w:type="dxa"/>
              <w:start w:w="120" w:type="dxa"/>
              <w:bottom w:w="100" w:type="dxa"/>
              <w:end w:w="120" w:type="dxa"/>
            </w:tcMar>
            <w:vAlign w:val="top"/>
          </w:tcPr>
          <w:p>
            <w:pPr>
              <w:spacing w:after="0"/>
            </w:pPr>
            <w:r>
              <w:rPr>
                <w:color w:val="243447"/>
                <w:sz w:val="17"/>
              </w:rPr>
              <w:t>Section path and a concise summary of that section.</w:t>
            </w:r>
          </w:p>
        </w:tc>
        <w:tc>
          <w:tcPr>
            <w:tcW w:type="dxa" w:w="3264"/>
            <w:tcMar>
              <w:top w:w="100" w:type="dxa"/>
              <w:start w:w="120" w:type="dxa"/>
              <w:bottom w:w="100" w:type="dxa"/>
              <w:end w:w="120" w:type="dxa"/>
            </w:tcMar>
            <w:vAlign w:val="top"/>
          </w:tcPr>
          <w:p>
            <w:pPr>
              <w:spacing w:after="0"/>
            </w:pPr>
            <w:r>
              <w:rPr>
                <w:color w:val="243447"/>
                <w:sz w:val="17"/>
              </w:rPr>
              <w:t>Where is manual review discussed?</w:t>
            </w:r>
          </w:p>
        </w:tc>
      </w:tr>
      <w:tr>
        <w:trPr>
          <w:cantSplit/>
        </w:trPr>
        <w:tc>
          <w:tcPr>
            <w:tcW w:type="dxa" w:w="3264"/>
            <w:tcMar>
              <w:top w:w="100" w:type="dxa"/>
              <w:start w:w="120" w:type="dxa"/>
              <w:bottom w:w="100" w:type="dxa"/>
              <w:end w:w="120" w:type="dxa"/>
            </w:tcMar>
            <w:vAlign w:val="top"/>
          </w:tcPr>
          <w:p>
            <w:pPr>
              <w:spacing w:after="0"/>
            </w:pPr>
            <w:r>
              <w:rPr>
                <w:color w:val="243447"/>
                <w:sz w:val="17"/>
              </w:rPr>
              <w:t>EVIDENCE</w:t>
            </w:r>
          </w:p>
        </w:tc>
        <w:tc>
          <w:tcPr>
            <w:tcW w:type="dxa" w:w="3264"/>
            <w:tcMar>
              <w:top w:w="100" w:type="dxa"/>
              <w:start w:w="120" w:type="dxa"/>
              <w:bottom w:w="100" w:type="dxa"/>
              <w:end w:w="120" w:type="dxa"/>
            </w:tcMar>
            <w:vAlign w:val="top"/>
          </w:tcPr>
          <w:p>
            <w:pPr>
              <w:spacing w:after="0"/>
            </w:pPr>
            <w:r>
              <w:rPr>
                <w:color w:val="243447"/>
                <w:sz w:val="17"/>
              </w:rPr>
              <w:t>Original source text with page and section references.</w:t>
            </w:r>
          </w:p>
        </w:tc>
        <w:tc>
          <w:tcPr>
            <w:tcW w:type="dxa" w:w="3264"/>
            <w:tcMar>
              <w:top w:w="100" w:type="dxa"/>
              <w:start w:w="120" w:type="dxa"/>
              <w:bottom w:w="100" w:type="dxa"/>
              <w:end w:w="120" w:type="dxa"/>
            </w:tcMar>
            <w:vAlign w:val="top"/>
          </w:tcPr>
          <w:p>
            <w:pPr>
              <w:spacing w:after="0"/>
            </w:pPr>
            <w:r>
              <w:rPr>
                <w:color w:val="243447"/>
                <w:sz w:val="17"/>
              </w:rPr>
              <w:t>What is the exact approval threshold?</w:t>
            </w:r>
          </w:p>
        </w:tc>
      </w:tr>
    </w:tbl>
    <w:p>
      <w:pPr>
        <w:spacing w:after="0"/>
      </w:pPr>
    </w:p>
    <w:p>
      <w:r>
        <w:t>Summary records improve discovery, but the final answer should be grounded in the original evidence record. Generated summaries should not become the only authority for critical policy or control answers.</w:t>
      </w:r>
    </w:p>
    <w:p>
      <w:pPr>
        <w:pStyle w:val="Heading1"/>
      </w:pPr>
      <w:r>
        <w:t>6. The complete chunk record</w:t>
      </w:r>
    </w:p>
    <w:p>
      <w:r>
        <w:t>A production vector-store record needs more than id, text, and embedding. It should separate filterable metadata, keyword-search fields, semantic embedding text, and original evidence.</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w:t>
              <w:br/>
              <w:t xml:space="preserve">  "tenant_id": "BANK_001",</w:t>
              <w:br/>
              <w:t xml:space="preserve">  "process_id": "PROC_1234",</w:t>
              <w:br/>
              <w:t xml:space="preserve">  "process_name": "Credit Balance Refund",</w:t>
              <w:br/>
              <w:t xml:space="preserve">  "process_aliases": ["CBR", "Credit Refund"],</w:t>
              <w:br/>
              <w:br/>
              <w:t xml:space="preserve">  "artifact_id": "ART_7001",</w:t>
              <w:br/>
              <w:t xml:space="preserve">  "document_id": "DOC_8001",</w:t>
              <w:br/>
              <w:t xml:space="preserve">  "document_title": "Credit Balance Refund Operations SOP",</w:t>
              <w:br/>
              <w:t xml:space="preserve">  "document_type": "SOP",</w:t>
              <w:br/>
              <w:t xml:space="preserve">  "document_version": "4.2",</w:t>
              <w:br/>
              <w:t xml:space="preserve">  "document_status": "ACTIVE",</w:t>
              <w:br/>
              <w:br/>
              <w:t xml:space="preserve">  "chunk_id": "PROC_1234:DOC_8001:V4.2:SEC_4:CH_01",</w:t>
              <w:br/>
              <w:t xml:space="preserve">  "chunk_type": "EVIDENCE",</w:t>
              <w:br/>
              <w:t xml:space="preserve">  "section_id": "SEC_4",</w:t>
              <w:br/>
              <w:t xml:space="preserve">  "parent_section_id": "SEC_REFUND_APPROVAL",</w:t>
              <w:br/>
              <w:t xml:space="preserve">  "section_title": "High-Value Refund Approval",</w:t>
              <w:br/>
              <w:t xml:space="preserve">  "section_path": ["Refund Approval", "High-Value Refund Approval"],</w:t>
              <w:br/>
              <w:t xml:space="preserve">  "page_start": 8,</w:t>
              <w:br/>
              <w:t xml:space="preserve">  "page_end": 8,</w:t>
              <w:br/>
              <w:br/>
              <w:t xml:space="preserve">  "activity_ids": ["ACT_MANAGER_APPROVAL", "ACT_ISSUE_REFUND"],</w:t>
              <w:br/>
              <w:t xml:space="preserve">  "activity_names": ["Manager Approval", "Issue Refund"],</w:t>
              <w:br/>
              <w:t xml:space="preserve">  "keywords": ["high-value refund", "approval threshold", "manager approval"],</w:t>
              <w:br/>
              <w:br/>
              <w:t xml:space="preserve">  "content": "Refunds above $10,000 require approval from the Refund Operations Manager. The approval must be recorded before the refund is issued.",</w:t>
              <w:br/>
              <w:br/>
              <w:t xml:space="preserve">  "retrieval_text": "Process: Credit Balance Refund. Aliases: CBR, Credit Refund. Document: Credit Balance Refund Operations SOP. Section: Refund Approval &gt; High-Value Refund Approval. Related activities: Manager Approval, Issue Refund. Refunds above $10,000 require approval from the Refund Operations Manager. The approval must be recorded before the refund is issued.",</w:t>
              <w:br/>
              <w:br/>
              <w:t xml:space="preserve">  "source_uri": "/processes/PROC_1234/documents/DOC_8001",</w:t>
              <w:br/>
              <w:t xml:space="preserve">  "content_hash": "abc123",</w:t>
              <w:br/>
              <w:t xml:space="preserve">  "chunking_pipeline_version": "chunk-v1",</w:t>
              <w:br/>
              <w:t xml:space="preserve">  "embedding_model_version": "embedding-v1",</w:t>
              <w:br/>
              <w:t xml:space="preserve">  "embedding": [0.012, -0.084, 0.031]</w:t>
              <w:br/>
              <w:t>}</w:t>
            </w:r>
          </w:p>
        </w:tc>
      </w:tr>
    </w:tbl>
    <w:p>
      <w:pPr>
        <w:spacing w:after="0"/>
      </w:pPr>
    </w:p>
    <w:p>
      <w:pPr>
        <w:pStyle w:val="Heading2"/>
      </w:pPr>
      <w:r>
        <w:t>6.1 Field categories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1F4E78"/>
            <w:tcMar>
              <w:top w:w="100" w:type="dxa"/>
              <w:start w:w="120" w:type="dxa"/>
              <w:bottom w:w="100" w:type="dxa"/>
              <w:end w:w="120" w:type="dxa"/>
            </w:tcMar>
            <w:vAlign w:val="center"/>
          </w:tcPr>
          <w:p>
            <w:r>
              <w:rPr>
                <w:b/>
                <w:color w:val="FFFFFF"/>
                <w:sz w:val="18"/>
              </w:rPr>
              <w:t>Category</w:t>
            </w:r>
          </w:p>
        </w:tc>
        <w:tc>
          <w:tcPr>
            <w:tcW w:type="dxa" w:w="4392"/>
            <w:shd w:fill="1F4E78"/>
            <w:tcMar>
              <w:top w:w="100" w:type="dxa"/>
              <w:start w:w="120" w:type="dxa"/>
              <w:bottom w:w="100" w:type="dxa"/>
              <w:end w:w="120" w:type="dxa"/>
            </w:tcMar>
            <w:vAlign w:val="center"/>
          </w:tcPr>
          <w:p>
            <w:r>
              <w:rPr>
                <w:b/>
                <w:color w:val="FFFFFF"/>
                <w:sz w:val="18"/>
              </w:rPr>
              <w:t>Example fields</w:t>
            </w:r>
          </w:p>
        </w:tc>
        <w:tc>
          <w:tcPr>
            <w:tcW w:type="dxa" w:w="3528"/>
            <w:shd w:fill="1F4E78"/>
            <w:tcMar>
              <w:top w:w="100" w:type="dxa"/>
              <w:start w:w="120" w:type="dxa"/>
              <w:bottom w:w="100" w:type="dxa"/>
              <w:end w:w="120" w:type="dxa"/>
            </w:tcMar>
            <w:vAlign w:val="center"/>
          </w:tcPr>
          <w:p>
            <w:r>
              <w:rPr>
                <w:b/>
                <w:color w:val="FFFFFF"/>
                <w:sz w:val="18"/>
              </w:rPr>
              <w:t>How they are used</w:t>
            </w:r>
          </w:p>
        </w:tc>
      </w:tr>
      <w:tr>
        <w:trPr>
          <w:cantSplit/>
        </w:trPr>
        <w:tc>
          <w:tcPr>
            <w:tcW w:type="dxa" w:w="3264"/>
            <w:tcMar>
              <w:top w:w="100" w:type="dxa"/>
              <w:start w:w="120" w:type="dxa"/>
              <w:bottom w:w="100" w:type="dxa"/>
              <w:end w:w="120" w:type="dxa"/>
            </w:tcMar>
            <w:vAlign w:val="top"/>
          </w:tcPr>
          <w:p>
            <w:pPr>
              <w:spacing w:after="0"/>
            </w:pPr>
            <w:r>
              <w:rPr>
                <w:color w:val="243447"/>
                <w:sz w:val="17"/>
              </w:rPr>
              <w:t>Exact filters</w:t>
            </w:r>
          </w:p>
        </w:tc>
        <w:tc>
          <w:tcPr>
            <w:tcW w:type="dxa" w:w="3264"/>
            <w:tcMar>
              <w:top w:w="100" w:type="dxa"/>
              <w:start w:w="120" w:type="dxa"/>
              <w:bottom w:w="100" w:type="dxa"/>
              <w:end w:w="120" w:type="dxa"/>
            </w:tcMar>
            <w:vAlign w:val="top"/>
          </w:tcPr>
          <w:p>
            <w:pPr>
              <w:spacing w:after="0"/>
            </w:pPr>
            <w:r>
              <w:rPr>
                <w:color w:val="243447"/>
                <w:sz w:val="17"/>
              </w:rPr>
              <w:t>tenant_id, process_id, document_status, version, type</w:t>
            </w:r>
          </w:p>
        </w:tc>
        <w:tc>
          <w:tcPr>
            <w:tcW w:type="dxa" w:w="3264"/>
            <w:tcMar>
              <w:top w:w="100" w:type="dxa"/>
              <w:start w:w="120" w:type="dxa"/>
              <w:bottom w:w="100" w:type="dxa"/>
              <w:end w:w="120" w:type="dxa"/>
            </w:tcMar>
            <w:vAlign w:val="top"/>
          </w:tcPr>
          <w:p>
            <w:pPr>
              <w:spacing w:after="0"/>
            </w:pPr>
            <w:r>
              <w:rPr>
                <w:color w:val="243447"/>
                <w:sz w:val="17"/>
              </w:rPr>
              <w:t>Restrict which records can participate in retrieval.</w:t>
            </w:r>
          </w:p>
        </w:tc>
      </w:tr>
      <w:tr>
        <w:trPr>
          <w:cantSplit/>
        </w:trPr>
        <w:tc>
          <w:tcPr>
            <w:tcW w:type="dxa" w:w="3264"/>
            <w:tcMar>
              <w:top w:w="100" w:type="dxa"/>
              <w:start w:w="120" w:type="dxa"/>
              <w:bottom w:w="100" w:type="dxa"/>
              <w:end w:w="120" w:type="dxa"/>
            </w:tcMar>
            <w:vAlign w:val="top"/>
          </w:tcPr>
          <w:p>
            <w:pPr>
              <w:spacing w:after="0"/>
            </w:pPr>
            <w:r>
              <w:rPr>
                <w:color w:val="243447"/>
                <w:sz w:val="17"/>
              </w:rPr>
              <w:t>BM25 fields</w:t>
            </w:r>
          </w:p>
        </w:tc>
        <w:tc>
          <w:tcPr>
            <w:tcW w:type="dxa" w:w="3264"/>
            <w:tcMar>
              <w:top w:w="100" w:type="dxa"/>
              <w:start w:w="120" w:type="dxa"/>
              <w:bottom w:w="100" w:type="dxa"/>
              <w:end w:w="120" w:type="dxa"/>
            </w:tcMar>
            <w:vAlign w:val="top"/>
          </w:tcPr>
          <w:p>
            <w:pPr>
              <w:spacing w:after="0"/>
            </w:pPr>
            <w:r>
              <w:rPr>
                <w:color w:val="243447"/>
                <w:sz w:val="17"/>
              </w:rPr>
              <w:t>IDs, names, aliases, titles, headings, activity names, content</w:t>
            </w:r>
          </w:p>
        </w:tc>
        <w:tc>
          <w:tcPr>
            <w:tcW w:type="dxa" w:w="3264"/>
            <w:tcMar>
              <w:top w:w="100" w:type="dxa"/>
              <w:start w:w="120" w:type="dxa"/>
              <w:bottom w:w="100" w:type="dxa"/>
              <w:end w:w="120" w:type="dxa"/>
            </w:tcMar>
            <w:vAlign w:val="top"/>
          </w:tcPr>
          <w:p>
            <w:pPr>
              <w:spacing w:after="0"/>
            </w:pPr>
            <w:r>
              <w:rPr>
                <w:color w:val="243447"/>
                <w:sz w:val="17"/>
              </w:rPr>
              <w:t>Find exact words, identifiers, acronyms, and titles.</w:t>
            </w:r>
          </w:p>
        </w:tc>
      </w:tr>
      <w:tr>
        <w:trPr>
          <w:cantSplit/>
        </w:trPr>
        <w:tc>
          <w:tcPr>
            <w:tcW w:type="dxa" w:w="3264"/>
            <w:tcMar>
              <w:top w:w="100" w:type="dxa"/>
              <w:start w:w="120" w:type="dxa"/>
              <w:bottom w:w="100" w:type="dxa"/>
              <w:end w:w="120" w:type="dxa"/>
            </w:tcMar>
            <w:vAlign w:val="top"/>
          </w:tcPr>
          <w:p>
            <w:pPr>
              <w:spacing w:after="0"/>
            </w:pPr>
            <w:r>
              <w:rPr>
                <w:color w:val="243447"/>
                <w:sz w:val="17"/>
              </w:rPr>
              <w:t>Embedding input</w:t>
            </w:r>
          </w:p>
        </w:tc>
        <w:tc>
          <w:tcPr>
            <w:tcW w:type="dxa" w:w="3264"/>
            <w:tcMar>
              <w:top w:w="100" w:type="dxa"/>
              <w:start w:w="120" w:type="dxa"/>
              <w:bottom w:w="100" w:type="dxa"/>
              <w:end w:w="120" w:type="dxa"/>
            </w:tcMar>
            <w:vAlign w:val="top"/>
          </w:tcPr>
          <w:p>
            <w:pPr>
              <w:spacing w:after="0"/>
            </w:pPr>
            <w:r>
              <w:rPr>
                <w:color w:val="243447"/>
                <w:sz w:val="17"/>
              </w:rPr>
              <w:t>Process name, important aliases, document title, section path, business entities, content</w:t>
            </w:r>
          </w:p>
        </w:tc>
        <w:tc>
          <w:tcPr>
            <w:tcW w:type="dxa" w:w="3264"/>
            <w:tcMar>
              <w:top w:w="100" w:type="dxa"/>
              <w:start w:w="120" w:type="dxa"/>
              <w:bottom w:w="100" w:type="dxa"/>
              <w:end w:w="120" w:type="dxa"/>
            </w:tcMar>
            <w:vAlign w:val="top"/>
          </w:tcPr>
          <w:p>
            <w:pPr>
              <w:spacing w:after="0"/>
            </w:pPr>
            <w:r>
              <w:rPr>
                <w:color w:val="243447"/>
                <w:sz w:val="17"/>
              </w:rPr>
              <w:t>Represent semantic meaning for vector retrieval.</w:t>
            </w:r>
          </w:p>
        </w:tc>
      </w:tr>
      <w:tr>
        <w:trPr>
          <w:cantSplit/>
        </w:trPr>
        <w:tc>
          <w:tcPr>
            <w:tcW w:type="dxa" w:w="3264"/>
            <w:tcMar>
              <w:top w:w="100" w:type="dxa"/>
              <w:start w:w="120" w:type="dxa"/>
              <w:bottom w:w="100" w:type="dxa"/>
              <w:end w:w="120" w:type="dxa"/>
            </w:tcMar>
            <w:vAlign w:val="top"/>
          </w:tcPr>
          <w:p>
            <w:pPr>
              <w:spacing w:after="0"/>
            </w:pPr>
            <w:r>
              <w:rPr>
                <w:color w:val="243447"/>
                <w:sz w:val="17"/>
              </w:rPr>
              <w:t>Evidence</w:t>
            </w:r>
          </w:p>
        </w:tc>
        <w:tc>
          <w:tcPr>
            <w:tcW w:type="dxa" w:w="3264"/>
            <w:tcMar>
              <w:top w:w="100" w:type="dxa"/>
              <w:start w:w="120" w:type="dxa"/>
              <w:bottom w:w="100" w:type="dxa"/>
              <w:end w:w="120" w:type="dxa"/>
            </w:tcMar>
            <w:vAlign w:val="top"/>
          </w:tcPr>
          <w:p>
            <w:pPr>
              <w:spacing w:after="0"/>
            </w:pPr>
            <w:r>
              <w:rPr>
                <w:color w:val="243447"/>
                <w:sz w:val="17"/>
              </w:rPr>
              <w:t>Original content, page, section, source URI</w:t>
            </w:r>
          </w:p>
        </w:tc>
        <w:tc>
          <w:tcPr>
            <w:tcW w:type="dxa" w:w="3264"/>
            <w:tcMar>
              <w:top w:w="100" w:type="dxa"/>
              <w:start w:w="120" w:type="dxa"/>
              <w:bottom w:w="100" w:type="dxa"/>
              <w:end w:w="120" w:type="dxa"/>
            </w:tcMar>
            <w:vAlign w:val="top"/>
          </w:tcPr>
          <w:p>
            <w:pPr>
              <w:spacing w:after="0"/>
            </w:pPr>
            <w:r>
              <w:rPr>
                <w:color w:val="243447"/>
                <w:sz w:val="17"/>
              </w:rPr>
              <w:t>Ground and cite the LLM answer.</w:t>
            </w:r>
          </w:p>
        </w:tc>
      </w:tr>
      <w:tr>
        <w:trPr>
          <w:cantSplit/>
        </w:trPr>
        <w:tc>
          <w:tcPr>
            <w:tcW w:type="dxa" w:w="3264"/>
            <w:tcMar>
              <w:top w:w="100" w:type="dxa"/>
              <w:start w:w="120" w:type="dxa"/>
              <w:bottom w:w="100" w:type="dxa"/>
              <w:end w:w="120" w:type="dxa"/>
            </w:tcMar>
            <w:vAlign w:val="top"/>
          </w:tcPr>
          <w:p>
            <w:pPr>
              <w:spacing w:after="0"/>
            </w:pPr>
            <w:r>
              <w:rPr>
                <w:color w:val="243447"/>
                <w:sz w:val="17"/>
              </w:rPr>
              <w:t>Operations</w:t>
            </w:r>
          </w:p>
        </w:tc>
        <w:tc>
          <w:tcPr>
            <w:tcW w:type="dxa" w:w="3264"/>
            <w:tcMar>
              <w:top w:w="100" w:type="dxa"/>
              <w:start w:w="120" w:type="dxa"/>
              <w:bottom w:w="100" w:type="dxa"/>
              <w:end w:w="120" w:type="dxa"/>
            </w:tcMar>
            <w:vAlign w:val="top"/>
          </w:tcPr>
          <w:p>
            <w:pPr>
              <w:spacing w:after="0"/>
            </w:pPr>
            <w:r>
              <w:rPr>
                <w:color w:val="243447"/>
                <w:sz w:val="17"/>
              </w:rPr>
              <w:t>content hash, pipeline version, embedding version, indexed time</w:t>
            </w:r>
          </w:p>
        </w:tc>
        <w:tc>
          <w:tcPr>
            <w:tcW w:type="dxa" w:w="3264"/>
            <w:tcMar>
              <w:top w:w="100" w:type="dxa"/>
              <w:start w:w="120" w:type="dxa"/>
              <w:bottom w:w="100" w:type="dxa"/>
              <w:end w:w="120" w:type="dxa"/>
            </w:tcMar>
            <w:vAlign w:val="top"/>
          </w:tcPr>
          <w:p>
            <w:pPr>
              <w:spacing w:after="0"/>
            </w:pPr>
            <w:r>
              <w:rPr>
                <w:color w:val="243447"/>
                <w:sz w:val="17"/>
              </w:rPr>
              <w:t>Support idempotency, updates, migrations, and troubleshooting.</w:t>
            </w:r>
          </w:p>
        </w:tc>
      </w:tr>
    </w:tbl>
    <w:p>
      <w:pPr>
        <w:spacing w:after="0"/>
      </w:pPr>
    </w:p>
    <w:p>
      <w:pPr>
        <w:pStyle w:val="Heading2"/>
      </w:pPr>
      <w:r>
        <w:t>6.2 What belongs in retrieval_text</w:t>
      </w:r>
    </w:p>
    <w:p>
      <w:r>
        <w:t>Recommended template:</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Process: {process_name}</w:t>
              <w:br/>
              <w:t>Aliases: {important_process_aliases}</w:t>
              <w:br/>
              <w:t>Knowledge type: {document_type}</w:t>
              <w:br/>
              <w:t>Document: {document_title}</w:t>
              <w:br/>
              <w:t>Section: {section_path}</w:t>
              <w:br/>
              <w:t>Related business entities: {activity_names, system_names, control_names}</w:t>
              <w:br/>
              <w:br/>
              <w:t>Content:</w:t>
              <w:br/>
              <w:t>{original_chunk_content}</w:t>
            </w:r>
          </w:p>
        </w:tc>
      </w:tr>
    </w:tbl>
    <w:p>
      <w:pPr>
        <w:spacing w:after="0"/>
      </w:pPr>
    </w:p>
    <w:p>
      <w:r>
        <w:t>Do not overload the embedding text with file hashes, storage paths, ACL identifiers, upload timestamps, or implementation-only fields. Keep those as metadata. Exact technical IDs should be keyword indexed even when they are also included in retrieval_text.</w:t>
      </w:r>
    </w:p>
    <w:p>
      <w:pPr>
        <w:pStyle w:val="Heading1"/>
      </w:pPr>
      <w:r>
        <w:t>7. BM25 explained in practical terms</w:t>
      </w:r>
    </w:p>
    <w:p>
      <w:r>
        <w:t>BM25 is a keyword-ranking algorithm used by search systems such as Elasticsearch and OpenSearch. It does not create an embedding and does not primarily reason about meaning. It scores how well the actual terms in the query match the terms in each indexed record.</w:t>
      </w:r>
    </w:p>
    <w:tbl>
      <w:tblPr>
        <w:tblW w:type="auto" w:w="0"/>
        <w:jc w:val="center"/>
        <w:tblLayout w:type="fixed"/>
        <w:tblLook w:firstColumn="1" w:firstRow="1" w:lastColumn="0" w:lastRow="0" w:noHBand="0" w:noVBand="1" w:val="04A0"/>
      </w:tblPr>
      <w:tblGrid>
        <w:gridCol w:w="9792"/>
      </w:tblGrid>
      <w:tr>
        <w:tc>
          <w:tcPr>
            <w:tcW w:type="dxa" w:w="9720"/>
            <w:shd w:fill="DDEBF7"/>
            <w:tcMar>
              <w:top w:w="120" w:type="dxa"/>
              <w:start w:w="160" w:type="dxa"/>
              <w:bottom w:w="120" w:type="dxa"/>
              <w:end w:w="160" w:type="dxa"/>
            </w:tcMar>
          </w:tcPr>
          <w:p>
            <w:r>
              <w:rPr>
                <w:b/>
                <w:color w:val="17365D"/>
              </w:rPr>
              <w:t>Simple mental model</w:t>
              <w:br/>
            </w:r>
            <w:r>
              <w:rPr>
                <w:color w:val="243447"/>
              </w:rPr>
              <w:t>BM25 answers: Which chunks contain the user's important words, how rare and informative are those words, and how directly do they appear in a reasonably sized chunk?</w:t>
            </w:r>
          </w:p>
        </w:tc>
      </w:tr>
    </w:tbl>
    <w:p>
      <w:pPr>
        <w:spacing w:after="0"/>
      </w:pPr>
    </w:p>
    <w:p>
      <w:pPr>
        <w:pStyle w:val="Heading2"/>
      </w:pPr>
      <w:r>
        <w:t>7.1 BM25's main signals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1F4E78"/>
            <w:tcMar>
              <w:top w:w="100" w:type="dxa"/>
              <w:start w:w="120" w:type="dxa"/>
              <w:bottom w:w="100" w:type="dxa"/>
              <w:end w:w="120" w:type="dxa"/>
            </w:tcMar>
            <w:vAlign w:val="center"/>
          </w:tcPr>
          <w:p>
            <w:r>
              <w:rPr>
                <w:b/>
                <w:color w:val="FFFFFF"/>
                <w:sz w:val="18"/>
              </w:rPr>
              <w:t>Signal</w:t>
            </w:r>
          </w:p>
        </w:tc>
        <w:tc>
          <w:tcPr>
            <w:tcW w:type="dxa" w:w="3816"/>
            <w:shd w:fill="1F4E78"/>
            <w:tcMar>
              <w:top w:w="100" w:type="dxa"/>
              <w:start w:w="120" w:type="dxa"/>
              <w:bottom w:w="100" w:type="dxa"/>
              <w:end w:w="120" w:type="dxa"/>
            </w:tcMar>
            <w:vAlign w:val="center"/>
          </w:tcPr>
          <w:p>
            <w:r>
              <w:rPr>
                <w:b/>
                <w:color w:val="FFFFFF"/>
                <w:sz w:val="18"/>
              </w:rPr>
              <w:t>Meaning</w:t>
            </w:r>
          </w:p>
        </w:tc>
        <w:tc>
          <w:tcPr>
            <w:tcW w:type="dxa" w:w="3816"/>
            <w:shd w:fill="1F4E78"/>
            <w:tcMar>
              <w:top w:w="100" w:type="dxa"/>
              <w:start w:w="120" w:type="dxa"/>
              <w:bottom w:w="100" w:type="dxa"/>
              <w:end w:w="120" w:type="dxa"/>
            </w:tcMar>
            <w:vAlign w:val="center"/>
          </w:tcPr>
          <w:p>
            <w:r>
              <w:rPr>
                <w:b/>
                <w:color w:val="FFFFFF"/>
                <w:sz w:val="18"/>
              </w:rPr>
              <w:t>Example</w:t>
            </w:r>
          </w:p>
        </w:tc>
      </w:tr>
      <w:tr>
        <w:trPr>
          <w:cantSplit/>
        </w:trPr>
        <w:tc>
          <w:tcPr>
            <w:tcW w:type="dxa" w:w="3264"/>
            <w:tcMar>
              <w:top w:w="100" w:type="dxa"/>
              <w:start w:w="120" w:type="dxa"/>
              <w:bottom w:w="100" w:type="dxa"/>
              <w:end w:w="120" w:type="dxa"/>
            </w:tcMar>
            <w:vAlign w:val="top"/>
          </w:tcPr>
          <w:p>
            <w:pPr>
              <w:spacing w:after="0"/>
            </w:pPr>
            <w:r>
              <w:rPr>
                <w:color w:val="243447"/>
                <w:sz w:val="17"/>
              </w:rPr>
              <w:t>Term match</w:t>
            </w:r>
          </w:p>
        </w:tc>
        <w:tc>
          <w:tcPr>
            <w:tcW w:type="dxa" w:w="3264"/>
            <w:tcMar>
              <w:top w:w="100" w:type="dxa"/>
              <w:start w:w="120" w:type="dxa"/>
              <w:bottom w:w="100" w:type="dxa"/>
              <w:end w:w="120" w:type="dxa"/>
            </w:tcMar>
            <w:vAlign w:val="top"/>
          </w:tcPr>
          <w:p>
            <w:pPr>
              <w:spacing w:after="0"/>
            </w:pPr>
            <w:r>
              <w:rPr>
                <w:color w:val="243447"/>
                <w:sz w:val="17"/>
              </w:rPr>
              <w:t>Does the chunk contain the query term?</w:t>
            </w:r>
          </w:p>
        </w:tc>
        <w:tc>
          <w:tcPr>
            <w:tcW w:type="dxa" w:w="3264"/>
            <w:tcMar>
              <w:top w:w="100" w:type="dxa"/>
              <w:start w:w="120" w:type="dxa"/>
              <w:bottom w:w="100" w:type="dxa"/>
              <w:end w:w="120" w:type="dxa"/>
            </w:tcMar>
            <w:vAlign w:val="top"/>
          </w:tcPr>
          <w:p>
            <w:pPr>
              <w:spacing w:after="0"/>
            </w:pPr>
            <w:r>
              <w:rPr>
                <w:color w:val="243447"/>
                <w:sz w:val="17"/>
              </w:rPr>
              <w:t>Query and chunk both contain ‘manager approval’.</w:t>
            </w:r>
          </w:p>
        </w:tc>
      </w:tr>
      <w:tr>
        <w:trPr>
          <w:cantSplit/>
        </w:trPr>
        <w:tc>
          <w:tcPr>
            <w:tcW w:type="dxa" w:w="3264"/>
            <w:tcMar>
              <w:top w:w="100" w:type="dxa"/>
              <w:start w:w="120" w:type="dxa"/>
              <w:bottom w:w="100" w:type="dxa"/>
              <w:end w:w="120" w:type="dxa"/>
            </w:tcMar>
            <w:vAlign w:val="top"/>
          </w:tcPr>
          <w:p>
            <w:pPr>
              <w:spacing w:after="0"/>
            </w:pPr>
            <w:r>
              <w:rPr>
                <w:color w:val="243447"/>
                <w:sz w:val="17"/>
              </w:rPr>
              <w:t>Term rarity</w:t>
            </w:r>
          </w:p>
        </w:tc>
        <w:tc>
          <w:tcPr>
            <w:tcW w:type="dxa" w:w="3264"/>
            <w:tcMar>
              <w:top w:w="100" w:type="dxa"/>
              <w:start w:w="120" w:type="dxa"/>
              <w:bottom w:w="100" w:type="dxa"/>
              <w:end w:w="120" w:type="dxa"/>
            </w:tcMar>
            <w:vAlign w:val="top"/>
          </w:tcPr>
          <w:p>
            <w:pPr>
              <w:spacing w:after="0"/>
            </w:pPr>
            <w:r>
              <w:rPr>
                <w:color w:val="243447"/>
                <w:sz w:val="17"/>
              </w:rPr>
              <w:t>Rare terms are more valuable than common terms.</w:t>
            </w:r>
          </w:p>
        </w:tc>
        <w:tc>
          <w:tcPr>
            <w:tcW w:type="dxa" w:w="3264"/>
            <w:tcMar>
              <w:top w:w="100" w:type="dxa"/>
              <w:start w:w="120" w:type="dxa"/>
              <w:bottom w:w="100" w:type="dxa"/>
              <w:end w:w="120" w:type="dxa"/>
            </w:tcMar>
            <w:vAlign w:val="top"/>
          </w:tcPr>
          <w:p>
            <w:pPr>
              <w:spacing w:after="0"/>
            </w:pPr>
            <w:r>
              <w:rPr>
                <w:color w:val="243447"/>
                <w:sz w:val="17"/>
              </w:rPr>
              <w:t>Activity_19w6jj3 is more informative than ‘process’.</w:t>
            </w:r>
          </w:p>
        </w:tc>
      </w:tr>
      <w:tr>
        <w:trPr>
          <w:cantSplit/>
        </w:trPr>
        <w:tc>
          <w:tcPr>
            <w:tcW w:type="dxa" w:w="3264"/>
            <w:tcMar>
              <w:top w:w="100" w:type="dxa"/>
              <w:start w:w="120" w:type="dxa"/>
              <w:bottom w:w="100" w:type="dxa"/>
              <w:end w:w="120" w:type="dxa"/>
            </w:tcMar>
            <w:vAlign w:val="top"/>
          </w:tcPr>
          <w:p>
            <w:pPr>
              <w:spacing w:after="0"/>
            </w:pPr>
            <w:r>
              <w:rPr>
                <w:color w:val="243447"/>
                <w:sz w:val="17"/>
              </w:rPr>
              <w:t>Term frequency with saturation</w:t>
            </w:r>
          </w:p>
        </w:tc>
        <w:tc>
          <w:tcPr>
            <w:tcW w:type="dxa" w:w="3264"/>
            <w:tcMar>
              <w:top w:w="100" w:type="dxa"/>
              <w:start w:w="120" w:type="dxa"/>
              <w:bottom w:w="100" w:type="dxa"/>
              <w:end w:w="120" w:type="dxa"/>
            </w:tcMar>
            <w:vAlign w:val="top"/>
          </w:tcPr>
          <w:p>
            <w:pPr>
              <w:spacing w:after="0"/>
            </w:pPr>
            <w:r>
              <w:rPr>
                <w:color w:val="243447"/>
                <w:sz w:val="17"/>
              </w:rPr>
              <w:t>Repeated matches help, but repetition is not rewarded without limit.</w:t>
            </w:r>
          </w:p>
        </w:tc>
        <w:tc>
          <w:tcPr>
            <w:tcW w:type="dxa" w:w="3264"/>
            <w:tcMar>
              <w:top w:w="100" w:type="dxa"/>
              <w:start w:w="120" w:type="dxa"/>
              <w:bottom w:w="100" w:type="dxa"/>
              <w:end w:w="120" w:type="dxa"/>
            </w:tcMar>
            <w:vAlign w:val="top"/>
          </w:tcPr>
          <w:p>
            <w:pPr>
              <w:spacing w:after="0"/>
            </w:pPr>
            <w:r>
              <w:rPr>
                <w:color w:val="243447"/>
                <w:sz w:val="17"/>
              </w:rPr>
              <w:t>Three useful occurrences of ‘approval’ help; 100 repeated occurrences do not dominate indefinitely.</w:t>
            </w:r>
          </w:p>
        </w:tc>
      </w:tr>
      <w:tr>
        <w:trPr>
          <w:cantSplit/>
        </w:trPr>
        <w:tc>
          <w:tcPr>
            <w:tcW w:type="dxa" w:w="3264"/>
            <w:tcMar>
              <w:top w:w="100" w:type="dxa"/>
              <w:start w:w="120" w:type="dxa"/>
              <w:bottom w:w="100" w:type="dxa"/>
              <w:end w:w="120" w:type="dxa"/>
            </w:tcMar>
            <w:vAlign w:val="top"/>
          </w:tcPr>
          <w:p>
            <w:pPr>
              <w:spacing w:after="0"/>
            </w:pPr>
            <w:r>
              <w:rPr>
                <w:color w:val="243447"/>
                <w:sz w:val="17"/>
              </w:rPr>
              <w:t>Length normalization</w:t>
            </w:r>
          </w:p>
        </w:tc>
        <w:tc>
          <w:tcPr>
            <w:tcW w:type="dxa" w:w="3264"/>
            <w:tcMar>
              <w:top w:w="100" w:type="dxa"/>
              <w:start w:w="120" w:type="dxa"/>
              <w:bottom w:w="100" w:type="dxa"/>
              <w:end w:w="120" w:type="dxa"/>
            </w:tcMar>
            <w:vAlign w:val="top"/>
          </w:tcPr>
          <w:p>
            <w:pPr>
              <w:spacing w:after="0"/>
            </w:pPr>
            <w:r>
              <w:rPr>
                <w:color w:val="243447"/>
                <w:sz w:val="17"/>
              </w:rPr>
              <w:t>A focused short section can outrank a huge document containing the word once.</w:t>
            </w:r>
          </w:p>
        </w:tc>
        <w:tc>
          <w:tcPr>
            <w:tcW w:type="dxa" w:w="3264"/>
            <w:tcMar>
              <w:top w:w="100" w:type="dxa"/>
              <w:start w:w="120" w:type="dxa"/>
              <w:bottom w:w="100" w:type="dxa"/>
              <w:end w:w="120" w:type="dxa"/>
            </w:tcMar>
            <w:vAlign w:val="top"/>
          </w:tcPr>
          <w:p>
            <w:pPr>
              <w:spacing w:after="0"/>
            </w:pPr>
            <w:r>
              <w:rPr>
                <w:color w:val="243447"/>
                <w:sz w:val="17"/>
              </w:rPr>
              <w:t>A one-paragraph approval clause outranks a twenty-page general SOP chunk.</w:t>
            </w:r>
          </w:p>
        </w:tc>
      </w:tr>
    </w:tbl>
    <w:p>
      <w:pPr>
        <w:spacing w:after="0"/>
      </w:pPr>
    </w:p>
    <w:p>
      <w:pPr>
        <w:pStyle w:val="Heading2"/>
      </w:pPr>
      <w:r>
        <w:t>7.2 Exact-identifier example</w:t>
      </w:r>
    </w:p>
    <w:p>
      <w:r>
        <w:t>Query:</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Activity_19w6jj3 validation failure</w:t>
            </w:r>
          </w:p>
        </w:tc>
      </w:tr>
    </w:tbl>
    <w:p>
      <w:pPr>
        <w:spacing w:after="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80"/>
            <w:shd w:fill="1F4E78"/>
            <w:tcMar>
              <w:top w:w="100" w:type="dxa"/>
              <w:start w:w="120" w:type="dxa"/>
              <w:bottom w:w="100" w:type="dxa"/>
              <w:end w:w="120" w:type="dxa"/>
            </w:tcMar>
            <w:vAlign w:val="center"/>
          </w:tcPr>
          <w:p>
            <w:r>
              <w:rPr>
                <w:b/>
                <w:color w:val="FFFFFF"/>
                <w:sz w:val="18"/>
              </w:rPr>
              <w:t>Candidate</w:t>
            </w:r>
          </w:p>
        </w:tc>
        <w:tc>
          <w:tcPr>
            <w:tcW w:type="dxa" w:w="4680"/>
            <w:shd w:fill="1F4E78"/>
            <w:tcMar>
              <w:top w:w="100" w:type="dxa"/>
              <w:start w:w="120" w:type="dxa"/>
              <w:bottom w:w="100" w:type="dxa"/>
              <w:end w:w="120" w:type="dxa"/>
            </w:tcMar>
            <w:vAlign w:val="center"/>
          </w:tcPr>
          <w:p>
            <w:r>
              <w:rPr>
                <w:b/>
                <w:color w:val="FFFFFF"/>
                <w:sz w:val="18"/>
              </w:rPr>
              <w:t>Text</w:t>
            </w:r>
          </w:p>
        </w:tc>
        <w:tc>
          <w:tcPr>
            <w:tcW w:type="dxa" w:w="3960"/>
            <w:shd w:fill="1F4E78"/>
            <w:tcMar>
              <w:top w:w="100" w:type="dxa"/>
              <w:start w:w="120" w:type="dxa"/>
              <w:bottom w:w="100" w:type="dxa"/>
              <w:end w:w="120" w:type="dxa"/>
            </w:tcMar>
            <w:vAlign w:val="center"/>
          </w:tcPr>
          <w:p>
            <w:r>
              <w:rPr>
                <w:b/>
                <w:color w:val="FFFFFF"/>
                <w:sz w:val="18"/>
              </w:rPr>
              <w:t>Why BM25 ranks it</w:t>
            </w:r>
          </w:p>
        </w:tc>
      </w:tr>
      <w:tr>
        <w:trPr>
          <w:cantSplit/>
        </w:trPr>
        <w:tc>
          <w:tcPr>
            <w:tcW w:type="dxa" w:w="3264"/>
            <w:tcMar>
              <w:top w:w="100" w:type="dxa"/>
              <w:start w:w="120" w:type="dxa"/>
              <w:bottom w:w="100" w:type="dxa"/>
              <w:end w:w="120" w:type="dxa"/>
            </w:tcMar>
            <w:vAlign w:val="top"/>
          </w:tcPr>
          <w:p>
            <w:pPr>
              <w:spacing w:after="0"/>
            </w:pPr>
            <w:r>
              <w:rPr>
                <w:color w:val="243447"/>
                <w:sz w:val="17"/>
              </w:rPr>
              <w:t>A</w:t>
            </w:r>
          </w:p>
        </w:tc>
        <w:tc>
          <w:tcPr>
            <w:tcW w:type="dxa" w:w="3264"/>
            <w:tcMar>
              <w:top w:w="100" w:type="dxa"/>
              <w:start w:w="120" w:type="dxa"/>
              <w:bottom w:w="100" w:type="dxa"/>
              <w:end w:w="120" w:type="dxa"/>
            </w:tcMar>
            <w:vAlign w:val="top"/>
          </w:tcPr>
          <w:p>
            <w:pPr>
              <w:spacing w:after="0"/>
            </w:pPr>
            <w:r>
              <w:rPr>
                <w:color w:val="243447"/>
                <w:sz w:val="17"/>
              </w:rPr>
              <w:t>Activity_19w6jj3 performs STS Code Validation.</w:t>
            </w:r>
          </w:p>
        </w:tc>
        <w:tc>
          <w:tcPr>
            <w:tcW w:type="dxa" w:w="3264"/>
            <w:tcMar>
              <w:top w:w="100" w:type="dxa"/>
              <w:start w:w="120" w:type="dxa"/>
              <w:bottom w:w="100" w:type="dxa"/>
              <w:end w:w="120" w:type="dxa"/>
            </w:tcMar>
            <w:vAlign w:val="top"/>
          </w:tcPr>
          <w:p>
            <w:pPr>
              <w:spacing w:after="0"/>
            </w:pPr>
            <w:r>
              <w:rPr>
                <w:color w:val="243447"/>
                <w:sz w:val="17"/>
              </w:rPr>
              <w:t>Exact activity ID plus validation term; strongest result.</w:t>
            </w:r>
          </w:p>
        </w:tc>
      </w:tr>
      <w:tr>
        <w:trPr>
          <w:cantSplit/>
        </w:trPr>
        <w:tc>
          <w:tcPr>
            <w:tcW w:type="dxa" w:w="3264"/>
            <w:tcMar>
              <w:top w:w="100" w:type="dxa"/>
              <w:start w:w="120" w:type="dxa"/>
              <w:bottom w:w="100" w:type="dxa"/>
              <w:end w:w="120" w:type="dxa"/>
            </w:tcMar>
            <w:vAlign w:val="top"/>
          </w:tcPr>
          <w:p>
            <w:pPr>
              <w:spacing w:after="0"/>
            </w:pPr>
            <w:r>
              <w:rPr>
                <w:color w:val="243447"/>
                <w:sz w:val="17"/>
              </w:rPr>
              <w:t>B</w:t>
            </w:r>
          </w:p>
        </w:tc>
        <w:tc>
          <w:tcPr>
            <w:tcW w:type="dxa" w:w="3264"/>
            <w:tcMar>
              <w:top w:w="100" w:type="dxa"/>
              <w:start w:w="120" w:type="dxa"/>
              <w:bottom w:w="100" w:type="dxa"/>
              <w:end w:w="120" w:type="dxa"/>
            </w:tcMar>
            <w:vAlign w:val="top"/>
          </w:tcPr>
          <w:p>
            <w:pPr>
              <w:spacing w:after="0"/>
            </w:pPr>
            <w:r>
              <w:rPr>
                <w:color w:val="243447"/>
                <w:sz w:val="17"/>
              </w:rPr>
              <w:t>Manual Review handles validation failures.</w:t>
            </w:r>
          </w:p>
        </w:tc>
        <w:tc>
          <w:tcPr>
            <w:tcW w:type="dxa" w:w="3264"/>
            <w:tcMar>
              <w:top w:w="100" w:type="dxa"/>
              <w:start w:w="120" w:type="dxa"/>
              <w:bottom w:w="100" w:type="dxa"/>
              <w:end w:w="120" w:type="dxa"/>
            </w:tcMar>
            <w:vAlign w:val="top"/>
          </w:tcPr>
          <w:p>
            <w:pPr>
              <w:spacing w:after="0"/>
            </w:pPr>
            <w:r>
              <w:rPr>
                <w:color w:val="243447"/>
                <w:sz w:val="17"/>
              </w:rPr>
              <w:t>Matches validation/failure but not the exact activity ID.</w:t>
            </w:r>
          </w:p>
        </w:tc>
      </w:tr>
      <w:tr>
        <w:trPr>
          <w:cantSplit/>
        </w:trPr>
        <w:tc>
          <w:tcPr>
            <w:tcW w:type="dxa" w:w="3264"/>
            <w:tcMar>
              <w:top w:w="100" w:type="dxa"/>
              <w:start w:w="120" w:type="dxa"/>
              <w:bottom w:w="100" w:type="dxa"/>
              <w:end w:w="120" w:type="dxa"/>
            </w:tcMar>
            <w:vAlign w:val="top"/>
          </w:tcPr>
          <w:p>
            <w:pPr>
              <w:spacing w:after="0"/>
            </w:pPr>
            <w:r>
              <w:rPr>
                <w:color w:val="243447"/>
                <w:sz w:val="17"/>
              </w:rPr>
              <w:t>C</w:t>
            </w:r>
          </w:p>
        </w:tc>
        <w:tc>
          <w:tcPr>
            <w:tcW w:type="dxa" w:w="3264"/>
            <w:tcMar>
              <w:top w:w="100" w:type="dxa"/>
              <w:start w:w="120" w:type="dxa"/>
              <w:bottom w:w="100" w:type="dxa"/>
              <w:end w:w="120" w:type="dxa"/>
            </w:tcMar>
            <w:vAlign w:val="top"/>
          </w:tcPr>
          <w:p>
            <w:pPr>
              <w:spacing w:after="0"/>
            </w:pPr>
            <w:r>
              <w:rPr>
                <w:color w:val="243447"/>
                <w:sz w:val="17"/>
              </w:rPr>
              <w:t>Activity_9988 performs address validation.</w:t>
            </w:r>
          </w:p>
        </w:tc>
        <w:tc>
          <w:tcPr>
            <w:tcW w:type="dxa" w:w="3264"/>
            <w:tcMar>
              <w:top w:w="100" w:type="dxa"/>
              <w:start w:w="120" w:type="dxa"/>
              <w:bottom w:w="100" w:type="dxa"/>
              <w:end w:w="120" w:type="dxa"/>
            </w:tcMar>
            <w:vAlign w:val="top"/>
          </w:tcPr>
          <w:p>
            <w:pPr>
              <w:spacing w:after="0"/>
            </w:pPr>
            <w:r>
              <w:rPr>
                <w:color w:val="243447"/>
                <w:sz w:val="17"/>
              </w:rPr>
              <w:t>Matches validation but contains a different ID.</w:t>
            </w:r>
          </w:p>
        </w:tc>
      </w:tr>
    </w:tbl>
    <w:p>
      <w:pPr>
        <w:spacing w:after="0"/>
      </w:pPr>
    </w:p>
    <w:p>
      <w:r>
        <w:t>A semantic model may not treat an internal identifier such as Activity_19w6jj3 reliably. BM25 can match it exactly, which makes BM25 especially important for process IDs, activity IDs, policy numbers, reason codes, system names, and exact document titles.</w:t>
      </w:r>
    </w:p>
    <w:p>
      <w:pPr>
        <w:pStyle w:val="Heading2"/>
      </w:pPr>
      <w:r>
        <w:t>7.3 Where BM25 is strong and weak</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867"/>
            <w:shd w:fill="1F4E78"/>
            <w:tcMar>
              <w:top w:w="100" w:type="dxa"/>
              <w:start w:w="120" w:type="dxa"/>
              <w:bottom w:w="100" w:type="dxa"/>
              <w:end w:w="120" w:type="dxa"/>
            </w:tcMar>
            <w:vAlign w:val="center"/>
          </w:tcPr>
          <w:p>
            <w:r>
              <w:rPr>
                <w:b/>
                <w:color w:val="FFFFFF"/>
                <w:sz w:val="18"/>
              </w:rPr>
              <w:t>BM25 is strong when…</w:t>
            </w:r>
          </w:p>
        </w:tc>
        <w:tc>
          <w:tcPr>
            <w:tcW w:type="dxa" w:w="4852"/>
            <w:shd w:fill="1F4E78"/>
            <w:tcMar>
              <w:top w:w="100" w:type="dxa"/>
              <w:start w:w="120" w:type="dxa"/>
              <w:bottom w:w="100" w:type="dxa"/>
              <w:end w:w="120" w:type="dxa"/>
            </w:tcMar>
            <w:vAlign w:val="center"/>
          </w:tcPr>
          <w:p>
            <w:r>
              <w:rPr>
                <w:b/>
                <w:color w:val="FFFFFF"/>
                <w:sz w:val="18"/>
              </w:rPr>
              <w:t>BM25 may be weak when…</w:t>
            </w:r>
          </w:p>
        </w:tc>
      </w:tr>
      <w:tr>
        <w:trPr>
          <w:cantSplit/>
        </w:trPr>
        <w:tc>
          <w:tcPr>
            <w:tcW w:type="dxa" w:w="4896"/>
            <w:tcMar>
              <w:top w:w="100" w:type="dxa"/>
              <w:start w:w="120" w:type="dxa"/>
              <w:bottom w:w="100" w:type="dxa"/>
              <w:end w:w="120" w:type="dxa"/>
            </w:tcMar>
            <w:vAlign w:val="top"/>
          </w:tcPr>
          <w:p>
            <w:pPr>
              <w:spacing w:after="0"/>
            </w:pPr>
            <w:r>
              <w:rPr>
                <w:color w:val="243447"/>
                <w:sz w:val="17"/>
              </w:rPr>
              <w:t>The question contains exact IDs, acronyms, codes, titles, names, or policy terminology.</w:t>
            </w:r>
          </w:p>
        </w:tc>
        <w:tc>
          <w:tcPr>
            <w:tcW w:type="dxa" w:w="4896"/>
            <w:tcMar>
              <w:top w:w="100" w:type="dxa"/>
              <w:start w:w="120" w:type="dxa"/>
              <w:bottom w:w="100" w:type="dxa"/>
              <w:end w:w="120" w:type="dxa"/>
            </w:tcMar>
            <w:vAlign w:val="top"/>
          </w:tcPr>
          <w:p>
            <w:pPr>
              <w:spacing w:after="0"/>
            </w:pPr>
            <w:r>
              <w:rPr>
                <w:color w:val="243447"/>
                <w:sz w:val="17"/>
              </w:rPr>
              <w:t>The user paraphrases the source using different vocabulary.</w:t>
            </w:r>
          </w:p>
        </w:tc>
      </w:tr>
      <w:tr>
        <w:trPr>
          <w:cantSplit/>
        </w:trPr>
        <w:tc>
          <w:tcPr>
            <w:tcW w:type="dxa" w:w="4896"/>
            <w:tcMar>
              <w:top w:w="100" w:type="dxa"/>
              <w:start w:w="120" w:type="dxa"/>
              <w:bottom w:w="100" w:type="dxa"/>
              <w:end w:w="120" w:type="dxa"/>
            </w:tcMar>
            <w:vAlign w:val="top"/>
          </w:tcPr>
          <w:p>
            <w:pPr>
              <w:spacing w:after="0"/>
            </w:pPr>
            <w:r>
              <w:rPr>
                <w:color w:val="243447"/>
                <w:sz w:val="17"/>
              </w:rPr>
              <w:t>A rare term should strongly identify one chunk.</w:t>
            </w:r>
          </w:p>
        </w:tc>
        <w:tc>
          <w:tcPr>
            <w:tcW w:type="dxa" w:w="4896"/>
            <w:tcMar>
              <w:top w:w="100" w:type="dxa"/>
              <w:start w:w="120" w:type="dxa"/>
              <w:bottom w:w="100" w:type="dxa"/>
              <w:end w:w="120" w:type="dxa"/>
            </w:tcMar>
            <w:vAlign w:val="top"/>
          </w:tcPr>
          <w:p>
            <w:pPr>
              <w:spacing w:after="0"/>
            </w:pPr>
            <w:r>
              <w:rPr>
                <w:color w:val="243447"/>
                <w:sz w:val="17"/>
              </w:rPr>
              <w:t>The relevant relationship is conceptual rather than lexical.</w:t>
            </w:r>
          </w:p>
        </w:tc>
      </w:tr>
      <w:tr>
        <w:trPr>
          <w:cantSplit/>
        </w:trPr>
        <w:tc>
          <w:tcPr>
            <w:tcW w:type="dxa" w:w="4896"/>
            <w:tcMar>
              <w:top w:w="100" w:type="dxa"/>
              <w:start w:w="120" w:type="dxa"/>
              <w:bottom w:w="100" w:type="dxa"/>
              <w:end w:w="120" w:type="dxa"/>
            </w:tcMar>
            <w:vAlign w:val="top"/>
          </w:tcPr>
          <w:p>
            <w:pPr>
              <w:spacing w:after="0"/>
            </w:pPr>
            <w:r>
              <w:rPr>
                <w:color w:val="243447"/>
                <w:sz w:val="17"/>
              </w:rPr>
              <w:t>The user knows what to call the item.</w:t>
            </w:r>
          </w:p>
        </w:tc>
        <w:tc>
          <w:tcPr>
            <w:tcW w:type="dxa" w:w="4896"/>
            <w:tcMar>
              <w:top w:w="100" w:type="dxa"/>
              <w:start w:w="120" w:type="dxa"/>
              <w:bottom w:w="100" w:type="dxa"/>
              <w:end w:w="120" w:type="dxa"/>
            </w:tcMar>
            <w:vAlign w:val="top"/>
          </w:tcPr>
          <w:p>
            <w:pPr>
              <w:spacing w:after="0"/>
            </w:pPr>
            <w:r>
              <w:rPr>
                <w:color w:val="243447"/>
                <w:sz w:val="17"/>
              </w:rPr>
              <w:t>The user describes what they mean but does not know its official name.</w:t>
            </w:r>
          </w:p>
        </w:tc>
      </w:tr>
    </w:tbl>
    <w:p>
      <w:pPr>
        <w:spacing w:after="0"/>
      </w:pPr>
    </w:p>
    <w:p>
      <w:pPr>
        <w:pStyle w:val="Heading1"/>
      </w:pPr>
      <w:r>
        <w:t>8. Vector search explained</w:t>
      </w:r>
    </w:p>
    <w:p>
      <w:r>
        <w:t>Vector search represents the query and each chunk as numerical embeddings. Chunks with similar meaning are placed near each other even when their words differ. This is valuable because business users often use terms that do not exactly match SOP or BPMN terminology.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68"/>
            <w:shd w:fill="1F4E78"/>
            <w:tcMar>
              <w:top w:w="100" w:type="dxa"/>
              <w:start w:w="120" w:type="dxa"/>
              <w:bottom w:w="100" w:type="dxa"/>
              <w:end w:w="120" w:type="dxa"/>
            </w:tcMar>
            <w:vAlign w:val="center"/>
          </w:tcPr>
          <w:p>
            <w:r>
              <w:rPr>
                <w:b/>
                <w:color w:val="FFFFFF"/>
                <w:sz w:val="18"/>
              </w:rPr>
              <w:t>User wording</w:t>
            </w:r>
          </w:p>
        </w:tc>
        <w:tc>
          <w:tcPr>
            <w:tcW w:type="dxa" w:w="3960"/>
            <w:shd w:fill="1F4E78"/>
            <w:tcMar>
              <w:top w:w="100" w:type="dxa"/>
              <w:start w:w="120" w:type="dxa"/>
              <w:bottom w:w="100" w:type="dxa"/>
              <w:end w:w="120" w:type="dxa"/>
            </w:tcMar>
            <w:vAlign w:val="center"/>
          </w:tcPr>
          <w:p>
            <w:r>
              <w:rPr>
                <w:b/>
                <w:color w:val="FFFFFF"/>
                <w:sz w:val="18"/>
              </w:rPr>
              <w:t>Document wording</w:t>
            </w:r>
          </w:p>
        </w:tc>
        <w:tc>
          <w:tcPr>
            <w:tcW w:type="dxa" w:w="2592"/>
            <w:shd w:fill="1F4E78"/>
            <w:tcMar>
              <w:top w:w="100" w:type="dxa"/>
              <w:start w:w="120" w:type="dxa"/>
              <w:bottom w:w="100" w:type="dxa"/>
              <w:end w:w="120" w:type="dxa"/>
            </w:tcMar>
            <w:vAlign w:val="center"/>
          </w:tcPr>
          <w:p>
            <w:r>
              <w:rPr>
                <w:b/>
                <w:color w:val="FFFFFF"/>
                <w:sz w:val="18"/>
              </w:rPr>
              <w:t>Semantic relationship</w:t>
            </w:r>
          </w:p>
        </w:tc>
      </w:tr>
      <w:tr>
        <w:trPr>
          <w:cantSplit/>
        </w:trPr>
        <w:tc>
          <w:tcPr>
            <w:tcW w:type="dxa" w:w="3264"/>
            <w:tcMar>
              <w:top w:w="100" w:type="dxa"/>
              <w:start w:w="120" w:type="dxa"/>
              <w:bottom w:w="100" w:type="dxa"/>
              <w:end w:w="120" w:type="dxa"/>
            </w:tcMar>
            <w:vAlign w:val="top"/>
          </w:tcPr>
          <w:p>
            <w:pPr>
              <w:spacing w:after="0"/>
            </w:pPr>
            <w:r>
              <w:rPr>
                <w:color w:val="243447"/>
                <w:sz w:val="17"/>
              </w:rPr>
              <w:t>Who authorizes a large reimbursement?</w:t>
            </w:r>
          </w:p>
        </w:tc>
        <w:tc>
          <w:tcPr>
            <w:tcW w:type="dxa" w:w="3264"/>
            <w:tcMar>
              <w:top w:w="100" w:type="dxa"/>
              <w:start w:w="120" w:type="dxa"/>
              <w:bottom w:w="100" w:type="dxa"/>
              <w:end w:w="120" w:type="dxa"/>
            </w:tcMar>
            <w:vAlign w:val="top"/>
          </w:tcPr>
          <w:p>
            <w:pPr>
              <w:spacing w:after="0"/>
            </w:pPr>
            <w:r>
              <w:rPr>
                <w:color w:val="243447"/>
                <w:sz w:val="17"/>
              </w:rPr>
              <w:t>Refunds above $10,000 require manager approval.</w:t>
            </w:r>
          </w:p>
        </w:tc>
        <w:tc>
          <w:tcPr>
            <w:tcW w:type="dxa" w:w="3264"/>
            <w:tcMar>
              <w:top w:w="100" w:type="dxa"/>
              <w:start w:w="120" w:type="dxa"/>
              <w:bottom w:w="100" w:type="dxa"/>
              <w:end w:w="120" w:type="dxa"/>
            </w:tcMar>
            <w:vAlign w:val="top"/>
          </w:tcPr>
          <w:p>
            <w:pPr>
              <w:spacing w:after="0"/>
            </w:pPr>
            <w:r>
              <w:rPr>
                <w:color w:val="243447"/>
                <w:sz w:val="17"/>
              </w:rPr>
              <w:t>authorizes ≈ approval; reimbursement ≈ refund; large ≈ high-value</w:t>
            </w:r>
          </w:p>
        </w:tc>
      </w:tr>
      <w:tr>
        <w:trPr>
          <w:cantSplit/>
        </w:trPr>
        <w:tc>
          <w:tcPr>
            <w:tcW w:type="dxa" w:w="3264"/>
            <w:tcMar>
              <w:top w:w="100" w:type="dxa"/>
              <w:start w:w="120" w:type="dxa"/>
              <w:bottom w:w="100" w:type="dxa"/>
              <w:end w:w="120" w:type="dxa"/>
            </w:tcMar>
            <w:vAlign w:val="top"/>
          </w:tcPr>
          <w:p>
            <w:pPr>
              <w:spacing w:after="0"/>
            </w:pPr>
            <w:r>
              <w:rPr>
                <w:color w:val="243447"/>
                <w:sz w:val="17"/>
              </w:rPr>
              <w:t>What happens when the account check fails?</w:t>
            </w:r>
          </w:p>
        </w:tc>
        <w:tc>
          <w:tcPr>
            <w:tcW w:type="dxa" w:w="3264"/>
            <w:tcMar>
              <w:top w:w="100" w:type="dxa"/>
              <w:start w:w="120" w:type="dxa"/>
              <w:bottom w:w="100" w:type="dxa"/>
              <w:end w:w="120" w:type="dxa"/>
            </w:tcMar>
            <w:vAlign w:val="top"/>
          </w:tcPr>
          <w:p>
            <w:pPr>
              <w:spacing w:after="0"/>
            </w:pPr>
            <w:r>
              <w:rPr>
                <w:color w:val="243447"/>
                <w:sz w:val="17"/>
              </w:rPr>
              <w:t>Failed customer validation is routed to Manual Review.</w:t>
            </w:r>
          </w:p>
        </w:tc>
        <w:tc>
          <w:tcPr>
            <w:tcW w:type="dxa" w:w="3264"/>
            <w:tcMar>
              <w:top w:w="100" w:type="dxa"/>
              <w:start w:w="120" w:type="dxa"/>
              <w:bottom w:w="100" w:type="dxa"/>
              <w:end w:w="120" w:type="dxa"/>
            </w:tcMar>
            <w:vAlign w:val="top"/>
          </w:tcPr>
          <w:p>
            <w:pPr>
              <w:spacing w:after="0"/>
            </w:pPr>
            <w:r>
              <w:rPr>
                <w:color w:val="243447"/>
                <w:sz w:val="17"/>
              </w:rPr>
              <w:t>account check ≈ validation; fails ≈ failed</w:t>
            </w:r>
          </w:p>
        </w:tc>
      </w:tr>
    </w:tbl>
    <w:p>
      <w:pPr>
        <w:spacing w:after="0"/>
      </w:pPr>
    </w:p>
    <w:p>
      <w:r>
        <w:t>The weakness is equally important: semantic similarity does not prove entity identity. A Vendor Refund approval rule can be extremely similar to a Credit Balance Refund approval rule. The process filter therefore has to be applied before or during vector candidate generation.</w:t>
      </w:r>
    </w:p>
    <w:p>
      <w:pPr>
        <w:pStyle w:val="Heading1"/>
      </w:pPr>
      <w:r>
        <w:t>9. Why hybrid retrieval is required</w:t>
      </w:r>
    </w:p>
    <w:p>
      <w:r>
        <w:t>Hybrid retrieval combines the complementary strengths of BM25 and vector search.</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3528"/>
            <w:shd w:fill="1F4E78"/>
            <w:tcMar>
              <w:top w:w="100" w:type="dxa"/>
              <w:start w:w="120" w:type="dxa"/>
              <w:bottom w:w="100" w:type="dxa"/>
              <w:end w:w="120" w:type="dxa"/>
            </w:tcMar>
            <w:vAlign w:val="center"/>
          </w:tcPr>
          <w:p>
            <w:r>
              <w:rPr>
                <w:b/>
                <w:color w:val="FFFFFF"/>
                <w:sz w:val="18"/>
              </w:rPr>
              <w:t>Question</w:t>
            </w:r>
          </w:p>
        </w:tc>
        <w:tc>
          <w:tcPr>
            <w:tcW w:type="dxa" w:w="2232"/>
            <w:shd w:fill="1F4E78"/>
            <w:tcMar>
              <w:top w:w="100" w:type="dxa"/>
              <w:start w:w="120" w:type="dxa"/>
              <w:bottom w:w="100" w:type="dxa"/>
              <w:end w:w="120" w:type="dxa"/>
            </w:tcMar>
            <w:vAlign w:val="center"/>
          </w:tcPr>
          <w:p>
            <w:r>
              <w:rPr>
                <w:b/>
                <w:color w:val="FFFFFF"/>
                <w:sz w:val="18"/>
              </w:rPr>
              <w:t>BM25</w:t>
            </w:r>
          </w:p>
        </w:tc>
        <w:tc>
          <w:tcPr>
            <w:tcW w:type="dxa" w:w="2088"/>
            <w:shd w:fill="1F4E78"/>
            <w:tcMar>
              <w:top w:w="100" w:type="dxa"/>
              <w:start w:w="120" w:type="dxa"/>
              <w:bottom w:w="100" w:type="dxa"/>
              <w:end w:w="120" w:type="dxa"/>
            </w:tcMar>
            <w:vAlign w:val="center"/>
          </w:tcPr>
          <w:p>
            <w:r>
              <w:rPr>
                <w:b/>
                <w:color w:val="FFFFFF"/>
                <w:sz w:val="18"/>
              </w:rPr>
              <w:t>Vector search</w:t>
            </w:r>
          </w:p>
        </w:tc>
        <w:tc>
          <w:tcPr>
            <w:tcW w:type="dxa" w:w="1872"/>
            <w:shd w:fill="1F4E78"/>
            <w:tcMar>
              <w:top w:w="100" w:type="dxa"/>
              <w:start w:w="120" w:type="dxa"/>
              <w:bottom w:w="100" w:type="dxa"/>
              <w:end w:w="120" w:type="dxa"/>
            </w:tcMar>
            <w:vAlign w:val="center"/>
          </w:tcPr>
          <w:p>
            <w:r>
              <w:rPr>
                <w:b/>
                <w:color w:val="FFFFFF"/>
                <w:sz w:val="18"/>
              </w:rPr>
              <w:t>Best route</w:t>
            </w:r>
          </w:p>
        </w:tc>
      </w:tr>
      <w:tr>
        <w:trPr>
          <w:cantSplit/>
        </w:trPr>
        <w:tc>
          <w:tcPr>
            <w:tcW w:type="dxa" w:w="2448"/>
            <w:tcMar>
              <w:top w:w="100" w:type="dxa"/>
              <w:start w:w="120" w:type="dxa"/>
              <w:bottom w:w="100" w:type="dxa"/>
              <w:end w:w="120" w:type="dxa"/>
            </w:tcMar>
            <w:vAlign w:val="top"/>
          </w:tcPr>
          <w:p>
            <w:pPr>
              <w:spacing w:after="0"/>
            </w:pPr>
            <w:r>
              <w:rPr>
                <w:color w:val="243447"/>
                <w:sz w:val="17"/>
              </w:rPr>
              <w:t>What does Activity_19w6jj3 do?</w:t>
            </w:r>
          </w:p>
        </w:tc>
        <w:tc>
          <w:tcPr>
            <w:tcW w:type="dxa" w:w="2448"/>
            <w:tcMar>
              <w:top w:w="100" w:type="dxa"/>
              <w:start w:w="120" w:type="dxa"/>
              <w:bottom w:w="100" w:type="dxa"/>
              <w:end w:w="120" w:type="dxa"/>
            </w:tcMar>
            <w:vAlign w:val="top"/>
          </w:tcPr>
          <w:p>
            <w:pPr>
              <w:spacing w:after="0"/>
            </w:pPr>
            <w:r>
              <w:rPr>
                <w:color w:val="243447"/>
                <w:sz w:val="17"/>
              </w:rPr>
              <w:t>Excellent exact ID match</w:t>
            </w:r>
          </w:p>
        </w:tc>
        <w:tc>
          <w:tcPr>
            <w:tcW w:type="dxa" w:w="2448"/>
            <w:tcMar>
              <w:top w:w="100" w:type="dxa"/>
              <w:start w:w="120" w:type="dxa"/>
              <w:bottom w:w="100" w:type="dxa"/>
              <w:end w:w="120" w:type="dxa"/>
            </w:tcMar>
            <w:vAlign w:val="top"/>
          </w:tcPr>
          <w:p>
            <w:pPr>
              <w:spacing w:after="0"/>
            </w:pPr>
            <w:r>
              <w:rPr>
                <w:color w:val="243447"/>
                <w:sz w:val="17"/>
              </w:rPr>
              <w:t>Potentially weak</w:t>
            </w:r>
          </w:p>
        </w:tc>
        <w:tc>
          <w:tcPr>
            <w:tcW w:type="dxa" w:w="2448"/>
            <w:tcMar>
              <w:top w:w="100" w:type="dxa"/>
              <w:start w:w="120" w:type="dxa"/>
              <w:bottom w:w="100" w:type="dxa"/>
              <w:end w:w="120" w:type="dxa"/>
            </w:tcMar>
            <w:vAlign w:val="top"/>
          </w:tcPr>
          <w:p>
            <w:pPr>
              <w:spacing w:after="0"/>
            </w:pPr>
            <w:r>
              <w:rPr>
                <w:color w:val="243447"/>
                <w:sz w:val="17"/>
              </w:rPr>
              <w:t>BM25 + filter</w:t>
            </w:r>
          </w:p>
        </w:tc>
      </w:tr>
      <w:tr>
        <w:trPr>
          <w:cantSplit/>
        </w:trPr>
        <w:tc>
          <w:tcPr>
            <w:tcW w:type="dxa" w:w="2448"/>
            <w:tcMar>
              <w:top w:w="100" w:type="dxa"/>
              <w:start w:w="120" w:type="dxa"/>
              <w:bottom w:w="100" w:type="dxa"/>
              <w:end w:w="120" w:type="dxa"/>
            </w:tcMar>
            <w:vAlign w:val="top"/>
          </w:tcPr>
          <w:p>
            <w:pPr>
              <w:spacing w:after="0"/>
            </w:pPr>
            <w:r>
              <w:rPr>
                <w:color w:val="243447"/>
                <w:sz w:val="17"/>
              </w:rPr>
              <w:t>Show CBR-POL-108</w:t>
            </w:r>
          </w:p>
        </w:tc>
        <w:tc>
          <w:tcPr>
            <w:tcW w:type="dxa" w:w="2448"/>
            <w:tcMar>
              <w:top w:w="100" w:type="dxa"/>
              <w:start w:w="120" w:type="dxa"/>
              <w:bottom w:w="100" w:type="dxa"/>
              <w:end w:w="120" w:type="dxa"/>
            </w:tcMar>
            <w:vAlign w:val="top"/>
          </w:tcPr>
          <w:p>
            <w:pPr>
              <w:spacing w:after="0"/>
            </w:pPr>
            <w:r>
              <w:rPr>
                <w:color w:val="243447"/>
                <w:sz w:val="17"/>
              </w:rPr>
              <w:t>Excellent policy-number match</w:t>
            </w:r>
          </w:p>
        </w:tc>
        <w:tc>
          <w:tcPr>
            <w:tcW w:type="dxa" w:w="2448"/>
            <w:tcMar>
              <w:top w:w="100" w:type="dxa"/>
              <w:start w:w="120" w:type="dxa"/>
              <w:bottom w:w="100" w:type="dxa"/>
              <w:end w:w="120" w:type="dxa"/>
            </w:tcMar>
            <w:vAlign w:val="top"/>
          </w:tcPr>
          <w:p>
            <w:pPr>
              <w:spacing w:after="0"/>
            </w:pPr>
            <w:r>
              <w:rPr>
                <w:color w:val="243447"/>
                <w:sz w:val="17"/>
              </w:rPr>
              <w:t>Potentially weak</w:t>
            </w:r>
          </w:p>
        </w:tc>
        <w:tc>
          <w:tcPr>
            <w:tcW w:type="dxa" w:w="2448"/>
            <w:tcMar>
              <w:top w:w="100" w:type="dxa"/>
              <w:start w:w="120" w:type="dxa"/>
              <w:bottom w:w="100" w:type="dxa"/>
              <w:end w:w="120" w:type="dxa"/>
            </w:tcMar>
            <w:vAlign w:val="top"/>
          </w:tcPr>
          <w:p>
            <w:pPr>
              <w:spacing w:after="0"/>
            </w:pPr>
            <w:r>
              <w:rPr>
                <w:color w:val="243447"/>
                <w:sz w:val="17"/>
              </w:rPr>
              <w:t>BM25 + filter</w:t>
            </w:r>
          </w:p>
        </w:tc>
      </w:tr>
      <w:tr>
        <w:trPr>
          <w:cantSplit/>
        </w:trPr>
        <w:tc>
          <w:tcPr>
            <w:tcW w:type="dxa" w:w="2448"/>
            <w:tcMar>
              <w:top w:w="100" w:type="dxa"/>
              <w:start w:w="120" w:type="dxa"/>
              <w:bottom w:w="100" w:type="dxa"/>
              <w:end w:w="120" w:type="dxa"/>
            </w:tcMar>
            <w:vAlign w:val="top"/>
          </w:tcPr>
          <w:p>
            <w:pPr>
              <w:spacing w:after="0"/>
            </w:pPr>
            <w:r>
              <w:rPr>
                <w:color w:val="243447"/>
                <w:sz w:val="17"/>
              </w:rPr>
              <w:t>Who authorizes large reimbursements?</w:t>
            </w:r>
          </w:p>
        </w:tc>
        <w:tc>
          <w:tcPr>
            <w:tcW w:type="dxa" w:w="2448"/>
            <w:tcMar>
              <w:top w:w="100" w:type="dxa"/>
              <w:start w:w="120" w:type="dxa"/>
              <w:bottom w:w="100" w:type="dxa"/>
              <w:end w:w="120" w:type="dxa"/>
            </w:tcMar>
            <w:vAlign w:val="top"/>
          </w:tcPr>
          <w:p>
            <w:pPr>
              <w:spacing w:after="0"/>
            </w:pPr>
            <w:r>
              <w:rPr>
                <w:color w:val="243447"/>
                <w:sz w:val="17"/>
              </w:rPr>
              <w:t>May miss synonyms</w:t>
            </w:r>
          </w:p>
        </w:tc>
        <w:tc>
          <w:tcPr>
            <w:tcW w:type="dxa" w:w="2448"/>
            <w:tcMar>
              <w:top w:w="100" w:type="dxa"/>
              <w:start w:w="120" w:type="dxa"/>
              <w:bottom w:w="100" w:type="dxa"/>
              <w:end w:w="120" w:type="dxa"/>
            </w:tcMar>
            <w:vAlign w:val="top"/>
          </w:tcPr>
          <w:p>
            <w:pPr>
              <w:spacing w:after="0"/>
            </w:pPr>
            <w:r>
              <w:rPr>
                <w:color w:val="243447"/>
                <w:sz w:val="17"/>
              </w:rPr>
              <w:t>Excellent semantic match</w:t>
            </w:r>
          </w:p>
        </w:tc>
        <w:tc>
          <w:tcPr>
            <w:tcW w:type="dxa" w:w="2448"/>
            <w:tcMar>
              <w:top w:w="100" w:type="dxa"/>
              <w:start w:w="120" w:type="dxa"/>
              <w:bottom w:w="100" w:type="dxa"/>
              <w:end w:w="120" w:type="dxa"/>
            </w:tcMar>
            <w:vAlign w:val="top"/>
          </w:tcPr>
          <w:p>
            <w:pPr>
              <w:spacing w:after="0"/>
            </w:pPr>
            <w:r>
              <w:rPr>
                <w:color w:val="243447"/>
                <w:sz w:val="17"/>
              </w:rPr>
              <w:t>Vector + filter</w:t>
            </w:r>
          </w:p>
        </w:tc>
      </w:tr>
      <w:tr>
        <w:trPr>
          <w:cantSplit/>
        </w:trPr>
        <w:tc>
          <w:tcPr>
            <w:tcW w:type="dxa" w:w="2448"/>
            <w:tcMar>
              <w:top w:w="100" w:type="dxa"/>
              <w:start w:w="120" w:type="dxa"/>
              <w:bottom w:w="100" w:type="dxa"/>
              <w:end w:w="120" w:type="dxa"/>
            </w:tcMar>
            <w:vAlign w:val="top"/>
          </w:tcPr>
          <w:p>
            <w:pPr>
              <w:spacing w:after="0"/>
            </w:pPr>
            <w:r>
              <w:rPr>
                <w:color w:val="243447"/>
                <w:sz w:val="17"/>
              </w:rPr>
              <w:t>What is the approval threshold?</w:t>
            </w:r>
          </w:p>
        </w:tc>
        <w:tc>
          <w:tcPr>
            <w:tcW w:type="dxa" w:w="2448"/>
            <w:tcMar>
              <w:top w:w="100" w:type="dxa"/>
              <w:start w:w="120" w:type="dxa"/>
              <w:bottom w:w="100" w:type="dxa"/>
              <w:end w:w="120" w:type="dxa"/>
            </w:tcMar>
            <w:vAlign w:val="top"/>
          </w:tcPr>
          <w:p>
            <w:pPr>
              <w:spacing w:after="0"/>
            </w:pPr>
            <w:r>
              <w:rPr>
                <w:color w:val="243447"/>
                <w:sz w:val="17"/>
              </w:rPr>
              <w:t>Good</w:t>
            </w:r>
          </w:p>
        </w:tc>
        <w:tc>
          <w:tcPr>
            <w:tcW w:type="dxa" w:w="2448"/>
            <w:tcMar>
              <w:top w:w="100" w:type="dxa"/>
              <w:start w:w="120" w:type="dxa"/>
              <w:bottom w:w="100" w:type="dxa"/>
              <w:end w:w="120" w:type="dxa"/>
            </w:tcMar>
            <w:vAlign w:val="top"/>
          </w:tcPr>
          <w:p>
            <w:pPr>
              <w:spacing w:after="0"/>
            </w:pPr>
            <w:r>
              <w:rPr>
                <w:color w:val="243447"/>
                <w:sz w:val="17"/>
              </w:rPr>
              <w:t>Good</w:t>
            </w:r>
          </w:p>
        </w:tc>
        <w:tc>
          <w:tcPr>
            <w:tcW w:type="dxa" w:w="2448"/>
            <w:tcMar>
              <w:top w:w="100" w:type="dxa"/>
              <w:start w:w="120" w:type="dxa"/>
              <w:bottom w:w="100" w:type="dxa"/>
              <w:end w:w="120" w:type="dxa"/>
            </w:tcMar>
            <w:vAlign w:val="top"/>
          </w:tcPr>
          <w:p>
            <w:pPr>
              <w:spacing w:after="0"/>
            </w:pPr>
            <w:r>
              <w:rPr>
                <w:color w:val="243447"/>
                <w:sz w:val="17"/>
              </w:rPr>
              <w:t>Hybrid + filter</w:t>
            </w:r>
          </w:p>
        </w:tc>
      </w:tr>
    </w:tbl>
    <w:p>
      <w:pPr>
        <w:spacing w:after="0"/>
      </w:pPr>
    </w:p>
    <w:p>
      <w:pPr>
        <w:pStyle w:val="Heading2"/>
      </w:pPr>
      <w:r>
        <w:t>9.1 Rank fusion</w:t>
      </w:r>
    </w:p>
    <w:p>
      <w:r>
        <w:t>BM25 and vector scores live on different scales. A BM25 score of 9.2 cannot be directly compared with a cosine similarity of 0.93. Reciprocal Rank Fusion (RRF) combines the positions of results in each ranked list rather than naively adding incomparable raw scores. A chunk that ranks highly in both lists receives a strong combined rank.</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Filtered BM25 results:        Filtered vector results:</w:t>
              <w:br/>
              <w:t>1. High-Value Approval       1. High-Value Approval</w:t>
              <w:br/>
              <w:t>2. Standard Approval         2. Standard Approval</w:t>
              <w:br/>
              <w:t>3. Manual Review             3. Customer Validation</w:t>
              <w:br/>
              <w:br/>
              <w:t>RRF favors High-Value Approval because it ranks first in both lists.</w:t>
            </w:r>
          </w:p>
        </w:tc>
      </w:tr>
    </w:tbl>
    <w:p>
      <w:pPr>
        <w:spacing w:after="0"/>
      </w:pPr>
    </w:p>
    <w:p>
      <w:pPr>
        <w:pStyle w:val="Heading2"/>
      </w:pPr>
      <w:r>
        <w:t>9.2 Reranking</w:t>
      </w:r>
    </w:p>
    <w:p>
      <w:r>
        <w:t>After fusion, send the top 20–30 candidates to a stronger reranker. The reranker reads the complete question and candidate text, then selects the most directly answerable evidence. It must rerank only records already restricted to the selected process.</w:t>
      </w:r>
    </w:p>
    <w:p>
      <w:pPr>
        <w:pStyle w:val="Heading1"/>
      </w:pPr>
      <w:r>
        <w:t>10. Complete query walkthrough</w:t>
      </w:r>
    </w:p>
    <w:p>
      <w:r>
        <w:t>User question:</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For the CBR process, who must approve a large refund?</w:t>
            </w:r>
          </w:p>
        </w:tc>
      </w:tr>
    </w:tbl>
    <w:p>
      <w:pPr>
        <w:spacing w:after="0"/>
      </w:pPr>
    </w:p>
    <w:p>
      <w:pPr>
        <w:pStyle w:val="Heading2"/>
      </w:pPr>
      <w:r>
        <w:t>Step 1 – Resolve CBR</w:t>
      </w:r>
    </w:p>
    <w:p>
      <w:r>
        <w:t>The process registry matches the alias CBR.</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w:t>
              <w:br/>
              <w:t xml:space="preserve">  "process_id": "PROC_1234",</w:t>
              <w:br/>
              <w:t xml:space="preserve">  "process_name": "Credit Balance Refund",</w:t>
              <w:br/>
              <w:t xml:space="preserve">  "matched_by": "alias:CBR",</w:t>
              <w:br/>
              <w:t xml:space="preserve">  "confidence": 0.99</w:t>
              <w:br/>
              <w:t>}</w:t>
            </w:r>
          </w:p>
        </w:tc>
      </w:tr>
    </w:tbl>
    <w:p>
      <w:pPr>
        <w:spacing w:after="0"/>
      </w:pPr>
    </w:p>
    <w:p>
      <w:pPr>
        <w:pStyle w:val="Heading2"/>
      </w:pPr>
      <w:r>
        <w:t>Step 2 – Build mandatory filters</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tenant_id = BANK_001</w:t>
              <w:br/>
              <w:t>process_id = PROC_1234</w:t>
              <w:br/>
              <w:t>document_status = ACTIVE</w:t>
            </w:r>
          </w:p>
        </w:tc>
      </w:tr>
    </w:tbl>
    <w:p>
      <w:pPr>
        <w:spacing w:after="0"/>
      </w:pPr>
    </w:p>
    <w:p>
      <w:r>
        <w:t>PROC_5678 is now ineligible, regardless of semantic similarity.</w:t>
      </w:r>
    </w:p>
    <w:p>
      <w:pPr>
        <w:pStyle w:val="Heading2"/>
      </w:pPr>
      <w:r>
        <w:t>Step 3 – Run filtered BM25</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07"/>
            <w:shd w:fill="1F4E78"/>
            <w:tcMar>
              <w:top w:w="100" w:type="dxa"/>
              <w:start w:w="120" w:type="dxa"/>
              <w:bottom w:w="100" w:type="dxa"/>
              <w:end w:w="120" w:type="dxa"/>
            </w:tcMar>
            <w:vAlign w:val="center"/>
          </w:tcPr>
          <w:p>
            <w:r>
              <w:rPr>
                <w:b/>
                <w:color w:val="FFFFFF"/>
                <w:sz w:val="18"/>
              </w:rPr>
              <w:t>Rank</w:t>
            </w:r>
          </w:p>
        </w:tc>
        <w:tc>
          <w:tcPr>
            <w:tcW w:type="dxa" w:w="6983"/>
            <w:shd w:fill="1F4E78"/>
            <w:tcMar>
              <w:top w:w="100" w:type="dxa"/>
              <w:start w:w="120" w:type="dxa"/>
              <w:bottom w:w="100" w:type="dxa"/>
              <w:end w:w="120" w:type="dxa"/>
            </w:tcMar>
            <w:vAlign w:val="center"/>
          </w:tcPr>
          <w:p>
            <w:r>
              <w:rPr>
                <w:b/>
                <w:color w:val="FFFFFF"/>
                <w:sz w:val="18"/>
              </w:rPr>
              <w:t>PROC_1234 result</w:t>
            </w:r>
          </w:p>
        </w:tc>
        <w:tc>
          <w:tcPr>
            <w:tcW w:type="dxa" w:w="1728"/>
            <w:shd w:fill="1F4E78"/>
            <w:tcMar>
              <w:top w:w="100" w:type="dxa"/>
              <w:start w:w="120" w:type="dxa"/>
              <w:bottom w:w="100" w:type="dxa"/>
              <w:end w:w="120" w:type="dxa"/>
            </w:tcMar>
            <w:vAlign w:val="center"/>
          </w:tcPr>
          <w:p>
            <w:r>
              <w:rPr>
                <w:b/>
                <w:color w:val="FFFFFF"/>
                <w:sz w:val="18"/>
              </w:rPr>
              <w:t>Illustrative score</w:t>
            </w:r>
          </w:p>
        </w:tc>
      </w:tr>
      <w:tr>
        <w:trPr>
          <w:cantSplit/>
        </w:trPr>
        <w:tc>
          <w:tcPr>
            <w:tcW w:type="dxa" w:w="3264"/>
            <w:tcMar>
              <w:top w:w="100" w:type="dxa"/>
              <w:start w:w="120" w:type="dxa"/>
              <w:bottom w:w="100" w:type="dxa"/>
              <w:end w:w="120" w:type="dxa"/>
            </w:tcMar>
            <w:vAlign w:val="top"/>
          </w:tcPr>
          <w:p>
            <w:pPr>
              <w:spacing w:after="0"/>
            </w:pPr>
            <w:r>
              <w:rPr>
                <w:color w:val="243447"/>
                <w:sz w:val="17"/>
              </w:rPr>
              <w:t>1</w:t>
            </w:r>
          </w:p>
        </w:tc>
        <w:tc>
          <w:tcPr>
            <w:tcW w:type="dxa" w:w="3264"/>
            <w:tcMar>
              <w:top w:w="100" w:type="dxa"/>
              <w:start w:w="120" w:type="dxa"/>
              <w:bottom w:w="100" w:type="dxa"/>
              <w:end w:w="120" w:type="dxa"/>
            </w:tcMar>
            <w:vAlign w:val="top"/>
          </w:tcPr>
          <w:p>
            <w:pPr>
              <w:spacing w:after="0"/>
            </w:pPr>
            <w:r>
              <w:rPr>
                <w:color w:val="243447"/>
                <w:sz w:val="17"/>
              </w:rPr>
              <w:t>High-Value Refund Approval</w:t>
            </w:r>
          </w:p>
        </w:tc>
        <w:tc>
          <w:tcPr>
            <w:tcW w:type="dxa" w:w="3264"/>
            <w:tcMar>
              <w:top w:w="100" w:type="dxa"/>
              <w:start w:w="120" w:type="dxa"/>
              <w:bottom w:w="100" w:type="dxa"/>
              <w:end w:w="120" w:type="dxa"/>
            </w:tcMar>
            <w:vAlign w:val="top"/>
          </w:tcPr>
          <w:p>
            <w:pPr>
              <w:spacing w:after="0"/>
            </w:pPr>
            <w:r>
              <w:rPr>
                <w:color w:val="243447"/>
                <w:sz w:val="17"/>
              </w:rPr>
              <w:t>9.2</w:t>
            </w:r>
          </w:p>
        </w:tc>
      </w:tr>
      <w:tr>
        <w:trPr>
          <w:cantSplit/>
        </w:trPr>
        <w:tc>
          <w:tcPr>
            <w:tcW w:type="dxa" w:w="3264"/>
            <w:tcMar>
              <w:top w:w="100" w:type="dxa"/>
              <w:start w:w="120" w:type="dxa"/>
              <w:bottom w:w="100" w:type="dxa"/>
              <w:end w:w="120" w:type="dxa"/>
            </w:tcMar>
            <w:vAlign w:val="top"/>
          </w:tcPr>
          <w:p>
            <w:pPr>
              <w:spacing w:after="0"/>
            </w:pPr>
            <w:r>
              <w:rPr>
                <w:color w:val="243447"/>
                <w:sz w:val="17"/>
              </w:rPr>
              <w:t>2</w:t>
            </w:r>
          </w:p>
        </w:tc>
        <w:tc>
          <w:tcPr>
            <w:tcW w:type="dxa" w:w="3264"/>
            <w:tcMar>
              <w:top w:w="100" w:type="dxa"/>
              <w:start w:w="120" w:type="dxa"/>
              <w:bottom w:w="100" w:type="dxa"/>
              <w:end w:w="120" w:type="dxa"/>
            </w:tcMar>
            <w:vAlign w:val="top"/>
          </w:tcPr>
          <w:p>
            <w:pPr>
              <w:spacing w:after="0"/>
            </w:pPr>
            <w:r>
              <w:rPr>
                <w:color w:val="243447"/>
                <w:sz w:val="17"/>
              </w:rPr>
              <w:t>Standard Refund Approval</w:t>
            </w:r>
          </w:p>
        </w:tc>
        <w:tc>
          <w:tcPr>
            <w:tcW w:type="dxa" w:w="3264"/>
            <w:tcMar>
              <w:top w:w="100" w:type="dxa"/>
              <w:start w:w="120" w:type="dxa"/>
              <w:bottom w:w="100" w:type="dxa"/>
              <w:end w:w="120" w:type="dxa"/>
            </w:tcMar>
            <w:vAlign w:val="top"/>
          </w:tcPr>
          <w:p>
            <w:pPr>
              <w:spacing w:after="0"/>
            </w:pPr>
            <w:r>
              <w:rPr>
                <w:color w:val="243447"/>
                <w:sz w:val="17"/>
              </w:rPr>
              <w:t>6.8</w:t>
            </w:r>
          </w:p>
        </w:tc>
      </w:tr>
      <w:tr>
        <w:trPr>
          <w:cantSplit/>
        </w:trPr>
        <w:tc>
          <w:tcPr>
            <w:tcW w:type="dxa" w:w="3264"/>
            <w:tcMar>
              <w:top w:w="100" w:type="dxa"/>
              <w:start w:w="120" w:type="dxa"/>
              <w:bottom w:w="100" w:type="dxa"/>
              <w:end w:w="120" w:type="dxa"/>
            </w:tcMar>
            <w:vAlign w:val="top"/>
          </w:tcPr>
          <w:p>
            <w:pPr>
              <w:spacing w:after="0"/>
            </w:pPr>
            <w:r>
              <w:rPr>
                <w:color w:val="243447"/>
                <w:sz w:val="17"/>
              </w:rPr>
              <w:t>3</w:t>
            </w:r>
          </w:p>
        </w:tc>
        <w:tc>
          <w:tcPr>
            <w:tcW w:type="dxa" w:w="3264"/>
            <w:tcMar>
              <w:top w:w="100" w:type="dxa"/>
              <w:start w:w="120" w:type="dxa"/>
              <w:bottom w:w="100" w:type="dxa"/>
              <w:end w:w="120" w:type="dxa"/>
            </w:tcMar>
            <w:vAlign w:val="top"/>
          </w:tcPr>
          <w:p>
            <w:pPr>
              <w:spacing w:after="0"/>
            </w:pPr>
            <w:r>
              <w:rPr>
                <w:color w:val="243447"/>
                <w:sz w:val="17"/>
              </w:rPr>
              <w:t>Rejected Refunds</w:t>
            </w:r>
          </w:p>
        </w:tc>
        <w:tc>
          <w:tcPr>
            <w:tcW w:type="dxa" w:w="3264"/>
            <w:tcMar>
              <w:top w:w="100" w:type="dxa"/>
              <w:start w:w="120" w:type="dxa"/>
              <w:bottom w:w="100" w:type="dxa"/>
              <w:end w:w="120" w:type="dxa"/>
            </w:tcMar>
            <w:vAlign w:val="top"/>
          </w:tcPr>
          <w:p>
            <w:pPr>
              <w:spacing w:after="0"/>
            </w:pPr>
            <w:r>
              <w:rPr>
                <w:color w:val="243447"/>
                <w:sz w:val="17"/>
              </w:rPr>
              <w:t>2.1</w:t>
            </w:r>
          </w:p>
        </w:tc>
      </w:tr>
    </w:tbl>
    <w:p>
      <w:pPr>
        <w:spacing w:after="0"/>
      </w:pPr>
    </w:p>
    <w:p>
      <w:pPr>
        <w:pStyle w:val="Heading2"/>
      </w:pPr>
      <w:r>
        <w:t>Step 4 – Run filtered vector search</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07"/>
            <w:shd w:fill="1F4E78"/>
            <w:tcMar>
              <w:top w:w="100" w:type="dxa"/>
              <w:start w:w="120" w:type="dxa"/>
              <w:bottom w:w="100" w:type="dxa"/>
              <w:end w:w="120" w:type="dxa"/>
            </w:tcMar>
            <w:vAlign w:val="center"/>
          </w:tcPr>
          <w:p>
            <w:r>
              <w:rPr>
                <w:b/>
                <w:color w:val="FFFFFF"/>
                <w:sz w:val="18"/>
              </w:rPr>
              <w:t>Rank</w:t>
            </w:r>
          </w:p>
        </w:tc>
        <w:tc>
          <w:tcPr>
            <w:tcW w:type="dxa" w:w="6983"/>
            <w:shd w:fill="1F4E78"/>
            <w:tcMar>
              <w:top w:w="100" w:type="dxa"/>
              <w:start w:w="120" w:type="dxa"/>
              <w:bottom w:w="100" w:type="dxa"/>
              <w:end w:w="120" w:type="dxa"/>
            </w:tcMar>
            <w:vAlign w:val="center"/>
          </w:tcPr>
          <w:p>
            <w:r>
              <w:rPr>
                <w:b/>
                <w:color w:val="FFFFFF"/>
                <w:sz w:val="18"/>
              </w:rPr>
              <w:t>PROC_1234 result</w:t>
            </w:r>
          </w:p>
        </w:tc>
        <w:tc>
          <w:tcPr>
            <w:tcW w:type="dxa" w:w="1728"/>
            <w:shd w:fill="1F4E78"/>
            <w:tcMar>
              <w:top w:w="100" w:type="dxa"/>
              <w:start w:w="120" w:type="dxa"/>
              <w:bottom w:w="100" w:type="dxa"/>
              <w:end w:w="120" w:type="dxa"/>
            </w:tcMar>
            <w:vAlign w:val="center"/>
          </w:tcPr>
          <w:p>
            <w:r>
              <w:rPr>
                <w:b/>
                <w:color w:val="FFFFFF"/>
                <w:sz w:val="18"/>
              </w:rPr>
              <w:t>Illustrative similarity</w:t>
            </w:r>
          </w:p>
        </w:tc>
      </w:tr>
      <w:tr>
        <w:trPr>
          <w:cantSplit/>
        </w:trPr>
        <w:tc>
          <w:tcPr>
            <w:tcW w:type="dxa" w:w="3264"/>
            <w:tcMar>
              <w:top w:w="100" w:type="dxa"/>
              <w:start w:w="120" w:type="dxa"/>
              <w:bottom w:w="100" w:type="dxa"/>
              <w:end w:w="120" w:type="dxa"/>
            </w:tcMar>
            <w:vAlign w:val="top"/>
          </w:tcPr>
          <w:p>
            <w:pPr>
              <w:spacing w:after="0"/>
            </w:pPr>
            <w:r>
              <w:rPr>
                <w:color w:val="243447"/>
                <w:sz w:val="17"/>
              </w:rPr>
              <w:t>1</w:t>
            </w:r>
          </w:p>
        </w:tc>
        <w:tc>
          <w:tcPr>
            <w:tcW w:type="dxa" w:w="3264"/>
            <w:tcMar>
              <w:top w:w="100" w:type="dxa"/>
              <w:start w:w="120" w:type="dxa"/>
              <w:bottom w:w="100" w:type="dxa"/>
              <w:end w:w="120" w:type="dxa"/>
            </w:tcMar>
            <w:vAlign w:val="top"/>
          </w:tcPr>
          <w:p>
            <w:pPr>
              <w:spacing w:after="0"/>
            </w:pPr>
            <w:r>
              <w:rPr>
                <w:color w:val="243447"/>
                <w:sz w:val="17"/>
              </w:rPr>
              <w:t>High-Value Refund Approval</w:t>
            </w:r>
          </w:p>
        </w:tc>
        <w:tc>
          <w:tcPr>
            <w:tcW w:type="dxa" w:w="3264"/>
            <w:tcMar>
              <w:top w:w="100" w:type="dxa"/>
              <w:start w:w="120" w:type="dxa"/>
              <w:bottom w:w="100" w:type="dxa"/>
              <w:end w:w="120" w:type="dxa"/>
            </w:tcMar>
            <w:vAlign w:val="top"/>
          </w:tcPr>
          <w:p>
            <w:pPr>
              <w:spacing w:after="0"/>
            </w:pPr>
            <w:r>
              <w:rPr>
                <w:color w:val="243447"/>
                <w:sz w:val="17"/>
              </w:rPr>
              <w:t>0.93</w:t>
            </w:r>
          </w:p>
        </w:tc>
      </w:tr>
      <w:tr>
        <w:trPr>
          <w:cantSplit/>
        </w:trPr>
        <w:tc>
          <w:tcPr>
            <w:tcW w:type="dxa" w:w="3264"/>
            <w:tcMar>
              <w:top w:w="100" w:type="dxa"/>
              <w:start w:w="120" w:type="dxa"/>
              <w:bottom w:w="100" w:type="dxa"/>
              <w:end w:w="120" w:type="dxa"/>
            </w:tcMar>
            <w:vAlign w:val="top"/>
          </w:tcPr>
          <w:p>
            <w:pPr>
              <w:spacing w:after="0"/>
            </w:pPr>
            <w:r>
              <w:rPr>
                <w:color w:val="243447"/>
                <w:sz w:val="17"/>
              </w:rPr>
              <w:t>2</w:t>
            </w:r>
          </w:p>
        </w:tc>
        <w:tc>
          <w:tcPr>
            <w:tcW w:type="dxa" w:w="3264"/>
            <w:tcMar>
              <w:top w:w="100" w:type="dxa"/>
              <w:start w:w="120" w:type="dxa"/>
              <w:bottom w:w="100" w:type="dxa"/>
              <w:end w:w="120" w:type="dxa"/>
            </w:tcMar>
            <w:vAlign w:val="top"/>
          </w:tcPr>
          <w:p>
            <w:pPr>
              <w:spacing w:after="0"/>
            </w:pPr>
            <w:r>
              <w:rPr>
                <w:color w:val="243447"/>
                <w:sz w:val="17"/>
              </w:rPr>
              <w:t>Standard Refund Approval</w:t>
            </w:r>
          </w:p>
        </w:tc>
        <w:tc>
          <w:tcPr>
            <w:tcW w:type="dxa" w:w="3264"/>
            <w:tcMar>
              <w:top w:w="100" w:type="dxa"/>
              <w:start w:w="120" w:type="dxa"/>
              <w:bottom w:w="100" w:type="dxa"/>
              <w:end w:w="120" w:type="dxa"/>
            </w:tcMar>
            <w:vAlign w:val="top"/>
          </w:tcPr>
          <w:p>
            <w:pPr>
              <w:spacing w:after="0"/>
            </w:pPr>
            <w:r>
              <w:rPr>
                <w:color w:val="243447"/>
                <w:sz w:val="17"/>
              </w:rPr>
              <w:t>0.84</w:t>
            </w:r>
          </w:p>
        </w:tc>
      </w:tr>
      <w:tr>
        <w:trPr>
          <w:cantSplit/>
        </w:trPr>
        <w:tc>
          <w:tcPr>
            <w:tcW w:type="dxa" w:w="3264"/>
            <w:tcMar>
              <w:top w:w="100" w:type="dxa"/>
              <w:start w:w="120" w:type="dxa"/>
              <w:bottom w:w="100" w:type="dxa"/>
              <w:end w:w="120" w:type="dxa"/>
            </w:tcMar>
            <w:vAlign w:val="top"/>
          </w:tcPr>
          <w:p>
            <w:pPr>
              <w:spacing w:after="0"/>
            </w:pPr>
            <w:r>
              <w:rPr>
                <w:color w:val="243447"/>
                <w:sz w:val="17"/>
              </w:rPr>
              <w:t>3</w:t>
            </w:r>
          </w:p>
        </w:tc>
        <w:tc>
          <w:tcPr>
            <w:tcW w:type="dxa" w:w="3264"/>
            <w:tcMar>
              <w:top w:w="100" w:type="dxa"/>
              <w:start w:w="120" w:type="dxa"/>
              <w:bottom w:w="100" w:type="dxa"/>
              <w:end w:w="120" w:type="dxa"/>
            </w:tcMar>
            <w:vAlign w:val="top"/>
          </w:tcPr>
          <w:p>
            <w:pPr>
              <w:spacing w:after="0"/>
            </w:pPr>
            <w:r>
              <w:rPr>
                <w:color w:val="243447"/>
                <w:sz w:val="17"/>
              </w:rPr>
              <w:t>Manual Review Procedure</w:t>
            </w:r>
          </w:p>
        </w:tc>
        <w:tc>
          <w:tcPr>
            <w:tcW w:type="dxa" w:w="3264"/>
            <w:tcMar>
              <w:top w:w="100" w:type="dxa"/>
              <w:start w:w="120" w:type="dxa"/>
              <w:bottom w:w="100" w:type="dxa"/>
              <w:end w:w="120" w:type="dxa"/>
            </w:tcMar>
            <w:vAlign w:val="top"/>
          </w:tcPr>
          <w:p>
            <w:pPr>
              <w:spacing w:after="0"/>
            </w:pPr>
            <w:r>
              <w:rPr>
                <w:color w:val="243447"/>
                <w:sz w:val="17"/>
              </w:rPr>
              <w:t>0.68</w:t>
            </w:r>
          </w:p>
        </w:tc>
      </w:tr>
    </w:tbl>
    <w:p>
      <w:pPr>
        <w:spacing w:after="0"/>
      </w:pPr>
    </w:p>
    <w:p>
      <w:pPr>
        <w:pStyle w:val="Heading2"/>
      </w:pPr>
      <w:r>
        <w:t>Step 5 – Fuse and rerank</w:t>
      </w:r>
    </w:p>
    <w:p>
      <w:r>
        <w:t>High-Value Refund Approval ranks first in both candidate lists. The reranker confirms that it directly answers who approves a large refund.</w:t>
      </w:r>
    </w:p>
    <w:p>
      <w:pPr>
        <w:pStyle w:val="Heading2"/>
      </w:pPr>
      <w:r>
        <w:t>Step 6 – Validate and package evidence</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w:t>
              <w:br/>
              <w:t xml:space="preserve">  "resolved_process": {</w:t>
              <w:br/>
              <w:t xml:space="preserve">    "process_id": "PROC_1234",</w:t>
              <w:br/>
              <w:t xml:space="preserve">    "process_name": "Credit Balance Refund"</w:t>
              <w:br/>
              <w:t xml:space="preserve">  },</w:t>
              <w:br/>
              <w:t xml:space="preserve">  "evidence": [{</w:t>
              <w:br/>
              <w:t xml:space="preserve">    "document": "Credit Balance Refund Operations SOP",</w:t>
              <w:br/>
              <w:t xml:space="preserve">    "version": "4.2",</w:t>
              <w:br/>
              <w:t xml:space="preserve">    "section": "High-Value Refund Approval",</w:t>
              <w:br/>
              <w:t xml:space="preserve">    "page": 8,</w:t>
              <w:br/>
              <w:t xml:space="preserve">    "content": "Refunds above $10,000 require approval from the Refund Operations Manager."</w:t>
              <w:br/>
              <w:t xml:space="preserve">  }]</w:t>
              <w:br/>
              <w:t>}</w:t>
            </w:r>
          </w:p>
        </w:tc>
      </w:tr>
    </w:tbl>
    <w:p>
      <w:pPr>
        <w:spacing w:after="0"/>
      </w:pPr>
    </w:p>
    <w:p>
      <w:pPr>
        <w:pStyle w:val="Heading2"/>
      </w:pPr>
      <w:r>
        <w:t>Step 7 – LLM answer</w:t>
      </w:r>
    </w:p>
    <w:tbl>
      <w:tblPr>
        <w:tblW w:type="auto" w:w="0"/>
        <w:jc w:val="center"/>
        <w:tblLayout w:type="fixed"/>
        <w:tblLook w:firstColumn="1" w:firstRow="1" w:lastColumn="0" w:lastRow="0" w:noHBand="0" w:noVBand="1" w:val="04A0"/>
      </w:tblPr>
      <w:tblGrid>
        <w:gridCol w:w="9792"/>
      </w:tblGrid>
      <w:tr>
        <w:tc>
          <w:tcPr>
            <w:tcW w:type="dxa" w:w="9720"/>
            <w:shd w:fill="E2F0D9"/>
            <w:tcMar>
              <w:top w:w="120" w:type="dxa"/>
              <w:start w:w="160" w:type="dxa"/>
              <w:bottom w:w="120" w:type="dxa"/>
              <w:end w:w="160" w:type="dxa"/>
            </w:tcMar>
          </w:tcPr>
          <w:p>
            <w:r>
              <w:rPr>
                <w:b/>
                <w:color w:val="17365D"/>
              </w:rPr>
              <w:t>Expected answer</w:t>
              <w:br/>
            </w:r>
            <w:r>
              <w:rPr>
                <w:color w:val="243447"/>
              </w:rPr>
              <w:t>For the Credit Balance Refund process, refunds above $10,000 require approval from the Refund Operations Manager. Source: Credit Balance Refund Operations SOP, version 4.2, section ‘High-Value Refund Approval,’ page 8.</w:t>
            </w:r>
          </w:p>
        </w:tc>
      </w:tr>
    </w:tbl>
    <w:p>
      <w:pPr>
        <w:spacing w:after="0"/>
      </w:pPr>
    </w:p>
    <w:p>
      <w:pPr>
        <w:pStyle w:val="Heading2"/>
      </w:pPr>
      <w:r>
        <w:t>10.1 What vector-only global search could do</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296"/>
            <w:shd w:fill="1F4E78"/>
            <w:tcMar>
              <w:top w:w="100" w:type="dxa"/>
              <w:start w:w="120" w:type="dxa"/>
              <w:bottom w:w="100" w:type="dxa"/>
              <w:end w:w="120" w:type="dxa"/>
            </w:tcMar>
            <w:vAlign w:val="center"/>
          </w:tcPr>
          <w:p>
            <w:r>
              <w:rPr>
                <w:b/>
                <w:color w:val="FFFFFF"/>
                <w:sz w:val="18"/>
              </w:rPr>
              <w:t>Global rank</w:t>
            </w:r>
          </w:p>
        </w:tc>
        <w:tc>
          <w:tcPr>
            <w:tcW w:type="dxa" w:w="4608"/>
            <w:shd w:fill="1F4E78"/>
            <w:tcMar>
              <w:top w:w="100" w:type="dxa"/>
              <w:start w:w="120" w:type="dxa"/>
              <w:bottom w:w="100" w:type="dxa"/>
              <w:end w:w="120" w:type="dxa"/>
            </w:tcMar>
            <w:vAlign w:val="center"/>
          </w:tcPr>
          <w:p>
            <w:r>
              <w:rPr>
                <w:b/>
                <w:color w:val="FFFFFF"/>
                <w:sz w:val="18"/>
              </w:rPr>
              <w:t>Result</w:t>
            </w:r>
          </w:p>
        </w:tc>
        <w:tc>
          <w:tcPr>
            <w:tcW w:type="dxa" w:w="2088"/>
            <w:shd w:fill="1F4E78"/>
            <w:tcMar>
              <w:top w:w="100" w:type="dxa"/>
              <w:start w:w="120" w:type="dxa"/>
              <w:bottom w:w="100" w:type="dxa"/>
              <w:end w:w="120" w:type="dxa"/>
            </w:tcMar>
            <w:vAlign w:val="center"/>
          </w:tcPr>
          <w:p>
            <w:r>
              <w:rPr>
                <w:b/>
                <w:color w:val="FFFFFF"/>
                <w:sz w:val="18"/>
              </w:rPr>
              <w:t>Process</w:t>
            </w:r>
          </w:p>
        </w:tc>
        <w:tc>
          <w:tcPr>
            <w:tcW w:type="dxa" w:w="1728"/>
            <w:shd w:fill="1F4E78"/>
            <w:tcMar>
              <w:top w:w="100" w:type="dxa"/>
              <w:start w:w="120" w:type="dxa"/>
              <w:bottom w:w="100" w:type="dxa"/>
              <w:end w:w="120" w:type="dxa"/>
            </w:tcMar>
            <w:vAlign w:val="center"/>
          </w:tcPr>
          <w:p>
            <w:r>
              <w:rPr>
                <w:b/>
                <w:color w:val="FFFFFF"/>
                <w:sz w:val="18"/>
              </w:rPr>
              <w:t>Similarity</w:t>
            </w:r>
          </w:p>
        </w:tc>
      </w:tr>
      <w:tr>
        <w:trPr>
          <w:cantSplit/>
        </w:trPr>
        <w:tc>
          <w:tcPr>
            <w:tcW w:type="dxa" w:w="2448"/>
            <w:tcMar>
              <w:top w:w="100" w:type="dxa"/>
              <w:start w:w="120" w:type="dxa"/>
              <w:bottom w:w="100" w:type="dxa"/>
              <w:end w:w="120" w:type="dxa"/>
            </w:tcMar>
            <w:vAlign w:val="top"/>
          </w:tcPr>
          <w:p>
            <w:pPr>
              <w:spacing w:after="0"/>
            </w:pPr>
            <w:r>
              <w:rPr>
                <w:color w:val="243447"/>
                <w:sz w:val="17"/>
              </w:rPr>
              <w:t>1</w:t>
            </w:r>
          </w:p>
        </w:tc>
        <w:tc>
          <w:tcPr>
            <w:tcW w:type="dxa" w:w="2448"/>
            <w:tcMar>
              <w:top w:w="100" w:type="dxa"/>
              <w:start w:w="120" w:type="dxa"/>
              <w:bottom w:w="100" w:type="dxa"/>
              <w:end w:w="120" w:type="dxa"/>
            </w:tcMar>
            <w:vAlign w:val="top"/>
          </w:tcPr>
          <w:p>
            <w:pPr>
              <w:spacing w:after="0"/>
            </w:pPr>
            <w:r>
              <w:rPr>
                <w:color w:val="243447"/>
                <w:sz w:val="17"/>
              </w:rPr>
              <w:t>Vendor high-value refund approval</w:t>
            </w:r>
          </w:p>
        </w:tc>
        <w:tc>
          <w:tcPr>
            <w:tcW w:type="dxa" w:w="2448"/>
            <w:tcMar>
              <w:top w:w="100" w:type="dxa"/>
              <w:start w:w="120" w:type="dxa"/>
              <w:bottom w:w="100" w:type="dxa"/>
              <w:end w:w="120" w:type="dxa"/>
            </w:tcMar>
            <w:vAlign w:val="top"/>
          </w:tcPr>
          <w:p>
            <w:pPr>
              <w:spacing w:after="0"/>
            </w:pPr>
            <w:r>
              <w:rPr>
                <w:color w:val="243447"/>
                <w:sz w:val="17"/>
              </w:rPr>
              <w:t>PROC_5678</w:t>
            </w:r>
          </w:p>
        </w:tc>
        <w:tc>
          <w:tcPr>
            <w:tcW w:type="dxa" w:w="2448"/>
            <w:tcMar>
              <w:top w:w="100" w:type="dxa"/>
              <w:start w:w="120" w:type="dxa"/>
              <w:bottom w:w="100" w:type="dxa"/>
              <w:end w:w="120" w:type="dxa"/>
            </w:tcMar>
            <w:vAlign w:val="top"/>
          </w:tcPr>
          <w:p>
            <w:pPr>
              <w:spacing w:after="0"/>
            </w:pPr>
            <w:r>
              <w:rPr>
                <w:color w:val="243447"/>
                <w:sz w:val="17"/>
              </w:rPr>
              <w:t>0.95</w:t>
            </w:r>
          </w:p>
        </w:tc>
      </w:tr>
      <w:tr>
        <w:trPr>
          <w:cantSplit/>
        </w:trPr>
        <w:tc>
          <w:tcPr>
            <w:tcW w:type="dxa" w:w="2448"/>
            <w:tcMar>
              <w:top w:w="100" w:type="dxa"/>
              <w:start w:w="120" w:type="dxa"/>
              <w:bottom w:w="100" w:type="dxa"/>
              <w:end w:w="120" w:type="dxa"/>
            </w:tcMar>
            <w:vAlign w:val="top"/>
          </w:tcPr>
          <w:p>
            <w:pPr>
              <w:spacing w:after="0"/>
            </w:pPr>
            <w:r>
              <w:rPr>
                <w:color w:val="243447"/>
                <w:sz w:val="17"/>
              </w:rPr>
              <w:t>2</w:t>
            </w:r>
          </w:p>
        </w:tc>
        <w:tc>
          <w:tcPr>
            <w:tcW w:type="dxa" w:w="2448"/>
            <w:tcMar>
              <w:top w:w="100" w:type="dxa"/>
              <w:start w:w="120" w:type="dxa"/>
              <w:bottom w:w="100" w:type="dxa"/>
              <w:end w:w="120" w:type="dxa"/>
            </w:tcMar>
            <w:vAlign w:val="top"/>
          </w:tcPr>
          <w:p>
            <w:pPr>
              <w:spacing w:after="0"/>
            </w:pPr>
            <w:r>
              <w:rPr>
                <w:color w:val="243447"/>
                <w:sz w:val="17"/>
              </w:rPr>
              <w:t>Credit balance high-value approval</w:t>
            </w:r>
          </w:p>
        </w:tc>
        <w:tc>
          <w:tcPr>
            <w:tcW w:type="dxa" w:w="2448"/>
            <w:tcMar>
              <w:top w:w="100" w:type="dxa"/>
              <w:start w:w="120" w:type="dxa"/>
              <w:bottom w:w="100" w:type="dxa"/>
              <w:end w:w="120" w:type="dxa"/>
            </w:tcMar>
            <w:vAlign w:val="top"/>
          </w:tcPr>
          <w:p>
            <w:pPr>
              <w:spacing w:after="0"/>
            </w:pPr>
            <w:r>
              <w:rPr>
                <w:color w:val="243447"/>
                <w:sz w:val="17"/>
              </w:rPr>
              <w:t>PROC_1234</w:t>
            </w:r>
          </w:p>
        </w:tc>
        <w:tc>
          <w:tcPr>
            <w:tcW w:type="dxa" w:w="2448"/>
            <w:tcMar>
              <w:top w:w="100" w:type="dxa"/>
              <w:start w:w="120" w:type="dxa"/>
              <w:bottom w:w="100" w:type="dxa"/>
              <w:end w:w="120" w:type="dxa"/>
            </w:tcMar>
            <w:vAlign w:val="top"/>
          </w:tcPr>
          <w:p>
            <w:pPr>
              <w:spacing w:after="0"/>
            </w:pPr>
            <w:r>
              <w:rPr>
                <w:color w:val="243447"/>
                <w:sz w:val="17"/>
              </w:rPr>
              <w:t>0.93</w:t>
            </w:r>
          </w:p>
        </w:tc>
      </w:tr>
      <w:tr>
        <w:trPr>
          <w:cantSplit/>
        </w:trPr>
        <w:tc>
          <w:tcPr>
            <w:tcW w:type="dxa" w:w="2448"/>
            <w:tcMar>
              <w:top w:w="100" w:type="dxa"/>
              <w:start w:w="120" w:type="dxa"/>
              <w:bottom w:w="100" w:type="dxa"/>
              <w:end w:w="120" w:type="dxa"/>
            </w:tcMar>
            <w:vAlign w:val="top"/>
          </w:tcPr>
          <w:p>
            <w:pPr>
              <w:spacing w:after="0"/>
            </w:pPr>
            <w:r>
              <w:rPr>
                <w:color w:val="243447"/>
                <w:sz w:val="17"/>
              </w:rPr>
              <w:t>3</w:t>
            </w:r>
          </w:p>
        </w:tc>
        <w:tc>
          <w:tcPr>
            <w:tcW w:type="dxa" w:w="2448"/>
            <w:tcMar>
              <w:top w:w="100" w:type="dxa"/>
              <w:start w:w="120" w:type="dxa"/>
              <w:bottom w:w="100" w:type="dxa"/>
              <w:end w:w="120" w:type="dxa"/>
            </w:tcMar>
            <w:vAlign w:val="top"/>
          </w:tcPr>
          <w:p>
            <w:pPr>
              <w:spacing w:after="0"/>
            </w:pPr>
            <w:r>
              <w:rPr>
                <w:color w:val="243447"/>
                <w:sz w:val="17"/>
              </w:rPr>
              <w:t>Customer refund validation</w:t>
            </w:r>
          </w:p>
        </w:tc>
        <w:tc>
          <w:tcPr>
            <w:tcW w:type="dxa" w:w="2448"/>
            <w:tcMar>
              <w:top w:w="100" w:type="dxa"/>
              <w:start w:w="120" w:type="dxa"/>
              <w:bottom w:w="100" w:type="dxa"/>
              <w:end w:w="120" w:type="dxa"/>
            </w:tcMar>
            <w:vAlign w:val="top"/>
          </w:tcPr>
          <w:p>
            <w:pPr>
              <w:spacing w:after="0"/>
            </w:pPr>
            <w:r>
              <w:rPr>
                <w:color w:val="243447"/>
                <w:sz w:val="17"/>
              </w:rPr>
              <w:t>PROC_1234</w:t>
            </w:r>
          </w:p>
        </w:tc>
        <w:tc>
          <w:tcPr>
            <w:tcW w:type="dxa" w:w="2448"/>
            <w:tcMar>
              <w:top w:w="100" w:type="dxa"/>
              <w:start w:w="120" w:type="dxa"/>
              <w:bottom w:w="100" w:type="dxa"/>
              <w:end w:w="120" w:type="dxa"/>
            </w:tcMar>
            <w:vAlign w:val="top"/>
          </w:tcPr>
          <w:p>
            <w:pPr>
              <w:spacing w:after="0"/>
            </w:pPr>
            <w:r>
              <w:rPr>
                <w:color w:val="243447"/>
                <w:sz w:val="17"/>
              </w:rPr>
              <w:t>0.81</w:t>
            </w:r>
          </w:p>
        </w:tc>
      </w:tr>
    </w:tbl>
    <w:p>
      <w:pPr>
        <w:spacing w:after="0"/>
      </w:pPr>
    </w:p>
    <w:p>
      <w:r>
        <w:t>The wrong rule can rank first because its language is extremely similar. With process_id = PROC_1234 applied during search, the PROC_5678 result does not merely rank lower—it cannot be returned.</w:t>
      </w:r>
    </w:p>
    <w:p>
      <w:pPr>
        <w:pStyle w:val="Heading1"/>
      </w:pPr>
      <w:r>
        <w:t>11. Parent-child retrieval and context expansion</w:t>
      </w:r>
    </w:p>
    <w:p>
      <w:r>
        <w:t>The best unit for matching is often smaller than the best unit for answering. Store precise leaf chunks for retrieval and link them to larger parent sections for context.</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Searchable leaf chunk:</w:t>
              <w:br/>
              <w:t>"Refunds above $10,000 require approval from the Refund Operations Manager."</w:t>
              <w:br/>
              <w:br/>
              <w:t>parent_section_id: SEC_4</w:t>
              <w:br/>
              <w:br/>
              <w:t>Parent section returned after the match:</w:t>
              <w:br/>
              <w:t>"Refunds above $10,000 require approval from the Refund Operations Manager.</w:t>
              <w:br/>
              <w:t>Before approval, the account must be validated. The approval record must</w:t>
              <w:br/>
              <w:t>include approver ID, timestamp, and amount. After approval, proceed to Issue Refund."</w:t>
            </w:r>
          </w:p>
        </w:tc>
      </w:tr>
    </w:tbl>
    <w:p>
      <w:pPr>
        <w:spacing w:after="0"/>
      </w:pP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4867"/>
            <w:shd w:fill="1F4E78"/>
            <w:tcMar>
              <w:top w:w="100" w:type="dxa"/>
              <w:start w:w="120" w:type="dxa"/>
              <w:bottom w:w="100" w:type="dxa"/>
              <w:end w:w="120" w:type="dxa"/>
            </w:tcMar>
            <w:vAlign w:val="center"/>
          </w:tcPr>
          <w:p>
            <w:r>
              <w:rPr>
                <w:b/>
                <w:color w:val="FFFFFF"/>
                <w:sz w:val="18"/>
              </w:rPr>
              <w:t>Without parent-child retrieval</w:t>
            </w:r>
          </w:p>
        </w:tc>
        <w:tc>
          <w:tcPr>
            <w:tcW w:type="dxa" w:w="4852"/>
            <w:shd w:fill="1F4E78"/>
            <w:tcMar>
              <w:top w:w="100" w:type="dxa"/>
              <w:start w:w="120" w:type="dxa"/>
              <w:bottom w:w="100" w:type="dxa"/>
              <w:end w:w="120" w:type="dxa"/>
            </w:tcMar>
            <w:vAlign w:val="center"/>
          </w:tcPr>
          <w:p>
            <w:r>
              <w:rPr>
                <w:b/>
                <w:color w:val="FFFFFF"/>
                <w:sz w:val="18"/>
              </w:rPr>
              <w:t>With parent-child retrieval</w:t>
            </w:r>
          </w:p>
        </w:tc>
      </w:tr>
      <w:tr>
        <w:trPr>
          <w:cantSplit/>
        </w:trPr>
        <w:tc>
          <w:tcPr>
            <w:tcW w:type="dxa" w:w="4896"/>
            <w:tcMar>
              <w:top w:w="100" w:type="dxa"/>
              <w:start w:w="120" w:type="dxa"/>
              <w:bottom w:w="100" w:type="dxa"/>
              <w:end w:w="120" w:type="dxa"/>
            </w:tcMar>
            <w:vAlign w:val="top"/>
          </w:tcPr>
          <w:p>
            <w:pPr>
              <w:spacing w:after="0"/>
            </w:pPr>
            <w:r>
              <w:rPr>
                <w:color w:val="243447"/>
                <w:sz w:val="17"/>
              </w:rPr>
              <w:t>Large chunks produce less precise embeddings.</w:t>
            </w:r>
          </w:p>
        </w:tc>
        <w:tc>
          <w:tcPr>
            <w:tcW w:type="dxa" w:w="4896"/>
            <w:tcMar>
              <w:top w:w="100" w:type="dxa"/>
              <w:start w:w="120" w:type="dxa"/>
              <w:bottom w:w="100" w:type="dxa"/>
              <w:end w:w="120" w:type="dxa"/>
            </w:tcMar>
            <w:vAlign w:val="top"/>
          </w:tcPr>
          <w:p>
            <w:pPr>
              <w:spacing w:after="0"/>
            </w:pPr>
            <w:r>
              <w:rPr>
                <w:color w:val="243447"/>
                <w:sz w:val="17"/>
              </w:rPr>
              <w:t>Small chunks provide precise matching.</w:t>
            </w:r>
          </w:p>
        </w:tc>
      </w:tr>
      <w:tr>
        <w:trPr>
          <w:cantSplit/>
        </w:trPr>
        <w:tc>
          <w:tcPr>
            <w:tcW w:type="dxa" w:w="4896"/>
            <w:tcMar>
              <w:top w:w="100" w:type="dxa"/>
              <w:start w:w="120" w:type="dxa"/>
              <w:bottom w:w="100" w:type="dxa"/>
              <w:end w:w="120" w:type="dxa"/>
            </w:tcMar>
            <w:vAlign w:val="top"/>
          </w:tcPr>
          <w:p>
            <w:pPr>
              <w:spacing w:after="0"/>
            </w:pPr>
            <w:r>
              <w:rPr>
                <w:color w:val="243447"/>
                <w:sz w:val="17"/>
              </w:rPr>
              <w:t>Tiny chunks may omit conditions or related steps.</w:t>
            </w:r>
          </w:p>
        </w:tc>
        <w:tc>
          <w:tcPr>
            <w:tcW w:type="dxa" w:w="4896"/>
            <w:tcMar>
              <w:top w:w="100" w:type="dxa"/>
              <w:start w:w="120" w:type="dxa"/>
              <w:bottom w:w="100" w:type="dxa"/>
              <w:end w:w="120" w:type="dxa"/>
            </w:tcMar>
            <w:vAlign w:val="top"/>
          </w:tcPr>
          <w:p>
            <w:pPr>
              <w:spacing w:after="0"/>
            </w:pPr>
            <w:r>
              <w:rPr>
                <w:color w:val="243447"/>
                <w:sz w:val="17"/>
              </w:rPr>
              <w:t>The parent section restores coherent context.</w:t>
            </w:r>
          </w:p>
        </w:tc>
      </w:tr>
      <w:tr>
        <w:trPr>
          <w:cantSplit/>
        </w:trPr>
        <w:tc>
          <w:tcPr>
            <w:tcW w:type="dxa" w:w="4896"/>
            <w:tcMar>
              <w:top w:w="100" w:type="dxa"/>
              <w:start w:w="120" w:type="dxa"/>
              <w:bottom w:w="100" w:type="dxa"/>
              <w:end w:w="120" w:type="dxa"/>
            </w:tcMar>
            <w:vAlign w:val="top"/>
          </w:tcPr>
          <w:p>
            <w:pPr>
              <w:spacing w:after="0"/>
            </w:pPr>
            <w:r>
              <w:rPr>
                <w:color w:val="243447"/>
                <w:sz w:val="17"/>
              </w:rPr>
              <w:t>Heavy overlap creates duplicate evidence.</w:t>
            </w:r>
          </w:p>
        </w:tc>
        <w:tc>
          <w:tcPr>
            <w:tcW w:type="dxa" w:w="4896"/>
            <w:tcMar>
              <w:top w:w="100" w:type="dxa"/>
              <w:start w:w="120" w:type="dxa"/>
              <w:bottom w:w="100" w:type="dxa"/>
              <w:end w:w="120" w:type="dxa"/>
            </w:tcMar>
            <w:vAlign w:val="top"/>
          </w:tcPr>
          <w:p>
            <w:pPr>
              <w:spacing w:after="0"/>
            </w:pPr>
            <w:r>
              <w:rPr>
                <w:color w:val="243447"/>
                <w:sz w:val="17"/>
              </w:rPr>
              <w:t>Structural links reduce the need for repeated text.</w:t>
            </w:r>
          </w:p>
        </w:tc>
      </w:tr>
    </w:tbl>
    <w:p>
      <w:pPr>
        <w:spacing w:after="0"/>
      </w:pPr>
    </w:p>
    <w:p>
      <w:pPr>
        <w:pStyle w:val="Heading1"/>
      </w:pPr>
      <w:r>
        <w:t>12. Shared index versus one index per process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088"/>
            <w:shd w:fill="1F4E78"/>
            <w:tcMar>
              <w:top w:w="100" w:type="dxa"/>
              <w:start w:w="120" w:type="dxa"/>
              <w:bottom w:w="100" w:type="dxa"/>
              <w:end w:w="120" w:type="dxa"/>
            </w:tcMar>
            <w:vAlign w:val="center"/>
          </w:tcPr>
          <w:p>
            <w:r>
              <w:rPr>
                <w:b/>
                <w:color w:val="FFFFFF"/>
                <w:sz w:val="18"/>
              </w:rPr>
              <w:t>Option</w:t>
            </w:r>
          </w:p>
        </w:tc>
        <w:tc>
          <w:tcPr>
            <w:tcW w:type="dxa" w:w="2664"/>
            <w:shd w:fill="1F4E78"/>
            <w:tcMar>
              <w:top w:w="100" w:type="dxa"/>
              <w:start w:w="120" w:type="dxa"/>
              <w:bottom w:w="100" w:type="dxa"/>
              <w:end w:w="120" w:type="dxa"/>
            </w:tcMar>
            <w:vAlign w:val="center"/>
          </w:tcPr>
          <w:p>
            <w:r>
              <w:rPr>
                <w:b/>
                <w:color w:val="FFFFFF"/>
                <w:sz w:val="18"/>
              </w:rPr>
              <w:t>Advantages</w:t>
            </w:r>
          </w:p>
        </w:tc>
        <w:tc>
          <w:tcPr>
            <w:tcW w:type="dxa" w:w="3384"/>
            <w:shd w:fill="1F4E78"/>
            <w:tcMar>
              <w:top w:w="100" w:type="dxa"/>
              <w:start w:w="120" w:type="dxa"/>
              <w:bottom w:w="100" w:type="dxa"/>
              <w:end w:w="120" w:type="dxa"/>
            </w:tcMar>
            <w:vAlign w:val="center"/>
          </w:tcPr>
          <w:p>
            <w:r>
              <w:rPr>
                <w:b/>
                <w:color w:val="FFFFFF"/>
                <w:sz w:val="18"/>
              </w:rPr>
              <w:t>Disadvantages</w:t>
            </w:r>
          </w:p>
        </w:tc>
        <w:tc>
          <w:tcPr>
            <w:tcW w:type="dxa" w:w="1584"/>
            <w:shd w:fill="1F4E78"/>
            <w:tcMar>
              <w:top w:w="100" w:type="dxa"/>
              <w:start w:w="120" w:type="dxa"/>
              <w:bottom w:w="100" w:type="dxa"/>
              <w:end w:w="120" w:type="dxa"/>
            </w:tcMar>
            <w:vAlign w:val="center"/>
          </w:tcPr>
          <w:p>
            <w:r>
              <w:rPr>
                <w:b/>
                <w:color w:val="FFFFFF"/>
                <w:sz w:val="18"/>
              </w:rPr>
              <w:t>Decision</w:t>
            </w:r>
          </w:p>
        </w:tc>
      </w:tr>
      <w:tr>
        <w:trPr>
          <w:cantSplit/>
        </w:trPr>
        <w:tc>
          <w:tcPr>
            <w:tcW w:type="dxa" w:w="2448"/>
            <w:tcMar>
              <w:top w:w="100" w:type="dxa"/>
              <w:start w:w="120" w:type="dxa"/>
              <w:bottom w:w="100" w:type="dxa"/>
              <w:end w:w="120" w:type="dxa"/>
            </w:tcMar>
            <w:vAlign w:val="top"/>
          </w:tcPr>
          <w:p>
            <w:pPr>
              <w:spacing w:after="0"/>
            </w:pPr>
            <w:r>
              <w:rPr>
                <w:color w:val="243447"/>
                <w:sz w:val="17"/>
              </w:rPr>
              <w:t>Separate index per process</w:t>
            </w:r>
          </w:p>
        </w:tc>
        <w:tc>
          <w:tcPr>
            <w:tcW w:type="dxa" w:w="2448"/>
            <w:tcMar>
              <w:top w:w="100" w:type="dxa"/>
              <w:start w:w="120" w:type="dxa"/>
              <w:bottom w:w="100" w:type="dxa"/>
              <w:end w:w="120" w:type="dxa"/>
            </w:tcMar>
            <w:vAlign w:val="top"/>
          </w:tcPr>
          <w:p>
            <w:pPr>
              <w:spacing w:after="0"/>
            </w:pPr>
            <w:r>
              <w:rPr>
                <w:color w:val="243447"/>
                <w:sz w:val="17"/>
              </w:rPr>
              <w:t>Simple conceptual isolation.</w:t>
            </w:r>
          </w:p>
        </w:tc>
        <w:tc>
          <w:tcPr>
            <w:tcW w:type="dxa" w:w="2448"/>
            <w:tcMar>
              <w:top w:w="100" w:type="dxa"/>
              <w:start w:w="120" w:type="dxa"/>
              <w:bottom w:w="100" w:type="dxa"/>
              <w:end w:w="120" w:type="dxa"/>
            </w:tcMar>
            <w:vAlign w:val="top"/>
          </w:tcPr>
          <w:p>
            <w:pPr>
              <w:spacing w:after="0"/>
            </w:pPr>
            <w:r>
              <w:rPr>
                <w:color w:val="243447"/>
                <w:sz w:val="17"/>
              </w:rPr>
              <w:t>Thousands of indexes, difficult lifecycle, migration, monitoring, and cross-process search.</w:t>
            </w:r>
          </w:p>
        </w:tc>
        <w:tc>
          <w:tcPr>
            <w:tcW w:type="dxa" w:w="2448"/>
            <w:tcMar>
              <w:top w:w="100" w:type="dxa"/>
              <w:start w:w="120" w:type="dxa"/>
              <w:bottom w:w="100" w:type="dxa"/>
              <w:end w:w="120" w:type="dxa"/>
            </w:tcMar>
            <w:vAlign w:val="top"/>
          </w:tcPr>
          <w:p>
            <w:pPr>
              <w:spacing w:after="0"/>
            </w:pPr>
            <w:r>
              <w:rPr>
                <w:color w:val="243447"/>
                <w:sz w:val="17"/>
              </w:rPr>
              <w:t>Avoid as default.</w:t>
            </w:r>
          </w:p>
        </w:tc>
      </w:tr>
      <w:tr>
        <w:trPr>
          <w:cantSplit/>
        </w:trPr>
        <w:tc>
          <w:tcPr>
            <w:tcW w:type="dxa" w:w="2448"/>
            <w:tcMar>
              <w:top w:w="100" w:type="dxa"/>
              <w:start w:w="120" w:type="dxa"/>
              <w:bottom w:w="100" w:type="dxa"/>
              <w:end w:w="120" w:type="dxa"/>
            </w:tcMar>
            <w:vAlign w:val="top"/>
          </w:tcPr>
          <w:p>
            <w:pPr>
              <w:spacing w:after="0"/>
            </w:pPr>
            <w:r>
              <w:rPr>
                <w:color w:val="243447"/>
                <w:sz w:val="17"/>
              </w:rPr>
              <w:t>One global index without filters</w:t>
            </w:r>
          </w:p>
        </w:tc>
        <w:tc>
          <w:tcPr>
            <w:tcW w:type="dxa" w:w="2448"/>
            <w:tcMar>
              <w:top w:w="100" w:type="dxa"/>
              <w:start w:w="120" w:type="dxa"/>
              <w:bottom w:w="100" w:type="dxa"/>
              <w:end w:w="120" w:type="dxa"/>
            </w:tcMar>
            <w:vAlign w:val="top"/>
          </w:tcPr>
          <w:p>
            <w:pPr>
              <w:spacing w:after="0"/>
            </w:pPr>
            <w:r>
              <w:rPr>
                <w:color w:val="243447"/>
                <w:sz w:val="17"/>
              </w:rPr>
              <w:t>Simple ingestion.</w:t>
            </w:r>
          </w:p>
        </w:tc>
        <w:tc>
          <w:tcPr>
            <w:tcW w:type="dxa" w:w="2448"/>
            <w:tcMar>
              <w:top w:w="100" w:type="dxa"/>
              <w:start w:w="120" w:type="dxa"/>
              <w:bottom w:w="100" w:type="dxa"/>
              <w:end w:w="120" w:type="dxa"/>
            </w:tcMar>
            <w:vAlign w:val="top"/>
          </w:tcPr>
          <w:p>
            <w:pPr>
              <w:spacing w:after="0"/>
            </w:pPr>
            <w:r>
              <w:rPr>
                <w:color w:val="243447"/>
                <w:sz w:val="17"/>
              </w:rPr>
              <w:t>High cross-process leakage risk.</w:t>
            </w:r>
          </w:p>
        </w:tc>
        <w:tc>
          <w:tcPr>
            <w:tcW w:type="dxa" w:w="2448"/>
            <w:tcMar>
              <w:top w:w="100" w:type="dxa"/>
              <w:start w:w="120" w:type="dxa"/>
              <w:bottom w:w="100" w:type="dxa"/>
              <w:end w:w="120" w:type="dxa"/>
            </w:tcMar>
            <w:vAlign w:val="top"/>
          </w:tcPr>
          <w:p>
            <w:pPr>
              <w:spacing w:after="0"/>
            </w:pPr>
            <w:r>
              <w:rPr>
                <w:color w:val="243447"/>
                <w:sz w:val="17"/>
              </w:rPr>
              <w:t>Reject.</w:t>
            </w:r>
          </w:p>
        </w:tc>
      </w:tr>
      <w:tr>
        <w:trPr>
          <w:cantSplit/>
        </w:trPr>
        <w:tc>
          <w:tcPr>
            <w:tcW w:type="dxa" w:w="2448"/>
            <w:tcMar>
              <w:top w:w="100" w:type="dxa"/>
              <w:start w:w="120" w:type="dxa"/>
              <w:bottom w:w="100" w:type="dxa"/>
              <w:end w:w="120" w:type="dxa"/>
            </w:tcMar>
            <w:vAlign w:val="top"/>
          </w:tcPr>
          <w:p>
            <w:pPr>
              <w:spacing w:after="0"/>
            </w:pPr>
            <w:r>
              <w:rPr>
                <w:color w:val="243447"/>
                <w:sz w:val="17"/>
              </w:rPr>
              <w:t>Shared index with tenant/process filters</w:t>
            </w:r>
          </w:p>
        </w:tc>
        <w:tc>
          <w:tcPr>
            <w:tcW w:type="dxa" w:w="2448"/>
            <w:tcMar>
              <w:top w:w="100" w:type="dxa"/>
              <w:start w:w="120" w:type="dxa"/>
              <w:bottom w:w="100" w:type="dxa"/>
              <w:end w:w="120" w:type="dxa"/>
            </w:tcMar>
            <w:vAlign w:val="top"/>
          </w:tcPr>
          <w:p>
            <w:pPr>
              <w:spacing w:after="0"/>
            </w:pPr>
            <w:r>
              <w:rPr>
                <w:color w:val="243447"/>
                <w:sz w:val="17"/>
              </w:rPr>
              <w:t>Scalable, consistent schema, easy model migrations, strict logical isolation.</w:t>
            </w:r>
          </w:p>
        </w:tc>
        <w:tc>
          <w:tcPr>
            <w:tcW w:type="dxa" w:w="2448"/>
            <w:tcMar>
              <w:top w:w="100" w:type="dxa"/>
              <w:start w:w="120" w:type="dxa"/>
              <w:bottom w:w="100" w:type="dxa"/>
              <w:end w:w="120" w:type="dxa"/>
            </w:tcMar>
            <w:vAlign w:val="top"/>
          </w:tcPr>
          <w:p>
            <w:pPr>
              <w:spacing w:after="0"/>
            </w:pPr>
            <w:r>
              <w:rPr>
                <w:color w:val="243447"/>
                <w:sz w:val="17"/>
              </w:rPr>
              <w:t>Requires reliable filtered search support.</w:t>
            </w:r>
          </w:p>
        </w:tc>
        <w:tc>
          <w:tcPr>
            <w:tcW w:type="dxa" w:w="2448"/>
            <w:tcMar>
              <w:top w:w="100" w:type="dxa"/>
              <w:start w:w="120" w:type="dxa"/>
              <w:bottom w:w="100" w:type="dxa"/>
              <w:end w:w="120" w:type="dxa"/>
            </w:tcMar>
            <w:vAlign w:val="top"/>
          </w:tcPr>
          <w:p>
            <w:pPr>
              <w:spacing w:after="0"/>
            </w:pPr>
            <w:r>
              <w:rPr>
                <w:color w:val="243447"/>
                <w:sz w:val="17"/>
              </w:rPr>
              <w:t>Recommended.</w:t>
            </w:r>
          </w:p>
        </w:tc>
      </w:tr>
    </w:tbl>
    <w:p>
      <w:pPr>
        <w:spacing w:after="0"/>
      </w:pPr>
    </w:p>
    <w:p>
      <w:r>
        <w:t>For very large installations, physically shard or route by tenant or business domain while retaining process_id as the mandatory logical filter. If the vector technology cannot apply metadata filters efficiently during approximate nearest-neighbor candidate generation, it is not a good fit for this requirement.</w:t>
      </w:r>
    </w:p>
    <w:p>
      <w:pPr>
        <w:pStyle w:val="Heading1"/>
      </w:pPr>
      <w:r>
        <w:t>13. BPMN knowledge inside the same store</w:t>
      </w:r>
    </w:p>
    <w:p>
      <w:r>
        <w:t>For LLM retrieval, do not rely only on raw BPMN XML or a diagram image. Keep the original BPMN artifact, but create deterministic textual retrieval records that carry the same process_id.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1F4E78"/>
            <w:tcMar>
              <w:top w:w="100" w:type="dxa"/>
              <w:start w:w="120" w:type="dxa"/>
              <w:bottom w:w="100" w:type="dxa"/>
              <w:end w:w="120" w:type="dxa"/>
            </w:tcMar>
            <w:vAlign w:val="center"/>
          </w:tcPr>
          <w:p>
            <w:r>
              <w:rPr>
                <w:b/>
                <w:color w:val="FFFFFF"/>
                <w:sz w:val="18"/>
              </w:rPr>
              <w:t>Chunk type</w:t>
            </w:r>
          </w:p>
        </w:tc>
        <w:tc>
          <w:tcPr>
            <w:tcW w:type="dxa" w:w="5328"/>
            <w:shd w:fill="1F4E78"/>
            <w:tcMar>
              <w:top w:w="100" w:type="dxa"/>
              <w:start w:w="120" w:type="dxa"/>
              <w:bottom w:w="100" w:type="dxa"/>
              <w:end w:w="120" w:type="dxa"/>
            </w:tcMar>
            <w:vAlign w:val="center"/>
          </w:tcPr>
          <w:p>
            <w:r>
              <w:rPr>
                <w:b/>
                <w:color w:val="FFFFFF"/>
                <w:sz w:val="18"/>
              </w:rPr>
              <w:t>Example content</w:t>
            </w:r>
          </w:p>
        </w:tc>
        <w:tc>
          <w:tcPr>
            <w:tcW w:type="dxa" w:w="2304"/>
            <w:shd w:fill="1F4E78"/>
            <w:tcMar>
              <w:top w:w="100" w:type="dxa"/>
              <w:start w:w="120" w:type="dxa"/>
              <w:bottom w:w="100" w:type="dxa"/>
              <w:end w:w="120" w:type="dxa"/>
            </w:tcMar>
            <w:vAlign w:val="center"/>
          </w:tcPr>
          <w:p>
            <w:r>
              <w:rPr>
                <w:b/>
                <w:color w:val="FFFFFF"/>
                <w:sz w:val="18"/>
              </w:rPr>
              <w:t>Question supported</w:t>
            </w:r>
          </w:p>
        </w:tc>
      </w:tr>
      <w:tr>
        <w:trPr>
          <w:cantSplit/>
        </w:trPr>
        <w:tc>
          <w:tcPr>
            <w:tcW w:type="dxa" w:w="3264"/>
            <w:tcMar>
              <w:top w:w="100" w:type="dxa"/>
              <w:start w:w="120" w:type="dxa"/>
              <w:bottom w:w="100" w:type="dxa"/>
              <w:end w:w="120" w:type="dxa"/>
            </w:tcMar>
            <w:vAlign w:val="top"/>
          </w:tcPr>
          <w:p>
            <w:pPr>
              <w:spacing w:after="0"/>
            </w:pPr>
            <w:r>
              <w:rPr>
                <w:color w:val="243447"/>
                <w:sz w:val="17"/>
              </w:rPr>
              <w:t>BPMN_SUMMARY</w:t>
            </w:r>
          </w:p>
        </w:tc>
        <w:tc>
          <w:tcPr>
            <w:tcW w:type="dxa" w:w="3264"/>
            <w:tcMar>
              <w:top w:w="100" w:type="dxa"/>
              <w:start w:w="120" w:type="dxa"/>
              <w:bottom w:w="100" w:type="dxa"/>
              <w:end w:w="120" w:type="dxa"/>
            </w:tcMar>
            <w:vAlign w:val="top"/>
          </w:tcPr>
          <w:p>
            <w:pPr>
              <w:spacing w:after="0"/>
            </w:pPr>
            <w:r>
              <w:rPr>
                <w:color w:val="243447"/>
                <w:sz w:val="17"/>
              </w:rPr>
              <w:t>The process begins with Receive Request and ends with Issue Refund or Reject Request.</w:t>
            </w:r>
          </w:p>
        </w:tc>
        <w:tc>
          <w:tcPr>
            <w:tcW w:type="dxa" w:w="3264"/>
            <w:tcMar>
              <w:top w:w="100" w:type="dxa"/>
              <w:start w:w="120" w:type="dxa"/>
              <w:bottom w:w="100" w:type="dxa"/>
              <w:end w:w="120" w:type="dxa"/>
            </w:tcMar>
            <w:vAlign w:val="top"/>
          </w:tcPr>
          <w:p>
            <w:pPr>
              <w:spacing w:after="0"/>
            </w:pPr>
            <w:r>
              <w:rPr>
                <w:color w:val="243447"/>
                <w:sz w:val="17"/>
              </w:rPr>
              <w:t>How does the process start and end?</w:t>
            </w:r>
          </w:p>
        </w:tc>
      </w:tr>
      <w:tr>
        <w:trPr>
          <w:cantSplit/>
        </w:trPr>
        <w:tc>
          <w:tcPr>
            <w:tcW w:type="dxa" w:w="3264"/>
            <w:tcMar>
              <w:top w:w="100" w:type="dxa"/>
              <w:start w:w="120" w:type="dxa"/>
              <w:bottom w:w="100" w:type="dxa"/>
              <w:end w:w="120" w:type="dxa"/>
            </w:tcMar>
            <w:vAlign w:val="top"/>
          </w:tcPr>
          <w:p>
            <w:pPr>
              <w:spacing w:after="0"/>
            </w:pPr>
            <w:r>
              <w:rPr>
                <w:color w:val="243447"/>
                <w:sz w:val="17"/>
              </w:rPr>
              <w:t>BPMN_ACTIVITY</w:t>
            </w:r>
          </w:p>
        </w:tc>
        <w:tc>
          <w:tcPr>
            <w:tcW w:type="dxa" w:w="3264"/>
            <w:tcMar>
              <w:top w:w="100" w:type="dxa"/>
              <w:start w:w="120" w:type="dxa"/>
              <w:bottom w:w="100" w:type="dxa"/>
              <w:end w:w="120" w:type="dxa"/>
            </w:tcMar>
            <w:vAlign w:val="top"/>
          </w:tcPr>
          <w:p>
            <w:pPr>
              <w:spacing w:after="0"/>
            </w:pPr>
            <w:r>
              <w:rPr>
                <w:color w:val="243447"/>
                <w:sz w:val="17"/>
              </w:rPr>
              <w:t>Activity_19w6jj3 – STS Code Validation validates the customer status using Triumph.</w:t>
            </w:r>
          </w:p>
        </w:tc>
        <w:tc>
          <w:tcPr>
            <w:tcW w:type="dxa" w:w="3264"/>
            <w:tcMar>
              <w:top w:w="100" w:type="dxa"/>
              <w:start w:w="120" w:type="dxa"/>
              <w:bottom w:w="100" w:type="dxa"/>
              <w:end w:w="120" w:type="dxa"/>
            </w:tcMar>
            <w:vAlign w:val="top"/>
          </w:tcPr>
          <w:p>
            <w:pPr>
              <w:spacing w:after="0"/>
            </w:pPr>
            <w:r>
              <w:rPr>
                <w:color w:val="243447"/>
                <w:sz w:val="17"/>
              </w:rPr>
              <w:t>What does Activity_19w6jj3 do?</w:t>
            </w:r>
          </w:p>
        </w:tc>
      </w:tr>
      <w:tr>
        <w:trPr>
          <w:cantSplit/>
        </w:trPr>
        <w:tc>
          <w:tcPr>
            <w:tcW w:type="dxa" w:w="3264"/>
            <w:tcMar>
              <w:top w:w="100" w:type="dxa"/>
              <w:start w:w="120" w:type="dxa"/>
              <w:bottom w:w="100" w:type="dxa"/>
              <w:end w:w="120" w:type="dxa"/>
            </w:tcMar>
            <w:vAlign w:val="top"/>
          </w:tcPr>
          <w:p>
            <w:pPr>
              <w:spacing w:after="0"/>
            </w:pPr>
            <w:r>
              <w:rPr>
                <w:color w:val="243447"/>
                <w:sz w:val="17"/>
              </w:rPr>
              <w:t>BPMN_PATH</w:t>
            </w:r>
          </w:p>
        </w:tc>
        <w:tc>
          <w:tcPr>
            <w:tcW w:type="dxa" w:w="3264"/>
            <w:tcMar>
              <w:top w:w="100" w:type="dxa"/>
              <w:start w:w="120" w:type="dxa"/>
              <w:bottom w:w="100" w:type="dxa"/>
              <w:end w:w="120" w:type="dxa"/>
            </w:tcMar>
            <w:vAlign w:val="top"/>
          </w:tcPr>
          <w:p>
            <w:pPr>
              <w:spacing w:after="0"/>
            </w:pPr>
            <w:r>
              <w:rPr>
                <w:color w:val="243447"/>
                <w:sz w:val="17"/>
              </w:rPr>
              <w:t>If STS validation succeeds, continue to Check Validations; otherwise move to Manual Review.</w:t>
            </w:r>
          </w:p>
        </w:tc>
        <w:tc>
          <w:tcPr>
            <w:tcW w:type="dxa" w:w="3264"/>
            <w:tcMar>
              <w:top w:w="100" w:type="dxa"/>
              <w:start w:w="120" w:type="dxa"/>
              <w:bottom w:w="100" w:type="dxa"/>
              <w:end w:w="120" w:type="dxa"/>
            </w:tcMar>
            <w:vAlign w:val="top"/>
          </w:tcPr>
          <w:p>
            <w:pPr>
              <w:spacing w:after="0"/>
            </w:pPr>
            <w:r>
              <w:rPr>
                <w:color w:val="243447"/>
                <w:sz w:val="17"/>
              </w:rPr>
              <w:t>What happens when STS validation fails?</w:t>
            </w:r>
          </w:p>
        </w:tc>
      </w:tr>
    </w:tbl>
    <w:p>
      <w:pPr>
        <w:spacing w:after="0"/>
      </w:pPr>
    </w:p>
    <w:p>
      <w:r>
        <w:t>Exact BPMN IDs should remain keyword-searchable for BM25, while the textual descriptions can be embedded for semantic questions. All records remain scoped by process_id.</w:t>
      </w:r>
    </w:p>
    <w:p>
      <w:pPr>
        <w:pStyle w:val="Heading1"/>
      </w:pPr>
      <w:r>
        <w:t>14. Versioning, updates, and publication controls</w:t>
      </w:r>
    </w:p>
    <w:p>
      <w:r>
        <w:t>Documents should use immutable versions. When version 4.2 becomes active, version 4.1 remains historically available but is excluded from normal retrieval through document_status and effective-date filters.</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DOC_8001 / version 4.1 / status INACTIVE</w:t>
              <w:br/>
              <w:t>DOC_8001 / version 4.2 / status ACTIVE</w:t>
            </w:r>
          </w:p>
        </w:tc>
      </w:tr>
    </w:tbl>
    <w:p>
      <w:pPr>
        <w:spacing w:after="0"/>
      </w:pPr>
    </w:p>
    <w:p>
      <w:pPr>
        <w:pStyle w:val="Heading2"/>
      </w:pPr>
      <w:r>
        <w:t>14.1 Required operational fields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240"/>
            <w:shd w:fill="1F4E78"/>
            <w:tcMar>
              <w:top w:w="100" w:type="dxa"/>
              <w:start w:w="120" w:type="dxa"/>
              <w:bottom w:w="100" w:type="dxa"/>
              <w:end w:w="120" w:type="dxa"/>
            </w:tcMar>
            <w:vAlign w:val="center"/>
          </w:tcPr>
          <w:p>
            <w:r>
              <w:rPr>
                <w:b/>
                <w:color w:val="FFFFFF"/>
                <w:sz w:val="18"/>
              </w:rPr>
              <w:t>Field</w:t>
            </w:r>
          </w:p>
        </w:tc>
        <w:tc>
          <w:tcPr>
            <w:tcW w:type="dxa" w:w="6480"/>
            <w:shd w:fill="1F4E78"/>
            <w:tcMar>
              <w:top w:w="100" w:type="dxa"/>
              <w:start w:w="120" w:type="dxa"/>
              <w:bottom w:w="100" w:type="dxa"/>
              <w:end w:w="120" w:type="dxa"/>
            </w:tcMar>
            <w:vAlign w:val="center"/>
          </w:tcPr>
          <w:p>
            <w:r>
              <w:rPr>
                <w:b/>
                <w:color w:val="FFFFFF"/>
                <w:sz w:val="18"/>
              </w:rPr>
              <w:t>Purpose</w:t>
            </w:r>
          </w:p>
        </w:tc>
      </w:tr>
      <w:tr>
        <w:trPr>
          <w:cantSplit/>
        </w:trPr>
        <w:tc>
          <w:tcPr>
            <w:tcW w:type="dxa" w:w="4896"/>
            <w:tcMar>
              <w:top w:w="100" w:type="dxa"/>
              <w:start w:w="120" w:type="dxa"/>
              <w:bottom w:w="100" w:type="dxa"/>
              <w:end w:w="120" w:type="dxa"/>
            </w:tcMar>
            <w:vAlign w:val="top"/>
          </w:tcPr>
          <w:p>
            <w:pPr>
              <w:spacing w:after="0"/>
            </w:pPr>
            <w:r>
              <w:rPr>
                <w:color w:val="243447"/>
                <w:sz w:val="17"/>
              </w:rPr>
              <w:t>content_hash</w:t>
            </w:r>
          </w:p>
        </w:tc>
        <w:tc>
          <w:tcPr>
            <w:tcW w:type="dxa" w:w="4896"/>
            <w:tcMar>
              <w:top w:w="100" w:type="dxa"/>
              <w:start w:w="120" w:type="dxa"/>
              <w:bottom w:w="100" w:type="dxa"/>
              <w:end w:w="120" w:type="dxa"/>
            </w:tcMar>
            <w:vAlign w:val="top"/>
          </w:tcPr>
          <w:p>
            <w:pPr>
              <w:spacing w:after="0"/>
            </w:pPr>
            <w:r>
              <w:rPr>
                <w:color w:val="243447"/>
                <w:sz w:val="17"/>
              </w:rPr>
              <w:t>Detect duplicates and make ingestion idempotent.</w:t>
            </w:r>
          </w:p>
        </w:tc>
      </w:tr>
      <w:tr>
        <w:trPr>
          <w:cantSplit/>
        </w:trPr>
        <w:tc>
          <w:tcPr>
            <w:tcW w:type="dxa" w:w="4896"/>
            <w:tcMar>
              <w:top w:w="100" w:type="dxa"/>
              <w:start w:w="120" w:type="dxa"/>
              <w:bottom w:w="100" w:type="dxa"/>
              <w:end w:w="120" w:type="dxa"/>
            </w:tcMar>
            <w:vAlign w:val="top"/>
          </w:tcPr>
          <w:p>
            <w:pPr>
              <w:spacing w:after="0"/>
            </w:pPr>
            <w:r>
              <w:rPr>
                <w:color w:val="243447"/>
                <w:sz w:val="17"/>
              </w:rPr>
              <w:t>chunking_pipeline_version</w:t>
            </w:r>
          </w:p>
        </w:tc>
        <w:tc>
          <w:tcPr>
            <w:tcW w:type="dxa" w:w="4896"/>
            <w:tcMar>
              <w:top w:w="100" w:type="dxa"/>
              <w:start w:w="120" w:type="dxa"/>
              <w:bottom w:w="100" w:type="dxa"/>
              <w:end w:w="120" w:type="dxa"/>
            </w:tcMar>
            <w:vAlign w:val="top"/>
          </w:tcPr>
          <w:p>
            <w:pPr>
              <w:spacing w:after="0"/>
            </w:pPr>
            <w:r>
              <w:rPr>
                <w:color w:val="243447"/>
                <w:sz w:val="17"/>
              </w:rPr>
              <w:t>Identify which chunking logic created the record.</w:t>
            </w:r>
          </w:p>
        </w:tc>
      </w:tr>
      <w:tr>
        <w:trPr>
          <w:cantSplit/>
        </w:trPr>
        <w:tc>
          <w:tcPr>
            <w:tcW w:type="dxa" w:w="4896"/>
            <w:tcMar>
              <w:top w:w="100" w:type="dxa"/>
              <w:start w:w="120" w:type="dxa"/>
              <w:bottom w:w="100" w:type="dxa"/>
              <w:end w:w="120" w:type="dxa"/>
            </w:tcMar>
            <w:vAlign w:val="top"/>
          </w:tcPr>
          <w:p>
            <w:pPr>
              <w:spacing w:after="0"/>
            </w:pPr>
            <w:r>
              <w:rPr>
                <w:color w:val="243447"/>
                <w:sz w:val="17"/>
              </w:rPr>
              <w:t>embedding_model_version</w:t>
            </w:r>
          </w:p>
        </w:tc>
        <w:tc>
          <w:tcPr>
            <w:tcW w:type="dxa" w:w="4896"/>
            <w:tcMar>
              <w:top w:w="100" w:type="dxa"/>
              <w:start w:w="120" w:type="dxa"/>
              <w:bottom w:w="100" w:type="dxa"/>
              <w:end w:w="120" w:type="dxa"/>
            </w:tcMar>
            <w:vAlign w:val="top"/>
          </w:tcPr>
          <w:p>
            <w:pPr>
              <w:spacing w:after="0"/>
            </w:pPr>
            <w:r>
              <w:rPr>
                <w:color w:val="243447"/>
                <w:sz w:val="17"/>
              </w:rPr>
              <w:t>Support embedding-model migration and reindexing.</w:t>
            </w:r>
          </w:p>
        </w:tc>
      </w:tr>
      <w:tr>
        <w:trPr>
          <w:cantSplit/>
        </w:trPr>
        <w:tc>
          <w:tcPr>
            <w:tcW w:type="dxa" w:w="4896"/>
            <w:tcMar>
              <w:top w:w="100" w:type="dxa"/>
              <w:start w:w="120" w:type="dxa"/>
              <w:bottom w:w="100" w:type="dxa"/>
              <w:end w:w="120" w:type="dxa"/>
            </w:tcMar>
            <w:vAlign w:val="top"/>
          </w:tcPr>
          <w:p>
            <w:pPr>
              <w:spacing w:after="0"/>
            </w:pPr>
            <w:r>
              <w:rPr>
                <w:color w:val="243447"/>
                <w:sz w:val="17"/>
              </w:rPr>
              <w:t>indexed_at</w:t>
            </w:r>
          </w:p>
        </w:tc>
        <w:tc>
          <w:tcPr>
            <w:tcW w:type="dxa" w:w="4896"/>
            <w:tcMar>
              <w:top w:w="100" w:type="dxa"/>
              <w:start w:w="120" w:type="dxa"/>
              <w:bottom w:w="100" w:type="dxa"/>
              <w:end w:w="120" w:type="dxa"/>
            </w:tcMar>
            <w:vAlign w:val="top"/>
          </w:tcPr>
          <w:p>
            <w:pPr>
              <w:spacing w:after="0"/>
            </w:pPr>
            <w:r>
              <w:rPr>
                <w:color w:val="243447"/>
                <w:sz w:val="17"/>
              </w:rPr>
              <w:t>Track freshness and troubleshooting.</w:t>
            </w:r>
          </w:p>
        </w:tc>
      </w:tr>
      <w:tr>
        <w:trPr>
          <w:cantSplit/>
        </w:trPr>
        <w:tc>
          <w:tcPr>
            <w:tcW w:type="dxa" w:w="4896"/>
            <w:tcMar>
              <w:top w:w="100" w:type="dxa"/>
              <w:start w:w="120" w:type="dxa"/>
              <w:bottom w:w="100" w:type="dxa"/>
              <w:end w:w="120" w:type="dxa"/>
            </w:tcMar>
            <w:vAlign w:val="top"/>
          </w:tcPr>
          <w:p>
            <w:pPr>
              <w:spacing w:after="0"/>
            </w:pPr>
            <w:r>
              <w:rPr>
                <w:color w:val="243447"/>
                <w:sz w:val="17"/>
              </w:rPr>
              <w:t>document_status</w:t>
            </w:r>
          </w:p>
        </w:tc>
        <w:tc>
          <w:tcPr>
            <w:tcW w:type="dxa" w:w="4896"/>
            <w:tcMar>
              <w:top w:w="100" w:type="dxa"/>
              <w:start w:w="120" w:type="dxa"/>
              <w:bottom w:w="100" w:type="dxa"/>
              <w:end w:w="120" w:type="dxa"/>
            </w:tcMar>
            <w:vAlign w:val="top"/>
          </w:tcPr>
          <w:p>
            <w:pPr>
              <w:spacing w:after="0"/>
            </w:pPr>
            <w:r>
              <w:rPr>
                <w:color w:val="243447"/>
                <w:sz w:val="17"/>
              </w:rPr>
              <w:t>Default retrieval to approved/current knowledge.</w:t>
            </w:r>
          </w:p>
        </w:tc>
      </w:tr>
      <w:tr>
        <w:trPr>
          <w:cantSplit/>
        </w:trPr>
        <w:tc>
          <w:tcPr>
            <w:tcW w:type="dxa" w:w="4896"/>
            <w:tcMar>
              <w:top w:w="100" w:type="dxa"/>
              <w:start w:w="120" w:type="dxa"/>
              <w:bottom w:w="100" w:type="dxa"/>
              <w:end w:w="120" w:type="dxa"/>
            </w:tcMar>
            <w:vAlign w:val="top"/>
          </w:tcPr>
          <w:p>
            <w:pPr>
              <w:spacing w:after="0"/>
            </w:pPr>
            <w:r>
              <w:rPr>
                <w:color w:val="243447"/>
                <w:sz w:val="17"/>
              </w:rPr>
              <w:t>effective_from / effective_to</w:t>
            </w:r>
          </w:p>
        </w:tc>
        <w:tc>
          <w:tcPr>
            <w:tcW w:type="dxa" w:w="4896"/>
            <w:tcMar>
              <w:top w:w="100" w:type="dxa"/>
              <w:start w:w="120" w:type="dxa"/>
              <w:bottom w:w="100" w:type="dxa"/>
              <w:end w:w="120" w:type="dxa"/>
            </w:tcMar>
            <w:vAlign w:val="top"/>
          </w:tcPr>
          <w:p>
            <w:pPr>
              <w:spacing w:after="0"/>
            </w:pPr>
            <w:r>
              <w:rPr>
                <w:color w:val="243447"/>
                <w:sz w:val="17"/>
              </w:rPr>
              <w:t>Answer questions for a historical date correctly.</w:t>
            </w:r>
          </w:p>
        </w:tc>
      </w:tr>
    </w:tbl>
    <w:p>
      <w:pPr>
        <w:spacing w:after="0"/>
      </w:pPr>
    </w:p>
    <w:p>
      <w:pPr>
        <w:pStyle w:val="Heading2"/>
      </w:pPr>
      <w:r>
        <w:t>14.2 Atomic publication</w:t>
      </w:r>
    </w:p>
    <w:p>
      <w:r>
        <w:t>Do not expose half-indexed documents. Extract, chunk, enrich, embed, and validate all records in a staging state. Publish the complete document version only after every required record has been created successfully.</w:t>
      </w:r>
    </w:p>
    <w:p>
      <w:pPr>
        <w:pStyle w:val="Heading1"/>
      </w:pPr>
      <w:r>
        <w:t>15. Elasticsearch-style index mapping</w:t>
      </w:r>
    </w:p>
    <w:p>
      <w:r>
        <w:t>If Elasticsearch is used, one knowledge index can support exact keyword filters, BM25 text search, and dense-vector retrieval. The following is an illustrative mapping rather than a complete production configuration.</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w:t>
              <w:br/>
              <w:t xml:space="preserve">  "mappings": {</w:t>
              <w:br/>
              <w:t xml:space="preserve">    "properties": {</w:t>
              <w:br/>
              <w:t xml:space="preserve">      "tenant_id":        { "type": "keyword" },</w:t>
              <w:br/>
              <w:t xml:space="preserve">      "process_id":       { "type": "keyword" },</w:t>
              <w:br/>
              <w:t xml:space="preserve">      "document_id":      { "type": "keyword" },</w:t>
              <w:br/>
              <w:t xml:space="preserve">      "document_status":  { "type": "keyword" },</w:t>
              <w:br/>
              <w:t xml:space="preserve">      "document_version": { "type": "keyword" },</w:t>
              <w:br/>
              <w:t xml:space="preserve">      "document_type":    { "type": "keyword" },</w:t>
              <w:br/>
              <w:t xml:space="preserve">      "chunk_type":       { "type": "keyword" },</w:t>
              <w:br/>
              <w:t xml:space="preserve">      "section_id":       { "type": "keyword" },</w:t>
              <w:br/>
              <w:t xml:space="preserve">      "parent_section_id":{ "type": "keyword" },</w:t>
              <w:br/>
              <w:br/>
              <w:t xml:space="preserve">      "process_name": {</w:t>
              <w:br/>
              <w:t xml:space="preserve">        "type": "text",</w:t>
              <w:br/>
              <w:t xml:space="preserve">        "fields": { "keyword": { "type": "keyword" } }</w:t>
              <w:br/>
              <w:t xml:space="preserve">      },</w:t>
              <w:br/>
              <w:t xml:space="preserve">      "process_aliases": {</w:t>
              <w:br/>
              <w:t xml:space="preserve">        "type": "text",</w:t>
              <w:br/>
              <w:t xml:space="preserve">        "fields": { "keyword": { "type": "keyword" } }</w:t>
              <w:br/>
              <w:t xml:space="preserve">      },</w:t>
              <w:br/>
              <w:t xml:space="preserve">      "document_title": {</w:t>
              <w:br/>
              <w:t xml:space="preserve">        "type": "text",</w:t>
              <w:br/>
              <w:t xml:space="preserve">        "fields": { "keyword": { "type": "keyword" } }</w:t>
              <w:br/>
              <w:t xml:space="preserve">      },</w:t>
              <w:br/>
              <w:t xml:space="preserve">      "activity_ids":     { "type": "keyword" },</w:t>
              <w:br/>
              <w:t xml:space="preserve">      "activity_names":   { "type": "text" },</w:t>
              <w:br/>
              <w:t xml:space="preserve">      "section_title":    { "type": "text" },</w:t>
              <w:br/>
              <w:t xml:space="preserve">      "content":          { "type": "text" },</w:t>
              <w:br/>
              <w:t xml:space="preserve">      "retrieval_text":   { "type": "text" },</w:t>
              <w:br/>
              <w:br/>
              <w:t xml:space="preserve">      "embedding": {</w:t>
              <w:br/>
              <w:t xml:space="preserve">        "type": "dense_vector",</w:t>
              <w:br/>
              <w:t xml:space="preserve">        "dims": 1536,</w:t>
              <w:br/>
              <w:t xml:space="preserve">        "index": true,</w:t>
              <w:br/>
              <w:t xml:space="preserve">        "similarity": "cosine"</w:t>
              <w:br/>
              <w:t xml:space="preserve">      }</w:t>
              <w:br/>
              <w:t xml:space="preserve">    }</w:t>
              <w:br/>
              <w:t xml:space="preserve">  }</w:t>
              <w:br/>
              <w:t>}</w:t>
            </w:r>
          </w:p>
        </w:tc>
      </w:tr>
    </w:tbl>
    <w:p>
      <w:pPr>
        <w:spacing w:after="0"/>
      </w:pPr>
    </w:p>
    <w:p>
      <w:pPr>
        <w:pStyle w:val="Heading2"/>
      </w:pPr>
      <w:r>
        <w:t>15.1 Field-type meaning</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shd w:fill="1F4E78"/>
            <w:tcMar>
              <w:top w:w="100" w:type="dxa"/>
              <w:start w:w="120" w:type="dxa"/>
              <w:bottom w:w="100" w:type="dxa"/>
              <w:end w:w="120" w:type="dxa"/>
            </w:tcMar>
            <w:vAlign w:val="center"/>
          </w:tcPr>
          <w:p>
            <w:r>
              <w:rPr>
                <w:b/>
                <w:color w:val="FFFFFF"/>
                <w:sz w:val="18"/>
              </w:rPr>
              <w:t>Field type</w:t>
            </w:r>
          </w:p>
        </w:tc>
        <w:tc>
          <w:tcPr>
            <w:tcW w:type="dxa" w:w="7488"/>
            <w:shd w:fill="1F4E78"/>
            <w:tcMar>
              <w:top w:w="100" w:type="dxa"/>
              <w:start w:w="120" w:type="dxa"/>
              <w:bottom w:w="100" w:type="dxa"/>
              <w:end w:w="120" w:type="dxa"/>
            </w:tcMar>
            <w:vAlign w:val="center"/>
          </w:tcPr>
          <w:p>
            <w:r>
              <w:rPr>
                <w:b/>
                <w:color w:val="FFFFFF"/>
                <w:sz w:val="18"/>
              </w:rPr>
              <w:t>Role</w:t>
            </w:r>
          </w:p>
        </w:tc>
      </w:tr>
      <w:tr>
        <w:trPr>
          <w:cantSplit/>
        </w:trPr>
        <w:tc>
          <w:tcPr>
            <w:tcW w:type="dxa" w:w="4896"/>
            <w:tcMar>
              <w:top w:w="100" w:type="dxa"/>
              <w:start w:w="120" w:type="dxa"/>
              <w:bottom w:w="100" w:type="dxa"/>
              <w:end w:w="120" w:type="dxa"/>
            </w:tcMar>
            <w:vAlign w:val="top"/>
          </w:tcPr>
          <w:p>
            <w:pPr>
              <w:spacing w:after="0"/>
            </w:pPr>
            <w:r>
              <w:rPr>
                <w:color w:val="243447"/>
                <w:sz w:val="17"/>
              </w:rPr>
              <w:t>keyword</w:t>
            </w:r>
          </w:p>
        </w:tc>
        <w:tc>
          <w:tcPr>
            <w:tcW w:type="dxa" w:w="4896"/>
            <w:tcMar>
              <w:top w:w="100" w:type="dxa"/>
              <w:start w:w="120" w:type="dxa"/>
              <w:bottom w:w="100" w:type="dxa"/>
              <w:end w:w="120" w:type="dxa"/>
            </w:tcMar>
            <w:vAlign w:val="top"/>
          </w:tcPr>
          <w:p>
            <w:pPr>
              <w:spacing w:after="0"/>
            </w:pPr>
            <w:r>
              <w:rPr>
                <w:color w:val="243447"/>
                <w:sz w:val="17"/>
              </w:rPr>
              <w:t>Exact values for filtering, joining, IDs, codes, and exact matches.</w:t>
            </w:r>
          </w:p>
        </w:tc>
      </w:tr>
      <w:tr>
        <w:trPr>
          <w:cantSplit/>
        </w:trPr>
        <w:tc>
          <w:tcPr>
            <w:tcW w:type="dxa" w:w="4896"/>
            <w:tcMar>
              <w:top w:w="100" w:type="dxa"/>
              <w:start w:w="120" w:type="dxa"/>
              <w:bottom w:w="100" w:type="dxa"/>
              <w:end w:w="120" w:type="dxa"/>
            </w:tcMar>
            <w:vAlign w:val="top"/>
          </w:tcPr>
          <w:p>
            <w:pPr>
              <w:spacing w:after="0"/>
            </w:pPr>
            <w:r>
              <w:rPr>
                <w:color w:val="243447"/>
                <w:sz w:val="17"/>
              </w:rPr>
              <w:t>text</w:t>
            </w:r>
          </w:p>
        </w:tc>
        <w:tc>
          <w:tcPr>
            <w:tcW w:type="dxa" w:w="4896"/>
            <w:tcMar>
              <w:top w:w="100" w:type="dxa"/>
              <w:start w:w="120" w:type="dxa"/>
              <w:bottom w:w="100" w:type="dxa"/>
              <w:end w:w="120" w:type="dxa"/>
            </w:tcMar>
            <w:vAlign w:val="top"/>
          </w:tcPr>
          <w:p>
            <w:pPr>
              <w:spacing w:after="0"/>
            </w:pPr>
            <w:r>
              <w:rPr>
                <w:color w:val="243447"/>
                <w:sz w:val="17"/>
              </w:rPr>
              <w:t>Analyzed terms used by BM25 full-text search.</w:t>
            </w:r>
          </w:p>
        </w:tc>
      </w:tr>
      <w:tr>
        <w:trPr>
          <w:cantSplit/>
        </w:trPr>
        <w:tc>
          <w:tcPr>
            <w:tcW w:type="dxa" w:w="4896"/>
            <w:tcMar>
              <w:top w:w="100" w:type="dxa"/>
              <w:start w:w="120" w:type="dxa"/>
              <w:bottom w:w="100" w:type="dxa"/>
              <w:end w:w="120" w:type="dxa"/>
            </w:tcMar>
            <w:vAlign w:val="top"/>
          </w:tcPr>
          <w:p>
            <w:pPr>
              <w:spacing w:after="0"/>
            </w:pPr>
            <w:r>
              <w:rPr>
                <w:color w:val="243447"/>
                <w:sz w:val="17"/>
              </w:rPr>
              <w:t>dense_vector</w:t>
            </w:r>
          </w:p>
        </w:tc>
        <w:tc>
          <w:tcPr>
            <w:tcW w:type="dxa" w:w="4896"/>
            <w:tcMar>
              <w:top w:w="100" w:type="dxa"/>
              <w:start w:w="120" w:type="dxa"/>
              <w:bottom w:w="100" w:type="dxa"/>
              <w:end w:w="120" w:type="dxa"/>
            </w:tcMar>
            <w:vAlign w:val="top"/>
          </w:tcPr>
          <w:p>
            <w:pPr>
              <w:spacing w:after="0"/>
            </w:pPr>
            <w:r>
              <w:rPr>
                <w:color w:val="243447"/>
                <w:sz w:val="17"/>
              </w:rPr>
              <w:t>Embedding used for semantic nearest-neighbor retrieval.</w:t>
            </w:r>
          </w:p>
        </w:tc>
      </w:tr>
    </w:tbl>
    <w:p>
      <w:pPr>
        <w:spacing w:after="0"/>
      </w:pPr>
    </w:p>
    <w:p>
      <w:pPr>
        <w:pStyle w:val="Heading1"/>
      </w:pPr>
      <w:r>
        <w:t>16. Retrieval pseudocode</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def retrieve_process_knowledge(query, selected_process_id=None):</w:t>
              <w:br/>
              <w:t xml:space="preserve">    # 1. Resolve process from UI context or registry.</w:t>
              <w:br/>
              <w:t xml:space="preserve">    if selected_process_id:</w:t>
              <w:br/>
              <w:t xml:space="preserve">        process_id = selected_process_id</w:t>
              <w:br/>
              <w:t xml:space="preserve">    else:</w:t>
              <w:br/>
              <w:t xml:space="preserve">        match = resolve_process(query)</w:t>
              <w:br/>
              <w:t xml:space="preserve">        if match.confidence &lt; PROCESS_THRESHOLD:</w:t>
              <w:br/>
              <w:t xml:space="preserve">            return request_process_clarification(match.candidates)</w:t>
              <w:br/>
              <w:t xml:space="preserve">        process_id = match.process_id</w:t>
              <w:br/>
              <w:br/>
              <w:t xml:space="preserve">    # 2. Build mandatory filters.</w:t>
              <w:br/>
              <w:t xml:space="preserve">    filters = {</w:t>
              <w:br/>
              <w:t xml:space="preserve">        "tenant_id": current_tenant_id,</w:t>
              <w:br/>
              <w:t xml:space="preserve">        "process_id": process_id,</w:t>
              <w:br/>
              <w:t xml:space="preserve">        "document_status": "ACTIVE"</w:t>
              <w:br/>
              <w:t xml:space="preserve">    }</w:t>
              <w:br/>
              <w:br/>
              <w:t xml:space="preserve">    # 3. Retrieve independently, inside the same process scope.</w:t>
              <w:br/>
              <w:t xml:space="preserve">    bm25_results = bm25_search(query, filters=filters, limit=30)</w:t>
              <w:br/>
              <w:t xml:space="preserve">    vector_results = vector_search(embed(query), filters=filters, limit=30)</w:t>
              <w:br/>
              <w:br/>
              <w:t xml:space="preserve">    # 4. Fuse and rerank only filtered candidates.</w:t>
              <w:br/>
              <w:t xml:space="preserve">    fused = reciprocal_rank_fusion(bm25_results, vector_results)</w:t>
              <w:br/>
              <w:t xml:space="preserve">    ranked = rerank(query, fused[:30])</w:t>
              <w:br/>
              <w:br/>
              <w:t xml:space="preserve">    # 5. Enforce process isolation again.</w:t>
              <w:br/>
              <w:t xml:space="preserve">    valid = [r for r in ranked if r.process_id == process_id]</w:t>
              <w:br/>
              <w:br/>
              <w:t xml:space="preserve">    # 6. Expand selected leaves to coherent parent sections.</w:t>
              <w:br/>
              <w:t xml:space="preserve">    evidence = expand_parent_context(valid[:8])</w:t>
              <w:br/>
              <w:br/>
              <w:t xml:space="preserve">    # 7. Validate sources and return evidence to the LLM.</w:t>
              <w:br/>
              <w:t xml:space="preserve">    return validate_and_package(evidence, expected_process_id=process_id)</w:t>
            </w:r>
          </w:p>
        </w:tc>
      </w:tr>
    </w:tbl>
    <w:p>
      <w:pPr>
        <w:spacing w:after="0"/>
      </w:pPr>
    </w:p>
    <w:p>
      <w:pPr>
        <w:pStyle w:val="Heading2"/>
      </w:pPr>
      <w:r>
        <w:t>16.1 Handling a question without a process name</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600"/>
            <w:shd w:fill="1F4E78"/>
            <w:tcMar>
              <w:top w:w="100" w:type="dxa"/>
              <w:start w:w="120" w:type="dxa"/>
              <w:bottom w:w="100" w:type="dxa"/>
              <w:end w:w="120" w:type="dxa"/>
            </w:tcMar>
            <w:vAlign w:val="center"/>
          </w:tcPr>
          <w:p>
            <w:r>
              <w:rPr>
                <w:b/>
                <w:color w:val="FFFFFF"/>
                <w:sz w:val="18"/>
              </w:rPr>
              <w:t>Context</w:t>
            </w:r>
          </w:p>
        </w:tc>
        <w:tc>
          <w:tcPr>
            <w:tcW w:type="dxa" w:w="6120"/>
            <w:shd w:fill="1F4E78"/>
            <w:tcMar>
              <w:top w:w="100" w:type="dxa"/>
              <w:start w:w="120" w:type="dxa"/>
              <w:bottom w:w="100" w:type="dxa"/>
              <w:end w:w="120" w:type="dxa"/>
            </w:tcMar>
            <w:vAlign w:val="center"/>
          </w:tcPr>
          <w:p>
            <w:r>
              <w:rPr>
                <w:b/>
                <w:color w:val="FFFFFF"/>
                <w:sz w:val="18"/>
              </w:rPr>
              <w:t>Action</w:t>
            </w:r>
          </w:p>
        </w:tc>
      </w:tr>
      <w:tr>
        <w:trPr>
          <w:cantSplit/>
        </w:trPr>
        <w:tc>
          <w:tcPr>
            <w:tcW w:type="dxa" w:w="4896"/>
            <w:tcMar>
              <w:top w:w="100" w:type="dxa"/>
              <w:start w:w="120" w:type="dxa"/>
              <w:bottom w:w="100" w:type="dxa"/>
              <w:end w:w="120" w:type="dxa"/>
            </w:tcMar>
            <w:vAlign w:val="top"/>
          </w:tcPr>
          <w:p>
            <w:pPr>
              <w:spacing w:after="0"/>
            </w:pPr>
            <w:r>
              <w:rPr>
                <w:color w:val="243447"/>
                <w:sz w:val="17"/>
              </w:rPr>
              <w:t>User is on a process page</w:t>
            </w:r>
          </w:p>
        </w:tc>
        <w:tc>
          <w:tcPr>
            <w:tcW w:type="dxa" w:w="4896"/>
            <w:tcMar>
              <w:top w:w="100" w:type="dxa"/>
              <w:start w:w="120" w:type="dxa"/>
              <w:bottom w:w="100" w:type="dxa"/>
              <w:end w:w="120" w:type="dxa"/>
            </w:tcMar>
            <w:vAlign w:val="top"/>
          </w:tcPr>
          <w:p>
            <w:pPr>
              <w:spacing w:after="0"/>
            </w:pPr>
            <w:r>
              <w:rPr>
                <w:color w:val="243447"/>
                <w:sz w:val="17"/>
              </w:rPr>
              <w:t>The application sends selected_process_id; do not rediscover it.</w:t>
            </w:r>
          </w:p>
        </w:tc>
      </w:tr>
      <w:tr>
        <w:trPr>
          <w:cantSplit/>
        </w:trPr>
        <w:tc>
          <w:tcPr>
            <w:tcW w:type="dxa" w:w="4896"/>
            <w:tcMar>
              <w:top w:w="100" w:type="dxa"/>
              <w:start w:w="120" w:type="dxa"/>
              <w:bottom w:w="100" w:type="dxa"/>
              <w:end w:w="120" w:type="dxa"/>
            </w:tcMar>
            <w:vAlign w:val="top"/>
          </w:tcPr>
          <w:p>
            <w:pPr>
              <w:spacing w:after="0"/>
            </w:pPr>
            <w:r>
              <w:rPr>
                <w:color w:val="243447"/>
                <w:sz w:val="17"/>
              </w:rPr>
              <w:t>Conversation already established one process</w:t>
            </w:r>
          </w:p>
        </w:tc>
        <w:tc>
          <w:tcPr>
            <w:tcW w:type="dxa" w:w="4896"/>
            <w:tcMar>
              <w:top w:w="100" w:type="dxa"/>
              <w:start w:w="120" w:type="dxa"/>
              <w:bottom w:w="100" w:type="dxa"/>
              <w:end w:w="120" w:type="dxa"/>
            </w:tcMar>
            <w:vAlign w:val="top"/>
          </w:tcPr>
          <w:p>
            <w:pPr>
              <w:spacing w:after="0"/>
            </w:pPr>
            <w:r>
              <w:rPr>
                <w:color w:val="243447"/>
                <w:sz w:val="17"/>
              </w:rPr>
              <w:t>Use active_process_id and make the scope visible in the answer.</w:t>
            </w:r>
          </w:p>
        </w:tc>
      </w:tr>
      <w:tr>
        <w:trPr>
          <w:cantSplit/>
        </w:trPr>
        <w:tc>
          <w:tcPr>
            <w:tcW w:type="dxa" w:w="4896"/>
            <w:tcMar>
              <w:top w:w="100" w:type="dxa"/>
              <w:start w:w="120" w:type="dxa"/>
              <w:bottom w:w="100" w:type="dxa"/>
              <w:end w:w="120" w:type="dxa"/>
            </w:tcMar>
            <w:vAlign w:val="top"/>
          </w:tcPr>
          <w:p>
            <w:pPr>
              <w:spacing w:after="0"/>
            </w:pPr>
            <w:r>
              <w:rPr>
                <w:color w:val="243447"/>
                <w:sz w:val="17"/>
              </w:rPr>
              <w:t>Global chat with an explicit name or alias</w:t>
            </w:r>
          </w:p>
        </w:tc>
        <w:tc>
          <w:tcPr>
            <w:tcW w:type="dxa" w:w="4896"/>
            <w:tcMar>
              <w:top w:w="100" w:type="dxa"/>
              <w:start w:w="120" w:type="dxa"/>
              <w:bottom w:w="100" w:type="dxa"/>
              <w:end w:w="120" w:type="dxa"/>
            </w:tcMar>
            <w:vAlign w:val="top"/>
          </w:tcPr>
          <w:p>
            <w:pPr>
              <w:spacing w:after="0"/>
            </w:pPr>
            <w:r>
              <w:rPr>
                <w:color w:val="243447"/>
                <w:sz w:val="17"/>
              </w:rPr>
              <w:t>Resolve it through the process registry.</w:t>
            </w:r>
          </w:p>
        </w:tc>
      </w:tr>
      <w:tr>
        <w:trPr>
          <w:cantSplit/>
        </w:trPr>
        <w:tc>
          <w:tcPr>
            <w:tcW w:type="dxa" w:w="4896"/>
            <w:tcMar>
              <w:top w:w="100" w:type="dxa"/>
              <w:start w:w="120" w:type="dxa"/>
              <w:bottom w:w="100" w:type="dxa"/>
              <w:end w:w="120" w:type="dxa"/>
            </w:tcMar>
            <w:vAlign w:val="top"/>
          </w:tcPr>
          <w:p>
            <w:pPr>
              <w:spacing w:after="0"/>
            </w:pPr>
            <w:r>
              <w:rPr>
                <w:color w:val="243447"/>
                <w:sz w:val="17"/>
              </w:rPr>
              <w:t>No scope and several processes match</w:t>
            </w:r>
          </w:p>
        </w:tc>
        <w:tc>
          <w:tcPr>
            <w:tcW w:type="dxa" w:w="4896"/>
            <w:tcMar>
              <w:top w:w="100" w:type="dxa"/>
              <w:start w:w="120" w:type="dxa"/>
              <w:bottom w:w="100" w:type="dxa"/>
              <w:end w:w="120" w:type="dxa"/>
            </w:tcMar>
            <w:vAlign w:val="top"/>
          </w:tcPr>
          <w:p>
            <w:pPr>
              <w:spacing w:after="0"/>
            </w:pPr>
            <w:r>
              <w:rPr>
                <w:color w:val="243447"/>
                <w:sz w:val="17"/>
              </w:rPr>
              <w:t>Ask the user to choose; do not guess or search all processes silently.</w:t>
            </w:r>
          </w:p>
        </w:tc>
      </w:tr>
      <w:tr>
        <w:trPr>
          <w:cantSplit/>
        </w:trPr>
        <w:tc>
          <w:tcPr>
            <w:tcW w:type="dxa" w:w="4896"/>
            <w:tcMar>
              <w:top w:w="100" w:type="dxa"/>
              <w:start w:w="120" w:type="dxa"/>
              <w:bottom w:w="100" w:type="dxa"/>
              <w:end w:w="120" w:type="dxa"/>
            </w:tcMar>
            <w:vAlign w:val="top"/>
          </w:tcPr>
          <w:p>
            <w:pPr>
              <w:spacing w:after="0"/>
            </w:pPr>
            <w:r>
              <w:rPr>
                <w:color w:val="243447"/>
                <w:sz w:val="17"/>
              </w:rPr>
              <w:t>User explicitly requests comparison</w:t>
            </w:r>
          </w:p>
        </w:tc>
        <w:tc>
          <w:tcPr>
            <w:tcW w:type="dxa" w:w="4896"/>
            <w:tcMar>
              <w:top w:w="100" w:type="dxa"/>
              <w:start w:w="120" w:type="dxa"/>
              <w:bottom w:w="100" w:type="dxa"/>
              <w:end w:w="120" w:type="dxa"/>
            </w:tcMar>
            <w:vAlign w:val="top"/>
          </w:tcPr>
          <w:p>
            <w:pPr>
              <w:spacing w:after="0"/>
            </w:pPr>
            <w:r>
              <w:rPr>
                <w:color w:val="243447"/>
                <w:sz w:val="17"/>
              </w:rPr>
              <w:t>Resolve an explicit set of process IDs and run controlled retrieval for each process.</w:t>
            </w:r>
          </w:p>
        </w:tc>
      </w:tr>
    </w:tbl>
    <w:p>
      <w:pPr>
        <w:spacing w:after="0"/>
      </w:pPr>
    </w:p>
    <w:p>
      <w:pPr>
        <w:pStyle w:val="Heading1"/>
      </w:pPr>
      <w:r>
        <w:t>17. Testing and quality metrics</w:t>
      </w:r>
    </w:p>
    <w:p>
      <w:r>
        <w:t>The evaluation set should intentionally contain nearly identical documents from different processes. This measures the failure mode that matters most: returning a correct-looking fact from the wrong process.</w:t>
      </w:r>
    </w:p>
    <w:p>
      <w:pPr>
        <w:pStyle w:val="Heading2"/>
      </w:pPr>
      <w:r>
        <w:t>17.1 Leakage test example</w:t>
      </w:r>
    </w:p>
    <w:tbl>
      <w:tblPr>
        <w:tblW w:type="auto" w:w="0"/>
        <w:jc w:val="center"/>
        <w:tblLayout w:type="fixed"/>
        <w:tblLook w:firstColumn="1" w:firstRow="1" w:lastColumn="0" w:lastRow="0" w:noHBand="0" w:noVBand="1" w:val="04A0"/>
      </w:tblPr>
      <w:tblGrid>
        <w:gridCol w:w="9792"/>
      </w:tblGrid>
      <w:tr>
        <w:tc>
          <w:tcPr>
            <w:tcW w:type="dxa" w:w="9720"/>
            <w:shd w:fill="F7F8FA"/>
            <w:tcMar>
              <w:top w:w="110" w:type="dxa"/>
              <w:start w:w="140" w:type="dxa"/>
              <w:bottom w:w="110" w:type="dxa"/>
              <w:end w:w="140" w:type="dxa"/>
            </w:tcMar>
          </w:tcPr>
          <w:p>
            <w:pPr>
              <w:pStyle w:val="CodeBlock"/>
            </w:pPr>
            <w:r>
              <w:t>PROC_1001: Manager approval required above $5,000.</w:t>
              <w:br/>
              <w:t>PROC_1002: Manager approval required above $10,000.</w:t>
              <w:br/>
              <w:t>PROC_1003: Director approval required above $25,000.</w:t>
              <w:br/>
              <w:br/>
              <w:t>Test query: "What is the approval threshold for PROC_1002?"</w:t>
              <w:br/>
              <w:t>Required result: only PROC_1002 evidence may be returned.</w:t>
            </w:r>
          </w:p>
        </w:tc>
      </w:tr>
    </w:tbl>
    <w:p>
      <w:pPr>
        <w:spacing w:after="0"/>
      </w:pP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68"/>
            <w:shd w:fill="1F4E78"/>
            <w:tcMar>
              <w:top w:w="100" w:type="dxa"/>
              <w:start w:w="120" w:type="dxa"/>
              <w:bottom w:w="100" w:type="dxa"/>
              <w:end w:w="120" w:type="dxa"/>
            </w:tcMar>
            <w:vAlign w:val="center"/>
          </w:tcPr>
          <w:p>
            <w:r>
              <w:rPr>
                <w:b/>
                <w:color w:val="FFFFFF"/>
                <w:sz w:val="18"/>
              </w:rPr>
              <w:t>Metric</w:t>
            </w:r>
          </w:p>
        </w:tc>
        <w:tc>
          <w:tcPr>
            <w:tcW w:type="dxa" w:w="1944"/>
            <w:shd w:fill="1F4E78"/>
            <w:tcMar>
              <w:top w:w="100" w:type="dxa"/>
              <w:start w:w="120" w:type="dxa"/>
              <w:bottom w:w="100" w:type="dxa"/>
              <w:end w:w="120" w:type="dxa"/>
            </w:tcMar>
            <w:vAlign w:val="center"/>
          </w:tcPr>
          <w:p>
            <w:r>
              <w:rPr>
                <w:b/>
                <w:color w:val="FFFFFF"/>
                <w:sz w:val="18"/>
              </w:rPr>
              <w:t>Suggested target</w:t>
            </w:r>
          </w:p>
        </w:tc>
        <w:tc>
          <w:tcPr>
            <w:tcW w:type="dxa" w:w="4608"/>
            <w:shd w:fill="1F4E78"/>
            <w:tcMar>
              <w:top w:w="100" w:type="dxa"/>
              <w:start w:w="120" w:type="dxa"/>
              <w:bottom w:w="100" w:type="dxa"/>
              <w:end w:w="120" w:type="dxa"/>
            </w:tcMar>
            <w:vAlign w:val="center"/>
          </w:tcPr>
          <w:p>
            <w:r>
              <w:rPr>
                <w:b/>
                <w:color w:val="FFFFFF"/>
                <w:sz w:val="18"/>
              </w:rPr>
              <w:t>What it proves</w:t>
            </w:r>
          </w:p>
        </w:tc>
      </w:tr>
      <w:tr>
        <w:trPr>
          <w:cantSplit/>
        </w:trPr>
        <w:tc>
          <w:tcPr>
            <w:tcW w:type="dxa" w:w="3264"/>
            <w:tcMar>
              <w:top w:w="100" w:type="dxa"/>
              <w:start w:w="120" w:type="dxa"/>
              <w:bottom w:w="100" w:type="dxa"/>
              <w:end w:w="120" w:type="dxa"/>
            </w:tcMar>
            <w:vAlign w:val="top"/>
          </w:tcPr>
          <w:p>
            <w:pPr>
              <w:spacing w:after="0"/>
            </w:pPr>
            <w:r>
              <w:rPr>
                <w:color w:val="243447"/>
                <w:sz w:val="17"/>
              </w:rPr>
              <w:t>Process-resolution accuracy</w:t>
            </w:r>
          </w:p>
        </w:tc>
        <w:tc>
          <w:tcPr>
            <w:tcW w:type="dxa" w:w="3264"/>
            <w:tcMar>
              <w:top w:w="100" w:type="dxa"/>
              <w:start w:w="120" w:type="dxa"/>
              <w:bottom w:w="100" w:type="dxa"/>
              <w:end w:w="120" w:type="dxa"/>
            </w:tcMar>
            <w:vAlign w:val="top"/>
          </w:tcPr>
          <w:p>
            <w:pPr>
              <w:spacing w:after="0"/>
            </w:pPr>
            <w:r>
              <w:rPr>
                <w:color w:val="243447"/>
                <w:sz w:val="17"/>
              </w:rPr>
              <w:t>&gt; 99%</w:t>
            </w:r>
          </w:p>
        </w:tc>
        <w:tc>
          <w:tcPr>
            <w:tcW w:type="dxa" w:w="3264"/>
            <w:tcMar>
              <w:top w:w="100" w:type="dxa"/>
              <w:start w:w="120" w:type="dxa"/>
              <w:bottom w:w="100" w:type="dxa"/>
              <w:end w:w="120" w:type="dxa"/>
            </w:tcMar>
            <w:vAlign w:val="top"/>
          </w:tcPr>
          <w:p>
            <w:pPr>
              <w:spacing w:after="0"/>
            </w:pPr>
            <w:r>
              <w:rPr>
                <w:color w:val="243447"/>
                <w:sz w:val="17"/>
              </w:rPr>
              <w:t>The intended process is identified correctly.</w:t>
            </w:r>
          </w:p>
        </w:tc>
      </w:tr>
      <w:tr>
        <w:trPr>
          <w:cantSplit/>
        </w:trPr>
        <w:tc>
          <w:tcPr>
            <w:tcW w:type="dxa" w:w="3264"/>
            <w:tcMar>
              <w:top w:w="100" w:type="dxa"/>
              <w:start w:w="120" w:type="dxa"/>
              <w:bottom w:w="100" w:type="dxa"/>
              <w:end w:w="120" w:type="dxa"/>
            </w:tcMar>
            <w:vAlign w:val="top"/>
          </w:tcPr>
          <w:p>
            <w:pPr>
              <w:spacing w:after="0"/>
            </w:pPr>
            <w:r>
              <w:rPr>
                <w:color w:val="243447"/>
                <w:sz w:val="17"/>
              </w:rPr>
              <w:t>Cross-process leakage</w:t>
            </w:r>
          </w:p>
        </w:tc>
        <w:tc>
          <w:tcPr>
            <w:tcW w:type="dxa" w:w="3264"/>
            <w:tcMar>
              <w:top w:w="100" w:type="dxa"/>
              <w:start w:w="120" w:type="dxa"/>
              <w:bottom w:w="100" w:type="dxa"/>
              <w:end w:w="120" w:type="dxa"/>
            </w:tcMar>
            <w:vAlign w:val="top"/>
          </w:tcPr>
          <w:p>
            <w:pPr>
              <w:spacing w:after="0"/>
            </w:pPr>
            <w:r>
              <w:rPr>
                <w:color w:val="243447"/>
                <w:sz w:val="17"/>
              </w:rPr>
              <w:t>0%</w:t>
            </w:r>
          </w:p>
        </w:tc>
        <w:tc>
          <w:tcPr>
            <w:tcW w:type="dxa" w:w="3264"/>
            <w:tcMar>
              <w:top w:w="100" w:type="dxa"/>
              <w:start w:w="120" w:type="dxa"/>
              <w:bottom w:w="100" w:type="dxa"/>
              <w:end w:w="120" w:type="dxa"/>
            </w:tcMar>
            <w:vAlign w:val="top"/>
          </w:tcPr>
          <w:p>
            <w:pPr>
              <w:spacing w:after="0"/>
            </w:pPr>
            <w:r>
              <w:rPr>
                <w:color w:val="243447"/>
                <w:sz w:val="17"/>
              </w:rPr>
              <w:t>No evidence comes from an unrequested process.</w:t>
            </w:r>
          </w:p>
        </w:tc>
      </w:tr>
      <w:tr>
        <w:trPr>
          <w:cantSplit/>
        </w:trPr>
        <w:tc>
          <w:tcPr>
            <w:tcW w:type="dxa" w:w="3264"/>
            <w:tcMar>
              <w:top w:w="100" w:type="dxa"/>
              <w:start w:w="120" w:type="dxa"/>
              <w:bottom w:w="100" w:type="dxa"/>
              <w:end w:w="120" w:type="dxa"/>
            </w:tcMar>
            <w:vAlign w:val="top"/>
          </w:tcPr>
          <w:p>
            <w:pPr>
              <w:spacing w:after="0"/>
            </w:pPr>
            <w:r>
              <w:rPr>
                <w:color w:val="243447"/>
                <w:sz w:val="17"/>
              </w:rPr>
              <w:t>Correct document in top 5</w:t>
            </w:r>
          </w:p>
        </w:tc>
        <w:tc>
          <w:tcPr>
            <w:tcW w:type="dxa" w:w="3264"/>
            <w:tcMar>
              <w:top w:w="100" w:type="dxa"/>
              <w:start w:w="120" w:type="dxa"/>
              <w:bottom w:w="100" w:type="dxa"/>
              <w:end w:w="120" w:type="dxa"/>
            </w:tcMar>
            <w:vAlign w:val="top"/>
          </w:tcPr>
          <w:p>
            <w:pPr>
              <w:spacing w:after="0"/>
            </w:pPr>
            <w:r>
              <w:rPr>
                <w:color w:val="243447"/>
                <w:sz w:val="17"/>
              </w:rPr>
              <w:t>&gt; 95%</w:t>
            </w:r>
          </w:p>
        </w:tc>
        <w:tc>
          <w:tcPr>
            <w:tcW w:type="dxa" w:w="3264"/>
            <w:tcMar>
              <w:top w:w="100" w:type="dxa"/>
              <w:start w:w="120" w:type="dxa"/>
              <w:bottom w:w="100" w:type="dxa"/>
              <w:end w:w="120" w:type="dxa"/>
            </w:tcMar>
            <w:vAlign w:val="top"/>
          </w:tcPr>
          <w:p>
            <w:pPr>
              <w:spacing w:after="0"/>
            </w:pPr>
            <w:r>
              <w:rPr>
                <w:color w:val="243447"/>
                <w:sz w:val="17"/>
              </w:rPr>
              <w:t>The right artifact is discoverable.</w:t>
            </w:r>
          </w:p>
        </w:tc>
      </w:tr>
      <w:tr>
        <w:trPr>
          <w:cantSplit/>
        </w:trPr>
        <w:tc>
          <w:tcPr>
            <w:tcW w:type="dxa" w:w="3264"/>
            <w:tcMar>
              <w:top w:w="100" w:type="dxa"/>
              <w:start w:w="120" w:type="dxa"/>
              <w:bottom w:w="100" w:type="dxa"/>
              <w:end w:w="120" w:type="dxa"/>
            </w:tcMar>
            <w:vAlign w:val="top"/>
          </w:tcPr>
          <w:p>
            <w:pPr>
              <w:spacing w:after="0"/>
            </w:pPr>
            <w:r>
              <w:rPr>
                <w:color w:val="243447"/>
                <w:sz w:val="17"/>
              </w:rPr>
              <w:t>Correct section in top 5</w:t>
            </w:r>
          </w:p>
        </w:tc>
        <w:tc>
          <w:tcPr>
            <w:tcW w:type="dxa" w:w="3264"/>
            <w:tcMar>
              <w:top w:w="100" w:type="dxa"/>
              <w:start w:w="120" w:type="dxa"/>
              <w:bottom w:w="100" w:type="dxa"/>
              <w:end w:w="120" w:type="dxa"/>
            </w:tcMar>
            <w:vAlign w:val="top"/>
          </w:tcPr>
          <w:p>
            <w:pPr>
              <w:spacing w:after="0"/>
            </w:pPr>
            <w:r>
              <w:rPr>
                <w:color w:val="243447"/>
                <w:sz w:val="17"/>
              </w:rPr>
              <w:t>&gt; 90%</w:t>
            </w:r>
          </w:p>
        </w:tc>
        <w:tc>
          <w:tcPr>
            <w:tcW w:type="dxa" w:w="3264"/>
            <w:tcMar>
              <w:top w:w="100" w:type="dxa"/>
              <w:start w:w="120" w:type="dxa"/>
              <w:bottom w:w="100" w:type="dxa"/>
              <w:end w:w="120" w:type="dxa"/>
            </w:tcMar>
            <w:vAlign w:val="top"/>
          </w:tcPr>
          <w:p>
            <w:pPr>
              <w:spacing w:after="0"/>
            </w:pPr>
            <w:r>
              <w:rPr>
                <w:color w:val="243447"/>
                <w:sz w:val="17"/>
              </w:rPr>
              <w:t>Chunking and ranking find the answer location.</w:t>
            </w:r>
          </w:p>
        </w:tc>
      </w:tr>
      <w:tr>
        <w:trPr>
          <w:cantSplit/>
        </w:trPr>
        <w:tc>
          <w:tcPr>
            <w:tcW w:type="dxa" w:w="3264"/>
            <w:tcMar>
              <w:top w:w="100" w:type="dxa"/>
              <w:start w:w="120" w:type="dxa"/>
              <w:bottom w:w="100" w:type="dxa"/>
              <w:end w:w="120" w:type="dxa"/>
            </w:tcMar>
            <w:vAlign w:val="top"/>
          </w:tcPr>
          <w:p>
            <w:pPr>
              <w:spacing w:after="0"/>
            </w:pPr>
            <w:r>
              <w:rPr>
                <w:color w:val="243447"/>
                <w:sz w:val="17"/>
              </w:rPr>
              <w:t>Correct version</w:t>
            </w:r>
          </w:p>
        </w:tc>
        <w:tc>
          <w:tcPr>
            <w:tcW w:type="dxa" w:w="3264"/>
            <w:tcMar>
              <w:top w:w="100" w:type="dxa"/>
              <w:start w:w="120" w:type="dxa"/>
              <w:bottom w:w="100" w:type="dxa"/>
              <w:end w:w="120" w:type="dxa"/>
            </w:tcMar>
            <w:vAlign w:val="top"/>
          </w:tcPr>
          <w:p>
            <w:pPr>
              <w:spacing w:after="0"/>
            </w:pPr>
            <w:r>
              <w:rPr>
                <w:color w:val="243447"/>
                <w:sz w:val="17"/>
              </w:rPr>
              <w:t>100%</w:t>
            </w:r>
          </w:p>
        </w:tc>
        <w:tc>
          <w:tcPr>
            <w:tcW w:type="dxa" w:w="3264"/>
            <w:tcMar>
              <w:top w:w="100" w:type="dxa"/>
              <w:start w:w="120" w:type="dxa"/>
              <w:bottom w:w="100" w:type="dxa"/>
              <w:end w:w="120" w:type="dxa"/>
            </w:tcMar>
            <w:vAlign w:val="top"/>
          </w:tcPr>
          <w:p>
            <w:pPr>
              <w:spacing w:after="0"/>
            </w:pPr>
            <w:r>
              <w:rPr>
                <w:color w:val="243447"/>
                <w:sz w:val="17"/>
              </w:rPr>
              <w:t>Current or explicitly requested historical content is used.</w:t>
            </w:r>
          </w:p>
        </w:tc>
      </w:tr>
      <w:tr>
        <w:trPr>
          <w:cantSplit/>
        </w:trPr>
        <w:tc>
          <w:tcPr>
            <w:tcW w:type="dxa" w:w="3264"/>
            <w:tcMar>
              <w:top w:w="100" w:type="dxa"/>
              <w:start w:w="120" w:type="dxa"/>
              <w:bottom w:w="100" w:type="dxa"/>
              <w:end w:w="120" w:type="dxa"/>
            </w:tcMar>
            <w:vAlign w:val="top"/>
          </w:tcPr>
          <w:p>
            <w:pPr>
              <w:spacing w:after="0"/>
            </w:pPr>
            <w:r>
              <w:rPr>
                <w:color w:val="243447"/>
                <w:sz w:val="17"/>
              </w:rPr>
              <w:t>Citation accuracy</w:t>
            </w:r>
          </w:p>
        </w:tc>
        <w:tc>
          <w:tcPr>
            <w:tcW w:type="dxa" w:w="3264"/>
            <w:tcMar>
              <w:top w:w="100" w:type="dxa"/>
              <w:start w:w="120" w:type="dxa"/>
              <w:bottom w:w="100" w:type="dxa"/>
              <w:end w:w="120" w:type="dxa"/>
            </w:tcMar>
            <w:vAlign w:val="top"/>
          </w:tcPr>
          <w:p>
            <w:pPr>
              <w:spacing w:after="0"/>
            </w:pPr>
            <w:r>
              <w:rPr>
                <w:color w:val="243447"/>
                <w:sz w:val="17"/>
              </w:rPr>
              <w:t>&gt; 95%</w:t>
            </w:r>
          </w:p>
        </w:tc>
        <w:tc>
          <w:tcPr>
            <w:tcW w:type="dxa" w:w="3264"/>
            <w:tcMar>
              <w:top w:w="100" w:type="dxa"/>
              <w:start w:w="120" w:type="dxa"/>
              <w:bottom w:w="100" w:type="dxa"/>
              <w:end w:w="120" w:type="dxa"/>
            </w:tcMar>
            <w:vAlign w:val="top"/>
          </w:tcPr>
          <w:p>
            <w:pPr>
              <w:spacing w:after="0"/>
            </w:pPr>
            <w:r>
              <w:rPr>
                <w:color w:val="243447"/>
                <w:sz w:val="17"/>
              </w:rPr>
              <w:t>The cited section actually supports the answer.</w:t>
            </w:r>
          </w:p>
        </w:tc>
      </w:tr>
      <w:tr>
        <w:trPr>
          <w:cantSplit/>
        </w:trPr>
        <w:tc>
          <w:tcPr>
            <w:tcW w:type="dxa" w:w="3264"/>
            <w:tcMar>
              <w:top w:w="100" w:type="dxa"/>
              <w:start w:w="120" w:type="dxa"/>
              <w:bottom w:w="100" w:type="dxa"/>
              <w:end w:w="120" w:type="dxa"/>
            </w:tcMar>
            <w:vAlign w:val="top"/>
          </w:tcPr>
          <w:p>
            <w:pPr>
              <w:spacing w:after="0"/>
            </w:pPr>
            <w:r>
              <w:rPr>
                <w:color w:val="243447"/>
                <w:sz w:val="17"/>
              </w:rPr>
              <w:t>No-answer accuracy</w:t>
            </w:r>
          </w:p>
        </w:tc>
        <w:tc>
          <w:tcPr>
            <w:tcW w:type="dxa" w:w="3264"/>
            <w:tcMar>
              <w:top w:w="100" w:type="dxa"/>
              <w:start w:w="120" w:type="dxa"/>
              <w:bottom w:w="100" w:type="dxa"/>
              <w:end w:w="120" w:type="dxa"/>
            </w:tcMar>
            <w:vAlign w:val="top"/>
          </w:tcPr>
          <w:p>
            <w:pPr>
              <w:spacing w:after="0"/>
            </w:pPr>
            <w:r>
              <w:rPr>
                <w:color w:val="243447"/>
                <w:sz w:val="17"/>
              </w:rPr>
              <w:t>&gt; 90%</w:t>
            </w:r>
          </w:p>
        </w:tc>
        <w:tc>
          <w:tcPr>
            <w:tcW w:type="dxa" w:w="3264"/>
            <w:tcMar>
              <w:top w:w="100" w:type="dxa"/>
              <w:start w:w="120" w:type="dxa"/>
              <w:bottom w:w="100" w:type="dxa"/>
              <w:end w:w="120" w:type="dxa"/>
            </w:tcMar>
            <w:vAlign w:val="top"/>
          </w:tcPr>
          <w:p>
            <w:pPr>
              <w:spacing w:after="0"/>
            </w:pPr>
            <w:r>
              <w:rPr>
                <w:color w:val="243447"/>
                <w:sz w:val="17"/>
              </w:rPr>
              <w:t>The system abstains when the process knowledge lacks the answer.</w:t>
            </w:r>
          </w:p>
        </w:tc>
      </w:tr>
    </w:tbl>
    <w:p>
      <w:pPr>
        <w:spacing w:after="0"/>
      </w:pPr>
    </w:p>
    <w:p>
      <w:r>
        <w:t>Include tests for exact IDs, aliases, misspellings, same document titles, paraphrases, obsolete versions, ambiguous process names, follow-up questions, and explicit cross-process comparisons.</w:t>
      </w:r>
    </w:p>
    <w:p>
      <w:pPr>
        <w:pStyle w:val="Heading1"/>
      </w:pPr>
      <w:r>
        <w:t>18. Implementation plan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655"/>
            <w:shd w:fill="1F4E78"/>
            <w:tcMar>
              <w:top w:w="100" w:type="dxa"/>
              <w:start w:w="120" w:type="dxa"/>
              <w:bottom w:w="100" w:type="dxa"/>
              <w:end w:w="120" w:type="dxa"/>
            </w:tcMar>
            <w:vAlign w:val="center"/>
          </w:tcPr>
          <w:p>
            <w:r>
              <w:rPr>
                <w:b/>
                <w:color w:val="FFFFFF"/>
                <w:sz w:val="18"/>
              </w:rPr>
              <w:t>Phase</w:t>
            </w:r>
          </w:p>
        </w:tc>
        <w:tc>
          <w:tcPr>
            <w:tcW w:type="dxa" w:w="5688"/>
            <w:shd w:fill="1F4E78"/>
            <w:tcMar>
              <w:top w:w="100" w:type="dxa"/>
              <w:start w:w="120" w:type="dxa"/>
              <w:bottom w:w="100" w:type="dxa"/>
              <w:end w:w="120" w:type="dxa"/>
            </w:tcMar>
            <w:vAlign w:val="center"/>
          </w:tcPr>
          <w:p>
            <w:r>
              <w:rPr>
                <w:b/>
                <w:color w:val="FFFFFF"/>
                <w:sz w:val="18"/>
              </w:rPr>
              <w:t>Implementation</w:t>
            </w:r>
          </w:p>
        </w:tc>
        <w:tc>
          <w:tcPr>
            <w:tcW w:type="dxa" w:w="2376"/>
            <w:shd w:fill="1F4E78"/>
            <w:tcMar>
              <w:top w:w="100" w:type="dxa"/>
              <w:start w:w="120" w:type="dxa"/>
              <w:bottom w:w="100" w:type="dxa"/>
              <w:end w:w="120" w:type="dxa"/>
            </w:tcMar>
            <w:vAlign w:val="center"/>
          </w:tcPr>
          <w:p>
            <w:r>
              <w:rPr>
                <w:b/>
                <w:color w:val="FFFFFF"/>
                <w:sz w:val="18"/>
              </w:rPr>
              <w:t>Exit criterion</w:t>
            </w:r>
          </w:p>
        </w:tc>
      </w:tr>
      <w:tr>
        <w:trPr>
          <w:cantSplit/>
        </w:trPr>
        <w:tc>
          <w:tcPr>
            <w:tcW w:type="dxa" w:w="3264"/>
            <w:tcMar>
              <w:top w:w="100" w:type="dxa"/>
              <w:start w:w="120" w:type="dxa"/>
              <w:bottom w:w="100" w:type="dxa"/>
              <w:end w:w="120" w:type="dxa"/>
            </w:tcMar>
            <w:vAlign w:val="top"/>
          </w:tcPr>
          <w:p>
            <w:pPr>
              <w:spacing w:after="0"/>
            </w:pPr>
            <w:r>
              <w:rPr>
                <w:color w:val="243447"/>
                <w:sz w:val="17"/>
              </w:rPr>
              <w:t>1. Process identity</w:t>
            </w:r>
          </w:p>
        </w:tc>
        <w:tc>
          <w:tcPr>
            <w:tcW w:type="dxa" w:w="3264"/>
            <w:tcMar>
              <w:top w:w="100" w:type="dxa"/>
              <w:start w:w="120" w:type="dxa"/>
              <w:bottom w:w="100" w:type="dxa"/>
              <w:end w:w="120" w:type="dxa"/>
            </w:tcMar>
            <w:vAlign w:val="top"/>
          </w:tcPr>
          <w:p>
            <w:pPr>
              <w:spacing w:after="0"/>
            </w:pPr>
            <w:r>
              <w:rPr>
                <w:color w:val="243447"/>
                <w:sz w:val="17"/>
              </w:rPr>
              <w:t>Create process registry; normalize process ID, name, aliases, description, domain, and status.</w:t>
            </w:r>
          </w:p>
        </w:tc>
        <w:tc>
          <w:tcPr>
            <w:tcW w:type="dxa" w:w="3264"/>
            <w:tcMar>
              <w:top w:w="100" w:type="dxa"/>
              <w:start w:w="120" w:type="dxa"/>
              <w:bottom w:w="100" w:type="dxa"/>
              <w:end w:w="120" w:type="dxa"/>
            </w:tcMar>
            <w:vAlign w:val="top"/>
          </w:tcPr>
          <w:p>
            <w:pPr>
              <w:spacing w:after="0"/>
            </w:pPr>
            <w:r>
              <w:rPr>
                <w:color w:val="243447"/>
                <w:sz w:val="17"/>
              </w:rPr>
              <w:t>Queries resolve reliably to canonical process_id.</w:t>
            </w:r>
          </w:p>
        </w:tc>
      </w:tr>
      <w:tr>
        <w:trPr>
          <w:cantSplit/>
        </w:trPr>
        <w:tc>
          <w:tcPr>
            <w:tcW w:type="dxa" w:w="3264"/>
            <w:tcMar>
              <w:top w:w="100" w:type="dxa"/>
              <w:start w:w="120" w:type="dxa"/>
              <w:bottom w:w="100" w:type="dxa"/>
              <w:end w:w="120" w:type="dxa"/>
            </w:tcMar>
            <w:vAlign w:val="top"/>
          </w:tcPr>
          <w:p>
            <w:pPr>
              <w:spacing w:after="0"/>
            </w:pPr>
            <w:r>
              <w:rPr>
                <w:color w:val="243447"/>
                <w:sz w:val="17"/>
              </w:rPr>
              <w:t>2. Document parsing</w:t>
            </w:r>
          </w:p>
        </w:tc>
        <w:tc>
          <w:tcPr>
            <w:tcW w:type="dxa" w:w="3264"/>
            <w:tcMar>
              <w:top w:w="100" w:type="dxa"/>
              <w:start w:w="120" w:type="dxa"/>
              <w:bottom w:w="100" w:type="dxa"/>
              <w:end w:w="120" w:type="dxa"/>
            </w:tcMar>
            <w:vAlign w:val="top"/>
          </w:tcPr>
          <w:p>
            <w:pPr>
              <w:spacing w:after="0"/>
            </w:pPr>
            <w:r>
              <w:rPr>
                <w:color w:val="243447"/>
                <w:sz w:val="17"/>
              </w:rPr>
              <w:t>Extract headings, paragraphs, procedures, tables, pages, and hierarchy.</w:t>
            </w:r>
          </w:p>
        </w:tc>
        <w:tc>
          <w:tcPr>
            <w:tcW w:type="dxa" w:w="3264"/>
            <w:tcMar>
              <w:top w:w="100" w:type="dxa"/>
              <w:start w:w="120" w:type="dxa"/>
              <w:bottom w:w="100" w:type="dxa"/>
              <w:end w:w="120" w:type="dxa"/>
            </w:tcMar>
            <w:vAlign w:val="top"/>
          </w:tcPr>
          <w:p>
            <w:pPr>
              <w:spacing w:after="0"/>
            </w:pPr>
            <w:r>
              <w:rPr>
                <w:color w:val="243447"/>
                <w:sz w:val="17"/>
              </w:rPr>
              <w:t>Document structure is preserved and reviewable.</w:t>
            </w:r>
          </w:p>
        </w:tc>
      </w:tr>
      <w:tr>
        <w:trPr>
          <w:cantSplit/>
        </w:trPr>
        <w:tc>
          <w:tcPr>
            <w:tcW w:type="dxa" w:w="3264"/>
            <w:tcMar>
              <w:top w:w="100" w:type="dxa"/>
              <w:start w:w="120" w:type="dxa"/>
              <w:bottom w:w="100" w:type="dxa"/>
              <w:end w:w="120" w:type="dxa"/>
            </w:tcMar>
            <w:vAlign w:val="top"/>
          </w:tcPr>
          <w:p>
            <w:pPr>
              <w:spacing w:after="0"/>
            </w:pPr>
            <w:r>
              <w:rPr>
                <w:color w:val="243447"/>
                <w:sz w:val="17"/>
              </w:rPr>
              <w:t>3. Chunk construction</w:t>
            </w:r>
          </w:p>
        </w:tc>
        <w:tc>
          <w:tcPr>
            <w:tcW w:type="dxa" w:w="3264"/>
            <w:tcMar>
              <w:top w:w="100" w:type="dxa"/>
              <w:start w:w="120" w:type="dxa"/>
              <w:bottom w:w="100" w:type="dxa"/>
              <w:end w:w="120" w:type="dxa"/>
            </w:tcMar>
            <w:vAlign w:val="top"/>
          </w:tcPr>
          <w:p>
            <w:pPr>
              <w:spacing w:after="0"/>
            </w:pPr>
            <w:r>
              <w:rPr>
                <w:color w:val="243447"/>
                <w:sz w:val="17"/>
              </w:rPr>
              <w:t>Create document summaries, section summaries, and evidence chunks with stable IDs.</w:t>
            </w:r>
          </w:p>
        </w:tc>
        <w:tc>
          <w:tcPr>
            <w:tcW w:type="dxa" w:w="3264"/>
            <w:tcMar>
              <w:top w:w="100" w:type="dxa"/>
              <w:start w:w="120" w:type="dxa"/>
              <w:bottom w:w="100" w:type="dxa"/>
              <w:end w:w="120" w:type="dxa"/>
            </w:tcMar>
            <w:vAlign w:val="top"/>
          </w:tcPr>
          <w:p>
            <w:pPr>
              <w:spacing w:after="0"/>
            </w:pPr>
            <w:r>
              <w:rPr>
                <w:color w:val="243447"/>
                <w:sz w:val="17"/>
              </w:rPr>
              <w:t>Rules and conditions remain intact.</w:t>
            </w:r>
          </w:p>
        </w:tc>
      </w:tr>
      <w:tr>
        <w:trPr>
          <w:cantSplit/>
        </w:trPr>
        <w:tc>
          <w:tcPr>
            <w:tcW w:type="dxa" w:w="3264"/>
            <w:tcMar>
              <w:top w:w="100" w:type="dxa"/>
              <w:start w:w="120" w:type="dxa"/>
              <w:bottom w:w="100" w:type="dxa"/>
              <w:end w:w="120" w:type="dxa"/>
            </w:tcMar>
            <w:vAlign w:val="top"/>
          </w:tcPr>
          <w:p>
            <w:pPr>
              <w:spacing w:after="0"/>
            </w:pPr>
            <w:r>
              <w:rPr>
                <w:color w:val="243447"/>
                <w:sz w:val="17"/>
              </w:rPr>
              <w:t>4. Search indexing</w:t>
            </w:r>
          </w:p>
        </w:tc>
        <w:tc>
          <w:tcPr>
            <w:tcW w:type="dxa" w:w="3264"/>
            <w:tcMar>
              <w:top w:w="100" w:type="dxa"/>
              <w:start w:w="120" w:type="dxa"/>
              <w:bottom w:w="100" w:type="dxa"/>
              <w:end w:w="120" w:type="dxa"/>
            </w:tcMar>
            <w:vAlign w:val="top"/>
          </w:tcPr>
          <w:p>
            <w:pPr>
              <w:spacing w:after="0"/>
            </w:pPr>
            <w:r>
              <w:rPr>
                <w:color w:val="243447"/>
                <w:sz w:val="17"/>
              </w:rPr>
              <w:t>Index filter fields, BM25 text, enriched retrieval_text, and embeddings.</w:t>
            </w:r>
          </w:p>
        </w:tc>
        <w:tc>
          <w:tcPr>
            <w:tcW w:type="dxa" w:w="3264"/>
            <w:tcMar>
              <w:top w:w="100" w:type="dxa"/>
              <w:start w:w="120" w:type="dxa"/>
              <w:bottom w:w="100" w:type="dxa"/>
              <w:end w:w="120" w:type="dxa"/>
            </w:tcMar>
            <w:vAlign w:val="top"/>
          </w:tcPr>
          <w:p>
            <w:pPr>
              <w:spacing w:after="0"/>
            </w:pPr>
            <w:r>
              <w:rPr>
                <w:color w:val="243447"/>
                <w:sz w:val="17"/>
              </w:rPr>
              <w:t>Both filtered BM25 and filtered vector search work.</w:t>
            </w:r>
          </w:p>
        </w:tc>
      </w:tr>
      <w:tr>
        <w:trPr>
          <w:cantSplit/>
        </w:trPr>
        <w:tc>
          <w:tcPr>
            <w:tcW w:type="dxa" w:w="3264"/>
            <w:tcMar>
              <w:top w:w="100" w:type="dxa"/>
              <w:start w:w="120" w:type="dxa"/>
              <w:bottom w:w="100" w:type="dxa"/>
              <w:end w:w="120" w:type="dxa"/>
            </w:tcMar>
            <w:vAlign w:val="top"/>
          </w:tcPr>
          <w:p>
            <w:pPr>
              <w:spacing w:after="0"/>
            </w:pPr>
            <w:r>
              <w:rPr>
                <w:color w:val="243447"/>
                <w:sz w:val="17"/>
              </w:rPr>
              <w:t>5. Hybrid retrieval</w:t>
            </w:r>
          </w:p>
        </w:tc>
        <w:tc>
          <w:tcPr>
            <w:tcW w:type="dxa" w:w="3264"/>
            <w:tcMar>
              <w:top w:w="100" w:type="dxa"/>
              <w:start w:w="120" w:type="dxa"/>
              <w:bottom w:w="100" w:type="dxa"/>
              <w:end w:w="120" w:type="dxa"/>
            </w:tcMar>
            <w:vAlign w:val="top"/>
          </w:tcPr>
          <w:p>
            <w:pPr>
              <w:spacing w:after="0"/>
            </w:pPr>
            <w:r>
              <w:rPr>
                <w:color w:val="243447"/>
                <w:sz w:val="17"/>
              </w:rPr>
              <w:t>Add RRF, reranking, parent expansion, and duplicate removal.</w:t>
            </w:r>
          </w:p>
        </w:tc>
        <w:tc>
          <w:tcPr>
            <w:tcW w:type="dxa" w:w="3264"/>
            <w:tcMar>
              <w:top w:w="100" w:type="dxa"/>
              <w:start w:w="120" w:type="dxa"/>
              <w:bottom w:w="100" w:type="dxa"/>
              <w:end w:w="120" w:type="dxa"/>
            </w:tcMar>
            <w:vAlign w:val="top"/>
          </w:tcPr>
          <w:p>
            <w:pPr>
              <w:spacing w:after="0"/>
            </w:pPr>
            <w:r>
              <w:rPr>
                <w:color w:val="243447"/>
                <w:sz w:val="17"/>
              </w:rPr>
              <w:t>Relevant evidence ranks highly with coherent context.</w:t>
            </w:r>
          </w:p>
        </w:tc>
      </w:tr>
      <w:tr>
        <w:trPr>
          <w:cantSplit/>
        </w:trPr>
        <w:tc>
          <w:tcPr>
            <w:tcW w:type="dxa" w:w="3264"/>
            <w:tcMar>
              <w:top w:w="100" w:type="dxa"/>
              <w:start w:w="120" w:type="dxa"/>
              <w:bottom w:w="100" w:type="dxa"/>
              <w:end w:w="120" w:type="dxa"/>
            </w:tcMar>
            <w:vAlign w:val="top"/>
          </w:tcPr>
          <w:p>
            <w:pPr>
              <w:spacing w:after="0"/>
            </w:pPr>
            <w:r>
              <w:rPr>
                <w:color w:val="243447"/>
                <w:sz w:val="17"/>
              </w:rPr>
              <w:t>6. Guardrails</w:t>
            </w:r>
          </w:p>
        </w:tc>
        <w:tc>
          <w:tcPr>
            <w:tcW w:type="dxa" w:w="3264"/>
            <w:tcMar>
              <w:top w:w="100" w:type="dxa"/>
              <w:start w:w="120" w:type="dxa"/>
              <w:bottom w:w="100" w:type="dxa"/>
              <w:end w:w="120" w:type="dxa"/>
            </w:tcMar>
            <w:vAlign w:val="top"/>
          </w:tcPr>
          <w:p>
            <w:pPr>
              <w:spacing w:after="0"/>
            </w:pPr>
            <w:r>
              <w:rPr>
                <w:color w:val="243447"/>
                <w:sz w:val="17"/>
              </w:rPr>
              <w:t>Add process validation, version validation, confidence thresholds, and clarification flow.</w:t>
            </w:r>
          </w:p>
        </w:tc>
        <w:tc>
          <w:tcPr>
            <w:tcW w:type="dxa" w:w="3264"/>
            <w:tcMar>
              <w:top w:w="100" w:type="dxa"/>
              <w:start w:w="120" w:type="dxa"/>
              <w:bottom w:w="100" w:type="dxa"/>
              <w:end w:w="120" w:type="dxa"/>
            </w:tcMar>
            <w:vAlign w:val="top"/>
          </w:tcPr>
          <w:p>
            <w:pPr>
              <w:spacing w:after="0"/>
            </w:pPr>
            <w:r>
              <w:rPr>
                <w:color w:val="243447"/>
                <w:sz w:val="17"/>
              </w:rPr>
              <w:t>Cross-process leakage tests remain at zero.</w:t>
            </w:r>
          </w:p>
        </w:tc>
      </w:tr>
      <w:tr>
        <w:trPr>
          <w:cantSplit/>
        </w:trPr>
        <w:tc>
          <w:tcPr>
            <w:tcW w:type="dxa" w:w="3264"/>
            <w:tcMar>
              <w:top w:w="100" w:type="dxa"/>
              <w:start w:w="120" w:type="dxa"/>
              <w:bottom w:w="100" w:type="dxa"/>
              <w:end w:w="120" w:type="dxa"/>
            </w:tcMar>
            <w:vAlign w:val="top"/>
          </w:tcPr>
          <w:p>
            <w:pPr>
              <w:spacing w:after="0"/>
            </w:pPr>
            <w:r>
              <w:rPr>
                <w:color w:val="243447"/>
                <w:sz w:val="17"/>
              </w:rPr>
              <w:t>7. Evaluation</w:t>
            </w:r>
          </w:p>
        </w:tc>
        <w:tc>
          <w:tcPr>
            <w:tcW w:type="dxa" w:w="3264"/>
            <w:tcMar>
              <w:top w:w="100" w:type="dxa"/>
              <w:start w:w="120" w:type="dxa"/>
              <w:bottom w:w="100" w:type="dxa"/>
              <w:end w:w="120" w:type="dxa"/>
            </w:tcMar>
            <w:vAlign w:val="top"/>
          </w:tcPr>
          <w:p>
            <w:pPr>
              <w:spacing w:after="0"/>
            </w:pPr>
            <w:r>
              <w:rPr>
                <w:color w:val="243447"/>
                <w:sz w:val="17"/>
              </w:rPr>
              <w:t>Build gold questions across documents, BPMN, IDs, aliases, and similar processes.</w:t>
            </w:r>
          </w:p>
        </w:tc>
        <w:tc>
          <w:tcPr>
            <w:tcW w:type="dxa" w:w="3264"/>
            <w:tcMar>
              <w:top w:w="100" w:type="dxa"/>
              <w:start w:w="120" w:type="dxa"/>
              <w:bottom w:w="100" w:type="dxa"/>
              <w:end w:w="120" w:type="dxa"/>
            </w:tcMar>
            <w:vAlign w:val="top"/>
          </w:tcPr>
          <w:p>
            <w:pPr>
              <w:spacing w:after="0"/>
            </w:pPr>
            <w:r>
              <w:rPr>
                <w:color w:val="243447"/>
                <w:sz w:val="17"/>
              </w:rPr>
              <w:t>Quality and latency targets are met before rollout.</w:t>
            </w:r>
          </w:p>
        </w:tc>
      </w:tr>
    </w:tbl>
    <w:p>
      <w:pPr>
        <w:spacing w:after="0"/>
      </w:pPr>
    </w:p>
    <w:p>
      <w:pPr>
        <w:pStyle w:val="Heading1"/>
      </w:pPr>
      <w:r>
        <w:t>19. Final architecture decision</w:t>
      </w:r>
    </w:p>
    <w:tbl>
      <w:tblPr>
        <w:tblW w:type="auto" w:w="0"/>
        <w:jc w:val="center"/>
        <w:tblLayout w:type="fixed"/>
        <w:tblLook w:firstColumn="1" w:firstRow="1" w:lastColumn="0" w:lastRow="0" w:noHBand="0" w:noVBand="1" w:val="04A0"/>
      </w:tblPr>
      <w:tblGrid>
        <w:gridCol w:w="9792"/>
      </w:tblGrid>
      <w:tr>
        <w:tc>
          <w:tcPr>
            <w:tcW w:type="dxa" w:w="9720"/>
            <w:shd w:fill="E2F0D9"/>
            <w:tcMar>
              <w:top w:w="120" w:type="dxa"/>
              <w:start w:w="160" w:type="dxa"/>
              <w:bottom w:w="120" w:type="dxa"/>
              <w:end w:w="160" w:type="dxa"/>
            </w:tcMar>
          </w:tcPr>
          <w:p>
            <w:r>
              <w:rPr>
                <w:b/>
                <w:color w:val="17365D"/>
              </w:rPr>
              <w:t>Recommended architecture</w:t>
              <w:br/>
            </w:r>
            <w:r>
              <w:rPr>
                <w:color w:val="243447"/>
              </w:rPr>
              <w:t>Use a process registry plus a shared process-knowledge chunk index. Resolve the canonical process first. Apply tenant_id, process_id, active-version, and authorization filters to BM25 and vector retrieval. Fuse and rerank results within the filtered process, expand to parent context, validate every result, and give the LLM only original cited evidence.</w:t>
            </w:r>
          </w:p>
        </w:tc>
      </w:tr>
    </w:tbl>
    <w:p>
      <w:pPr>
        <w:spacing w:after="0"/>
      </w:pPr>
    </w:p>
    <w:p>
      <w:r>
        <w:t>The approach is superior because each layer solves a different problem:</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951"/>
            <w:shd w:fill="1F4E78"/>
            <w:tcMar>
              <w:top w:w="100" w:type="dxa"/>
              <w:start w:w="120" w:type="dxa"/>
              <w:bottom w:w="100" w:type="dxa"/>
              <w:end w:w="120" w:type="dxa"/>
            </w:tcMar>
            <w:vAlign w:val="center"/>
          </w:tcPr>
          <w:p>
            <w:r>
              <w:rPr>
                <w:b/>
                <w:color w:val="FFFFFF"/>
                <w:sz w:val="18"/>
              </w:rPr>
              <w:t>Layer</w:t>
            </w:r>
          </w:p>
        </w:tc>
        <w:tc>
          <w:tcPr>
            <w:tcW w:type="dxa" w:w="6768"/>
            <w:shd w:fill="1F4E78"/>
            <w:tcMar>
              <w:top w:w="100" w:type="dxa"/>
              <w:start w:w="120" w:type="dxa"/>
              <w:bottom w:w="100" w:type="dxa"/>
              <w:end w:w="120" w:type="dxa"/>
            </w:tcMar>
            <w:vAlign w:val="center"/>
          </w:tcPr>
          <w:p>
            <w:r>
              <w:rPr>
                <w:b/>
                <w:color w:val="FFFFFF"/>
                <w:sz w:val="18"/>
              </w:rPr>
              <w:t>Problem solved</w:t>
            </w:r>
          </w:p>
        </w:tc>
      </w:tr>
      <w:tr>
        <w:trPr>
          <w:cantSplit/>
        </w:trPr>
        <w:tc>
          <w:tcPr>
            <w:tcW w:type="dxa" w:w="4896"/>
            <w:tcMar>
              <w:top w:w="100" w:type="dxa"/>
              <w:start w:w="120" w:type="dxa"/>
              <w:bottom w:w="100" w:type="dxa"/>
              <w:end w:w="120" w:type="dxa"/>
            </w:tcMar>
            <w:vAlign w:val="top"/>
          </w:tcPr>
          <w:p>
            <w:pPr>
              <w:spacing w:after="0"/>
            </w:pPr>
            <w:r>
              <w:rPr>
                <w:color w:val="243447"/>
                <w:sz w:val="17"/>
              </w:rPr>
              <w:t>Process registry</w:t>
            </w:r>
          </w:p>
        </w:tc>
        <w:tc>
          <w:tcPr>
            <w:tcW w:type="dxa" w:w="4896"/>
            <w:tcMar>
              <w:top w:w="100" w:type="dxa"/>
              <w:start w:w="120" w:type="dxa"/>
              <w:bottom w:w="100" w:type="dxa"/>
              <w:end w:w="120" w:type="dxa"/>
            </w:tcMar>
            <w:vAlign w:val="top"/>
          </w:tcPr>
          <w:p>
            <w:pPr>
              <w:spacing w:after="0"/>
            </w:pPr>
            <w:r>
              <w:rPr>
                <w:color w:val="243447"/>
                <w:sz w:val="17"/>
              </w:rPr>
              <w:t>Translates names, aliases, and business language into a canonical process_id.</w:t>
            </w:r>
          </w:p>
        </w:tc>
      </w:tr>
      <w:tr>
        <w:trPr>
          <w:cantSplit/>
        </w:trPr>
        <w:tc>
          <w:tcPr>
            <w:tcW w:type="dxa" w:w="4896"/>
            <w:tcMar>
              <w:top w:w="100" w:type="dxa"/>
              <w:start w:w="120" w:type="dxa"/>
              <w:bottom w:w="100" w:type="dxa"/>
              <w:end w:w="120" w:type="dxa"/>
            </w:tcMar>
            <w:vAlign w:val="top"/>
          </w:tcPr>
          <w:p>
            <w:pPr>
              <w:spacing w:after="0"/>
            </w:pPr>
            <w:r>
              <w:rPr>
                <w:color w:val="243447"/>
                <w:sz w:val="17"/>
              </w:rPr>
              <w:t>Hard metadata filter</w:t>
            </w:r>
          </w:p>
        </w:tc>
        <w:tc>
          <w:tcPr>
            <w:tcW w:type="dxa" w:w="4896"/>
            <w:tcMar>
              <w:top w:w="100" w:type="dxa"/>
              <w:start w:w="120" w:type="dxa"/>
              <w:bottom w:w="100" w:type="dxa"/>
              <w:end w:w="120" w:type="dxa"/>
            </w:tcMar>
            <w:vAlign w:val="top"/>
          </w:tcPr>
          <w:p>
            <w:pPr>
              <w:spacing w:after="0"/>
            </w:pPr>
            <w:r>
              <w:rPr>
                <w:color w:val="243447"/>
                <w:sz w:val="17"/>
              </w:rPr>
              <w:t>Prevents another process from entering the candidate set.</w:t>
            </w:r>
          </w:p>
        </w:tc>
      </w:tr>
      <w:tr>
        <w:trPr>
          <w:cantSplit/>
        </w:trPr>
        <w:tc>
          <w:tcPr>
            <w:tcW w:type="dxa" w:w="4896"/>
            <w:tcMar>
              <w:top w:w="100" w:type="dxa"/>
              <w:start w:w="120" w:type="dxa"/>
              <w:bottom w:w="100" w:type="dxa"/>
              <w:end w:w="120" w:type="dxa"/>
            </w:tcMar>
            <w:vAlign w:val="top"/>
          </w:tcPr>
          <w:p>
            <w:pPr>
              <w:spacing w:after="0"/>
            </w:pPr>
            <w:r>
              <w:rPr>
                <w:color w:val="243447"/>
                <w:sz w:val="17"/>
              </w:rPr>
              <w:t>BM25</w:t>
            </w:r>
          </w:p>
        </w:tc>
        <w:tc>
          <w:tcPr>
            <w:tcW w:type="dxa" w:w="4896"/>
            <w:tcMar>
              <w:top w:w="100" w:type="dxa"/>
              <w:start w:w="120" w:type="dxa"/>
              <w:bottom w:w="100" w:type="dxa"/>
              <w:end w:w="120" w:type="dxa"/>
            </w:tcMar>
            <w:vAlign w:val="top"/>
          </w:tcPr>
          <w:p>
            <w:pPr>
              <w:spacing w:after="0"/>
            </w:pPr>
            <w:r>
              <w:rPr>
                <w:color w:val="243447"/>
                <w:sz w:val="17"/>
              </w:rPr>
              <w:t>Finds exact IDs, codes, titles, acronyms, and official terminology.</w:t>
            </w:r>
          </w:p>
        </w:tc>
      </w:tr>
      <w:tr>
        <w:trPr>
          <w:cantSplit/>
        </w:trPr>
        <w:tc>
          <w:tcPr>
            <w:tcW w:type="dxa" w:w="4896"/>
            <w:tcMar>
              <w:top w:w="100" w:type="dxa"/>
              <w:start w:w="120" w:type="dxa"/>
              <w:bottom w:w="100" w:type="dxa"/>
              <w:end w:w="120" w:type="dxa"/>
            </w:tcMar>
            <w:vAlign w:val="top"/>
          </w:tcPr>
          <w:p>
            <w:pPr>
              <w:spacing w:after="0"/>
            </w:pPr>
            <w:r>
              <w:rPr>
                <w:color w:val="243447"/>
                <w:sz w:val="17"/>
              </w:rPr>
              <w:t>Vector retrieval</w:t>
            </w:r>
          </w:p>
        </w:tc>
        <w:tc>
          <w:tcPr>
            <w:tcW w:type="dxa" w:w="4896"/>
            <w:tcMar>
              <w:top w:w="100" w:type="dxa"/>
              <w:start w:w="120" w:type="dxa"/>
              <w:bottom w:w="100" w:type="dxa"/>
              <w:end w:w="120" w:type="dxa"/>
            </w:tcMar>
            <w:vAlign w:val="top"/>
          </w:tcPr>
          <w:p>
            <w:pPr>
              <w:spacing w:after="0"/>
            </w:pPr>
            <w:r>
              <w:rPr>
                <w:color w:val="243447"/>
                <w:sz w:val="17"/>
              </w:rPr>
              <w:t>Finds paraphrases, synonyms, and conceptual matches.</w:t>
            </w:r>
          </w:p>
        </w:tc>
      </w:tr>
      <w:tr>
        <w:trPr>
          <w:cantSplit/>
        </w:trPr>
        <w:tc>
          <w:tcPr>
            <w:tcW w:type="dxa" w:w="4896"/>
            <w:tcMar>
              <w:top w:w="100" w:type="dxa"/>
              <w:start w:w="120" w:type="dxa"/>
              <w:bottom w:w="100" w:type="dxa"/>
              <w:end w:w="120" w:type="dxa"/>
            </w:tcMar>
            <w:vAlign w:val="top"/>
          </w:tcPr>
          <w:p>
            <w:pPr>
              <w:spacing w:after="0"/>
            </w:pPr>
            <w:r>
              <w:rPr>
                <w:color w:val="243447"/>
                <w:sz w:val="17"/>
              </w:rPr>
              <w:t>Rank fusion and reranker</w:t>
            </w:r>
          </w:p>
        </w:tc>
        <w:tc>
          <w:tcPr>
            <w:tcW w:type="dxa" w:w="4896"/>
            <w:tcMar>
              <w:top w:w="100" w:type="dxa"/>
              <w:start w:w="120" w:type="dxa"/>
              <w:bottom w:w="100" w:type="dxa"/>
              <w:end w:w="120" w:type="dxa"/>
            </w:tcMar>
            <w:vAlign w:val="top"/>
          </w:tcPr>
          <w:p>
            <w:pPr>
              <w:spacing w:after="0"/>
            </w:pPr>
            <w:r>
              <w:rPr>
                <w:color w:val="243447"/>
                <w:sz w:val="17"/>
              </w:rPr>
              <w:t>Promotes the most directly relevant evidence.</w:t>
            </w:r>
          </w:p>
        </w:tc>
      </w:tr>
      <w:tr>
        <w:trPr>
          <w:cantSplit/>
        </w:trPr>
        <w:tc>
          <w:tcPr>
            <w:tcW w:type="dxa" w:w="4896"/>
            <w:tcMar>
              <w:top w:w="100" w:type="dxa"/>
              <w:start w:w="120" w:type="dxa"/>
              <w:bottom w:w="100" w:type="dxa"/>
              <w:end w:w="120" w:type="dxa"/>
            </w:tcMar>
            <w:vAlign w:val="top"/>
          </w:tcPr>
          <w:p>
            <w:pPr>
              <w:spacing w:after="0"/>
            </w:pPr>
            <w:r>
              <w:rPr>
                <w:color w:val="243447"/>
                <w:sz w:val="17"/>
              </w:rPr>
              <w:t>Parent-child expansion</w:t>
            </w:r>
          </w:p>
        </w:tc>
        <w:tc>
          <w:tcPr>
            <w:tcW w:type="dxa" w:w="4896"/>
            <w:tcMar>
              <w:top w:w="100" w:type="dxa"/>
              <w:start w:w="120" w:type="dxa"/>
              <w:bottom w:w="100" w:type="dxa"/>
              <w:end w:w="120" w:type="dxa"/>
            </w:tcMar>
            <w:vAlign w:val="top"/>
          </w:tcPr>
          <w:p>
            <w:pPr>
              <w:spacing w:after="0"/>
            </w:pPr>
            <w:r>
              <w:rPr>
                <w:color w:val="243447"/>
                <w:sz w:val="17"/>
              </w:rPr>
              <w:t>Provides coherent context without weakening retrieval precision.</w:t>
            </w:r>
          </w:p>
        </w:tc>
      </w:tr>
      <w:tr>
        <w:trPr>
          <w:cantSplit/>
        </w:trPr>
        <w:tc>
          <w:tcPr>
            <w:tcW w:type="dxa" w:w="4896"/>
            <w:tcMar>
              <w:top w:w="100" w:type="dxa"/>
              <w:start w:w="120" w:type="dxa"/>
              <w:bottom w:w="100" w:type="dxa"/>
              <w:end w:w="120" w:type="dxa"/>
            </w:tcMar>
            <w:vAlign w:val="top"/>
          </w:tcPr>
          <w:p>
            <w:pPr>
              <w:spacing w:after="0"/>
            </w:pPr>
            <w:r>
              <w:rPr>
                <w:color w:val="243447"/>
                <w:sz w:val="17"/>
              </w:rPr>
              <w:t>Version and evidence validation</w:t>
            </w:r>
          </w:p>
        </w:tc>
        <w:tc>
          <w:tcPr>
            <w:tcW w:type="dxa" w:w="4896"/>
            <w:tcMar>
              <w:top w:w="100" w:type="dxa"/>
              <w:start w:w="120" w:type="dxa"/>
              <w:bottom w:w="100" w:type="dxa"/>
              <w:end w:w="120" w:type="dxa"/>
            </w:tcMar>
            <w:vAlign w:val="top"/>
          </w:tcPr>
          <w:p>
            <w:pPr>
              <w:spacing w:after="0"/>
            </w:pPr>
            <w:r>
              <w:rPr>
                <w:color w:val="243447"/>
                <w:sz w:val="17"/>
              </w:rPr>
              <w:t>Ensures the final answer is current, scoped, and traceable.</w:t>
            </w:r>
          </w:p>
        </w:tc>
      </w:tr>
    </w:tbl>
    <w:p>
      <w:pPr>
        <w:spacing w:after="0"/>
      </w:pPr>
    </w:p>
    <w:p>
      <w:pPr>
        <w:pStyle w:val="Heading1"/>
      </w:pPr>
      <w:r>
        <w:t>References</w:t>
      </w:r>
    </w:p>
    <w:p>
      <w:r>
        <w:t xml:space="preserve">Elasticsearch, “What is hybrid search?” — </w:t>
      </w:r>
      <w:hyperlink r:id="rId11">
        <w:r>
          <w:rPr>
            <w:color w:val="1F4E78"/>
            <w:u w:val="single"/>
          </w:rPr>
          <w:t>elastic.co/what-is/hybrid-search</w:t>
        </w:r>
      </w:hyperlink>
    </w:p>
    <w:p>
      <w:r>
        <w:t xml:space="preserve">PageIndex, vectorless hierarchical document retrieval — </w:t>
      </w:r>
      <w:hyperlink r:id="rId12">
        <w:r>
          <w:rPr>
            <w:color w:val="1F4E78"/>
            <w:u w:val="single"/>
          </w:rPr>
          <w:t>github.com/VectifyAI/PageIndex</w:t>
        </w:r>
      </w:hyperlink>
    </w:p>
    <w:p>
      <w:r>
        <w:t xml:space="preserve">Microsoft GraphRAG documentation — </w:t>
      </w:r>
      <w:hyperlink r:id="rId13">
        <w:r>
          <w:rPr>
            <w:color w:val="1F4E78"/>
            <w:u w:val="single"/>
          </w:rPr>
          <w:t>microsoft.github.io/graphrag</w:t>
        </w:r>
      </w:hyperlink>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Aptos" w:hAnsi="Aptos"/>
        <w:b/>
        <w:color w:val="6B7280"/>
        <w:sz w:val="16"/>
      </w:rPr>
      <w:t>PROCESS-CENTRIC RAG KNOWLEDGE 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3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color w:val="1F2937"/>
      <w:sz w:val="16"/>
    </w:rPr>
  </w:style>
  <w:style w:type="paragraph" w:customStyle="1" w:styleId="SmallNote">
    <w:name w:val="Small Note"/>
    <w:pPr>
      <w:spacing w:after="80"/>
    </w:pPr>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lastic.co/what-is/hybrid-search" TargetMode="External"/><Relationship Id="rId12" Type="http://schemas.openxmlformats.org/officeDocument/2006/relationships/hyperlink" Target="https://github.com/VectifyAI/PageIndex" TargetMode="External"/><Relationship Id="rId13" Type="http://schemas.openxmlformats.org/officeDocument/2006/relationships/hyperlink" Target="https://microsoft.github.io/graphr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Process-Centric RAG Knowledge Base Design</dc:title>
  <dc:subject>Vector store, chunking, BM25, hybrid retrieval, and process isolation</dc:subject>
  <dc:creator>OpenAI</dc:creator>
  <cp:keywords>RAG, BM25, vector search, process intelligence, chunking, Elasticsearch</cp:keywords>
  <dc:description>generated by python-docx</dc:description>
  <cp:lastModifiedBy/>
  <cp:revision>1</cp:revision>
  <dcterms:created xsi:type="dcterms:W3CDTF">2013-12-23T23:15:00Z</dcterms:created>
  <dcterms:modified xsi:type="dcterms:W3CDTF">2013-12-23T23:15:00Z</dcterms:modified>
  <cp:category/>
</cp:coreProperties>
</file>