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360"/>
        <w:jc w:val="center"/>
      </w:pPr>
      <w:r>
        <w:rPr>
          <w:rFonts w:ascii="Calibri" w:hAnsi="Calibri"/>
          <w:b/>
          <w:color w:val="2E74B5"/>
          <w:sz w:val="20"/>
        </w:rPr>
        <w:t>ARCHITECTURE &amp; IMPLEMENTATION GUIDE</w:t>
      </w:r>
    </w:p>
    <w:p>
      <w:pPr>
        <w:pStyle w:val="Title"/>
        <w:jc w:val="center"/>
      </w:pPr>
      <w:r>
        <w:t>Process Intelligence</w:t>
        <w:br/>
        <w:t>Knowledge Store</w:t>
      </w:r>
    </w:p>
    <w:p>
      <w:pPr>
        <w:pStyle w:val="Subtitle"/>
        <w:jc w:val="center"/>
      </w:pPr>
      <w:r>
        <w:t>A governed knowledge graph and vector RAG architecture for SOPs, policies, BPMN models, journeys, and variants</w:t>
      </w:r>
    </w:p>
    <w:p/>
    <w:p>
      <w:pPr>
        <w:spacing w:after="80"/>
        <w:jc w:val="center"/>
      </w:pPr>
      <w:r>
        <w:rPr>
          <w:rFonts w:ascii="Calibri" w:hAnsi="Calibri"/>
          <w:b/>
          <w:color w:val="2E7D32"/>
          <w:sz w:val="20"/>
        </w:rPr>
        <w:t>REFERENCE IMPLEMENTATION</w:t>
      </w:r>
    </w:p>
    <w:p>
      <w:pPr>
        <w:spacing w:after="60"/>
        <w:jc w:val="center"/>
      </w:pPr>
      <w:r>
        <w:rPr>
          <w:rFonts w:ascii="Calibri" w:hAnsi="Calibri"/>
          <w:b/>
          <w:color w:val="17324D"/>
          <w:sz w:val="22"/>
        </w:rPr>
        <w:t>Version 2.0  |  July 2026</w:t>
      </w:r>
    </w:p>
    <w:p>
      <w:pPr>
        <w:jc w:val="center"/>
      </w:pPr>
      <w:r>
        <w:rPr>
          <w:rFonts w:ascii="Calibri" w:hAnsi="Calibri"/>
          <w:i/>
          <w:color w:val="667085"/>
          <w:sz w:val="20"/>
        </w:rPr>
        <w:t>Neo4j + Qdrant + FastAPI  |  Locally deployed and verified</w:t>
      </w:r>
    </w:p>
    <w:p>
      <w:r>
        <w:br w:type="page"/>
      </w:r>
    </w:p>
    <w:p>
      <w:pPr>
        <w:pStyle w:val="Heading1"/>
      </w:pPr>
      <w:r>
        <w:t>Executive summary</w:t>
      </w:r>
    </w:p>
    <w:p>
      <w:r>
        <w:t>The Process Intelligence Knowledge Store combines a governed Neo4j knowledge graph with Qdrant vector retrieval. Process is the central business object. Immutable document versions contain thin Chunk nodes that share their chunk_id with Qdrant. Governed Assertions connect exact evidence to approved facts, while one clean semantic edge is materialized per process/entity pair.</w:t>
      </w:r>
    </w:p>
    <w:p>
      <w:pPr>
        <w:spacing w:before="120" w:after="200" w:line="269" w:lineRule="auto"/>
        <w:ind w:left="259" w:right="259"/>
        <w:shd w:fill="E8EEF5"/>
      </w:pPr>
      <w:r>
        <w:rPr>
          <w:rFonts w:ascii="Calibri" w:hAnsi="Calibri"/>
          <w:b/>
          <w:color w:val="17324D"/>
          <w:sz w:val="22"/>
        </w:rPr>
        <w:t xml:space="preserve">Core decision: </w:t>
      </w:r>
      <w:r>
        <w:rPr>
          <w:rFonts w:ascii="Calibri" w:hAnsi="Calibri"/>
          <w:color w:val="202124"/>
          <w:sz w:val="22"/>
        </w:rPr>
        <w:t>The LLM is an extractor—not an ontology designer and not a Cypher author. It may propose only approved entities and relationships, and every proposal is validated by application code before persistence.</w:t>
      </w:r>
    </w:p>
    <w:p>
      <w:pPr>
        <w:pStyle w:val="Heading2"/>
      </w:pPr>
      <w:r>
        <w:t>What the store answers</w:t>
      </w:r>
    </w:p>
    <w:p>
      <w:pPr>
        <w:pStyle w:val="GovernedBullet"/>
        <w:numPr>
          <w:ilvl w:val="0"/>
          <w:numId w:val="100"/>
        </w:numPr>
      </w:pPr>
      <w:r>
        <w:t>Which policies and SOPs describe a process?</w:t>
      </w:r>
    </w:p>
    <w:p>
      <w:pPr>
        <w:pStyle w:val="GovernedBullet"/>
        <w:numPr>
          <w:ilvl w:val="0"/>
          <w:numId w:val="100"/>
        </w:numPr>
      </w:pPr>
      <w:r>
        <w:t>Which controls govern it, and which documents provide evidence?</w:t>
      </w:r>
    </w:p>
    <w:p>
      <w:pPr>
        <w:pStyle w:val="GovernedBullet"/>
        <w:numPr>
          <w:ilvl w:val="0"/>
          <w:numId w:val="100"/>
        </w:numPr>
      </w:pPr>
      <w:r>
        <w:t>Which systems, business units, and markets are connected to it?</w:t>
      </w:r>
    </w:p>
    <w:p>
      <w:pPr>
        <w:pStyle w:val="GovernedBullet"/>
        <w:numPr>
          <w:ilvl w:val="0"/>
          <w:numId w:val="100"/>
        </w:numPr>
      </w:pPr>
      <w:r>
        <w:t>What does the approved BPMN model say should happen?</w:t>
      </w:r>
    </w:p>
    <w:p>
      <w:pPr>
        <w:pStyle w:val="GovernedBullet"/>
        <w:numPr>
          <w:ilvl w:val="0"/>
          <w:numId w:val="100"/>
        </w:numPr>
      </w:pPr>
      <w:r>
        <w:t>Which journeys and variants are happening in production?</w:t>
      </w:r>
    </w:p>
    <w:p>
      <w:pPr>
        <w:pStyle w:val="GovernedBullet"/>
        <w:numPr>
          <w:ilvl w:val="0"/>
          <w:numId w:val="100"/>
        </w:numPr>
      </w:pPr>
      <w:r>
        <w:t>Where do documented expectations and live execution diverge?</w:t>
      </w:r>
    </w:p>
    <w:p>
      <w:pPr>
        <w:pStyle w:val="Heading2"/>
      </w:pPr>
      <w:r>
        <w:t>Design principles</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shd w:fill="E8EEF5"/>
            <w:vAlign w:val="center"/>
            <w:tcMar>
              <w:top w:w="100" w:type="dxa"/>
              <w:start w:w="120" w:type="dxa"/>
              <w:bottom w:w="100" w:type="dxa"/>
              <w:end w:w="120" w:type="dxa"/>
            </w:tcMar>
          </w:tcPr>
          <w:p>
            <w:pPr>
              <w:spacing w:after="0"/>
            </w:pPr>
            <w:r>
              <w:rPr>
                <w:rFonts w:ascii="Calibri" w:hAnsi="Calibri"/>
                <w:b/>
                <w:color w:val="17324D"/>
                <w:sz w:val="19"/>
              </w:rPr>
              <w:t>Principle</w:t>
            </w:r>
          </w:p>
        </w:tc>
        <w:tc>
          <w:tcPr>
            <w:tcW w:type="dxa" w:w="6660"/>
            <w:shd w:fill="E8EEF5"/>
            <w:vAlign w:val="center"/>
            <w:tcMar>
              <w:top w:w="100" w:type="dxa"/>
              <w:start w:w="120" w:type="dxa"/>
              <w:bottom w:w="100" w:type="dxa"/>
              <w:end w:w="120" w:type="dxa"/>
            </w:tcMar>
          </w:tcPr>
          <w:p>
            <w:pPr>
              <w:spacing w:after="0"/>
            </w:pPr>
            <w:r>
              <w:rPr>
                <w:rFonts w:ascii="Calibri" w:hAnsi="Calibri"/>
                <w:b/>
                <w:color w:val="17324D"/>
                <w:sz w:val="19"/>
              </w:rPr>
              <w:t>Implementation</w:t>
            </w:r>
          </w:p>
        </w:tc>
      </w:tr>
      <w:tr>
        <w:trPr/>
        <w:tc>
          <w:tcPr>
            <w:tcW w:type="dxa" w:w="2700"/>
            <w:vAlign w:val="center"/>
            <w:tcMar>
              <w:top w:w="100" w:type="dxa"/>
              <w:start w:w="120" w:type="dxa"/>
              <w:bottom w:w="100" w:type="dxa"/>
              <w:end w:w="120" w:type="dxa"/>
            </w:tcMar>
          </w:tcPr>
          <w:p>
            <w:pPr>
              <w:spacing w:after="0" w:line="259" w:lineRule="auto"/>
            </w:pPr>
            <w:r>
              <w:rPr>
                <w:rFonts w:ascii="Calibri" w:hAnsi="Calibri"/>
                <w:color w:val="202124"/>
                <w:sz w:val="18"/>
              </w:rPr>
              <w:t>Process-centered</w:t>
            </w:r>
          </w:p>
        </w:tc>
        <w:tc>
          <w:tcPr>
            <w:tcW w:type="dxa" w:w="6660"/>
            <w:vAlign w:val="center"/>
            <w:tcMar>
              <w:top w:w="100" w:type="dxa"/>
              <w:start w:w="120" w:type="dxa"/>
              <w:bottom w:w="100" w:type="dxa"/>
              <w:end w:w="120" w:type="dxa"/>
            </w:tcMar>
          </w:tcPr>
          <w:p>
            <w:pPr>
              <w:spacing w:after="0" w:line="259" w:lineRule="auto"/>
            </w:pPr>
            <w:r>
              <w:rPr>
                <w:rFonts w:ascii="Calibri" w:hAnsi="Calibri"/>
                <w:color w:val="202124"/>
                <w:sz w:val="18"/>
              </w:rPr>
              <w:t>Process is the aggregate root and stable retrieval anchor.</w:t>
            </w:r>
          </w:p>
        </w:tc>
      </w:tr>
      <w:tr>
        <w:trPr/>
        <w:tc>
          <w:tcPr>
            <w:tcW w:type="dxa" w:w="2700"/>
            <w:vAlign w:val="center"/>
            <w:tcMar>
              <w:top w:w="100" w:type="dxa"/>
              <w:start w:w="120" w:type="dxa"/>
              <w:bottom w:w="100" w:type="dxa"/>
              <w:end w:w="120" w:type="dxa"/>
            </w:tcMar>
          </w:tcPr>
          <w:p>
            <w:pPr>
              <w:spacing w:after="0" w:line="259" w:lineRule="auto"/>
            </w:pPr>
            <w:r>
              <w:rPr>
                <w:rFonts w:ascii="Calibri" w:hAnsi="Calibri"/>
                <w:color w:val="202124"/>
                <w:sz w:val="18"/>
              </w:rPr>
              <w:t>Closed ontology</w:t>
            </w:r>
          </w:p>
        </w:tc>
        <w:tc>
          <w:tcPr>
            <w:tcW w:type="dxa" w:w="6660"/>
            <w:vAlign w:val="center"/>
            <w:tcMar>
              <w:top w:w="100" w:type="dxa"/>
              <w:start w:w="120" w:type="dxa"/>
              <w:bottom w:w="100" w:type="dxa"/>
              <w:end w:w="120" w:type="dxa"/>
            </w:tcMar>
          </w:tcPr>
          <w:p>
            <w:pPr>
              <w:spacing w:after="0" w:line="259" w:lineRule="auto"/>
            </w:pPr>
            <w:r>
              <w:rPr>
                <w:rFonts w:ascii="Calibri" w:hAnsi="Calibri"/>
                <w:color w:val="202124"/>
                <w:sz w:val="18"/>
              </w:rPr>
              <w:t>Labels and relationship triples are versioned and allow-listed.</w:t>
            </w:r>
          </w:p>
        </w:tc>
      </w:tr>
      <w:tr>
        <w:trPr/>
        <w:tc>
          <w:tcPr>
            <w:tcW w:type="dxa" w:w="2700"/>
            <w:vAlign w:val="center"/>
            <w:tcMar>
              <w:top w:w="100" w:type="dxa"/>
              <w:start w:w="120" w:type="dxa"/>
              <w:bottom w:w="100" w:type="dxa"/>
              <w:end w:w="120" w:type="dxa"/>
            </w:tcMar>
          </w:tcPr>
          <w:p>
            <w:pPr>
              <w:spacing w:after="0" w:line="259" w:lineRule="auto"/>
            </w:pPr>
            <w:r>
              <w:rPr>
                <w:rFonts w:ascii="Calibri" w:hAnsi="Calibri"/>
                <w:color w:val="202124"/>
                <w:sz w:val="18"/>
              </w:rPr>
              <w:t>Evidence-aware</w:t>
            </w:r>
          </w:p>
        </w:tc>
        <w:tc>
          <w:tcPr>
            <w:tcW w:type="dxa" w:w="6660"/>
            <w:vAlign w:val="center"/>
            <w:tcMar>
              <w:top w:w="100" w:type="dxa"/>
              <w:start w:w="120" w:type="dxa"/>
              <w:bottom w:w="100" w:type="dxa"/>
              <w:end w:w="120" w:type="dxa"/>
            </w:tcMar>
          </w:tcPr>
          <w:p>
            <w:pPr>
              <w:spacing w:after="0" w:line="259" w:lineRule="auto"/>
            </w:pPr>
            <w:r>
              <w:rPr>
                <w:rFonts w:ascii="Calibri" w:hAnsi="Calibri"/>
                <w:color w:val="202124"/>
                <w:sz w:val="18"/>
              </w:rPr>
              <w:t>Chunks support version-specific, governed assertions.</w:t>
            </w:r>
          </w:p>
        </w:tc>
      </w:tr>
      <w:tr>
        <w:trPr/>
        <w:tc>
          <w:tcPr>
            <w:tcW w:type="dxa" w:w="2700"/>
            <w:vAlign w:val="center"/>
            <w:tcMar>
              <w:top w:w="100" w:type="dxa"/>
              <w:start w:w="120" w:type="dxa"/>
              <w:bottom w:w="100" w:type="dxa"/>
              <w:end w:w="120" w:type="dxa"/>
            </w:tcMar>
          </w:tcPr>
          <w:p>
            <w:pPr>
              <w:spacing w:after="0" w:line="259" w:lineRule="auto"/>
            </w:pPr>
            <w:r>
              <w:rPr>
                <w:rFonts w:ascii="Calibri" w:hAnsi="Calibri"/>
                <w:color w:val="202124"/>
                <w:sz w:val="18"/>
              </w:rPr>
              <w:t>Hybrid retrieval</w:t>
            </w:r>
          </w:p>
        </w:tc>
        <w:tc>
          <w:tcPr>
            <w:tcW w:type="dxa" w:w="6660"/>
            <w:vAlign w:val="center"/>
            <w:tcMar>
              <w:top w:w="100" w:type="dxa"/>
              <w:start w:w="120" w:type="dxa"/>
              <w:bottom w:w="100" w:type="dxa"/>
              <w:end w:w="120" w:type="dxa"/>
            </w:tcMar>
          </w:tcPr>
          <w:p>
            <w:pPr>
              <w:spacing w:after="0" w:line="259" w:lineRule="auto"/>
            </w:pPr>
            <w:r>
              <w:rPr>
                <w:rFonts w:ascii="Calibri" w:hAnsi="Calibri"/>
                <w:color w:val="202124"/>
                <w:sz w:val="18"/>
              </w:rPr>
              <w:t>Graph facts provide precision; document vectors provide context.</w:t>
            </w:r>
          </w:p>
        </w:tc>
      </w:tr>
      <w:tr>
        <w:trPr/>
        <w:tc>
          <w:tcPr>
            <w:tcW w:type="dxa" w:w="2700"/>
            <w:vAlign w:val="center"/>
            <w:tcMar>
              <w:top w:w="100" w:type="dxa"/>
              <w:start w:w="120" w:type="dxa"/>
              <w:bottom w:w="100" w:type="dxa"/>
              <w:end w:w="120" w:type="dxa"/>
            </w:tcMar>
          </w:tcPr>
          <w:p>
            <w:pPr>
              <w:spacing w:after="0" w:line="259" w:lineRule="auto"/>
            </w:pPr>
            <w:r>
              <w:rPr>
                <w:rFonts w:ascii="Calibri" w:hAnsi="Calibri"/>
                <w:color w:val="202124"/>
                <w:sz w:val="18"/>
              </w:rPr>
              <w:t>Operationally connected</w:t>
            </w:r>
          </w:p>
        </w:tc>
        <w:tc>
          <w:tcPr>
            <w:tcW w:type="dxa" w:w="6660"/>
            <w:vAlign w:val="center"/>
            <w:tcMar>
              <w:top w:w="100" w:type="dxa"/>
              <w:start w:w="120" w:type="dxa"/>
              <w:bottom w:w="100" w:type="dxa"/>
              <w:end w:w="120" w:type="dxa"/>
            </w:tcMar>
          </w:tcPr>
          <w:p>
            <w:pPr>
              <w:spacing w:after="0" w:line="259" w:lineRule="auto"/>
            </w:pPr>
            <w:r>
              <w:rPr>
                <w:rFonts w:ascii="Calibri" w:hAnsi="Calibri"/>
                <w:color w:val="202124"/>
                <w:sz w:val="18"/>
              </w:rPr>
              <w:t>Journeys and variants use the same process identity.</w:t>
            </w:r>
          </w:p>
        </w:tc>
      </w:tr>
      <w:tr>
        <w:trPr/>
        <w:tc>
          <w:tcPr>
            <w:tcW w:type="dxa" w:w="2700"/>
            <w:vAlign w:val="center"/>
            <w:tcMar>
              <w:top w:w="100" w:type="dxa"/>
              <w:start w:w="120" w:type="dxa"/>
              <w:bottom w:w="100" w:type="dxa"/>
              <w:end w:w="120" w:type="dxa"/>
            </w:tcMar>
          </w:tcPr>
          <w:p>
            <w:pPr>
              <w:spacing w:after="0" w:line="259" w:lineRule="auto"/>
            </w:pPr>
            <w:r>
              <w:rPr>
                <w:rFonts w:ascii="Calibri" w:hAnsi="Calibri"/>
                <w:color w:val="202124"/>
                <w:sz w:val="18"/>
              </w:rPr>
              <w:t>Secure by construction</w:t>
            </w:r>
          </w:p>
        </w:tc>
        <w:tc>
          <w:tcPr>
            <w:tcW w:type="dxa" w:w="6660"/>
            <w:vAlign w:val="center"/>
            <w:tcMar>
              <w:top w:w="100" w:type="dxa"/>
              <w:start w:w="120" w:type="dxa"/>
              <w:bottom w:w="100" w:type="dxa"/>
              <w:end w:w="120" w:type="dxa"/>
            </w:tcMar>
          </w:tcPr>
          <w:p>
            <w:pPr>
              <w:spacing w:after="0" w:line="259" w:lineRule="auto"/>
            </w:pPr>
            <w:r>
              <w:rPr>
                <w:rFonts w:ascii="Calibri" w:hAnsi="Calibri"/>
                <w:color w:val="202124"/>
                <w:sz w:val="18"/>
              </w:rPr>
              <w:t>Document clearance filters apply to graph and vector results.</w:t>
            </w:r>
          </w:p>
        </w:tc>
      </w:tr>
    </w:tbl>
    <w:p>
      <w:pPr>
        <w:spacing w:after="40"/>
      </w:pPr>
    </w:p>
    <w:p>
      <w:pPr>
        <w:pStyle w:val="Heading1"/>
      </w:pPr>
      <w:r>
        <w:t>1. Architecture</w:t>
      </w:r>
    </w:p>
    <w:p>
      <w:r>
        <w:t>The architecture separates stable business meaning from vector infrastructure without disconnecting them. Neo4j stores entities, immutable versions, thin chunks, assertions, and materialized facts. Qdrant stores chunk text and embeddings under the identical chunk_id. The API joins them through graph-scoped, fixed-intent retrieval.</w:t>
      </w:r>
    </w:p>
    <w:p>
      <w:r>
        <w:br w:type="page"/>
      </w:r>
    </w:p>
    <w:p>
      <w:pPr>
        <w:jc w:val="center"/>
      </w:pPr>
      <w:r>
        <w:drawing>
          <wp:inline xmlns:a="http://schemas.openxmlformats.org/drawingml/2006/main" xmlns:pic="http://schemas.openxmlformats.org/drawingml/2006/picture">
            <wp:extent cx="5897880" cy="2830982"/>
            <wp:docPr id="1" name="Picture 1" descr="Architecture diagram showing enterprise sources flowing through governed ingestion into Neo4j and Qdrant, queried by a hybrid chat API."/>
            <wp:cNvGraphicFramePr>
              <a:graphicFrameLocks noChangeAspect="1"/>
            </wp:cNvGraphicFramePr>
            <a:graphic>
              <a:graphicData uri="http://schemas.openxmlformats.org/drawingml/2006/picture">
                <pic:pic>
                  <pic:nvPicPr>
                    <pic:cNvPr id="0" name="knowledge-store-architecture.png"/>
                    <pic:cNvPicPr/>
                  </pic:nvPicPr>
                  <pic:blipFill>
                    <a:blip r:embed="rId11"/>
                    <a:stretch>
                      <a:fillRect/>
                    </a:stretch>
                  </pic:blipFill>
                  <pic:spPr>
                    <a:xfrm>
                      <a:off x="0" y="0"/>
                      <a:ext cx="5897880" cy="2830982"/>
                    </a:xfrm>
                    <a:prstGeom prst="rect"/>
                  </pic:spPr>
                </pic:pic>
              </a:graphicData>
            </a:graphic>
          </wp:inline>
        </w:drawing>
      </w:r>
    </w:p>
    <w:p>
      <w:pPr>
        <w:spacing w:before="40" w:after="200"/>
        <w:jc w:val="center"/>
      </w:pPr>
      <w:r>
        <w:rPr>
          <w:rFonts w:ascii="Calibri" w:hAnsi="Calibri"/>
          <w:i/>
          <w:color w:val="667085"/>
          <w:sz w:val="18"/>
        </w:rPr>
        <w:t>Figure 1. Governed knowledge graph and vector RAG architecture</w:t>
      </w:r>
    </w:p>
    <w:p>
      <w:pPr>
        <w:pStyle w:val="Heading2"/>
      </w:pPr>
      <w:r>
        <w:t>Store responsibilities</w:t>
      </w:r>
    </w:p>
    <w:tbl>
      <w:tblPr>
        <w:tblStyle w:val="TableGrid"/>
        <w:tblW w:type="dxa" w:w="9360"/>
        <w:jc w:val="left"/>
        <w:tblLayout w:type="fixed"/>
        <w:tblLook w:firstColumn="1" w:firstRow="1" w:lastColumn="0" w:lastRow="0" w:noHBand="0" w:noVBand="1" w:val="04A0"/>
        <w:tblInd w:w="120" w:type="dxa"/>
      </w:tblPr>
      <w:tblGrid>
        <w:gridCol w:w="1600"/>
        <w:gridCol w:w="4160"/>
        <w:gridCol w:w="3600"/>
      </w:tblGrid>
      <w:tr>
        <w:trPr>
          <w:tblHeader w:val="true"/>
        </w:trPr>
        <w:tc>
          <w:tcPr>
            <w:tcW w:type="dxa" w:w="1600"/>
            <w:shd w:fill="E8EEF5"/>
            <w:vAlign w:val="center"/>
            <w:tcMar>
              <w:top w:w="100" w:type="dxa"/>
              <w:start w:w="120" w:type="dxa"/>
              <w:bottom w:w="100" w:type="dxa"/>
              <w:end w:w="120" w:type="dxa"/>
            </w:tcMar>
          </w:tcPr>
          <w:p>
            <w:pPr>
              <w:spacing w:after="0"/>
            </w:pPr>
            <w:r>
              <w:rPr>
                <w:rFonts w:ascii="Calibri" w:hAnsi="Calibri"/>
                <w:b/>
                <w:color w:val="17324D"/>
                <w:sz w:val="19"/>
              </w:rPr>
              <w:t>Store</w:t>
            </w:r>
          </w:p>
        </w:tc>
        <w:tc>
          <w:tcPr>
            <w:tcW w:type="dxa" w:w="4160"/>
            <w:shd w:fill="E8EEF5"/>
            <w:vAlign w:val="center"/>
            <w:tcMar>
              <w:top w:w="100" w:type="dxa"/>
              <w:start w:w="120" w:type="dxa"/>
              <w:bottom w:w="100" w:type="dxa"/>
              <w:end w:w="120" w:type="dxa"/>
            </w:tcMar>
          </w:tcPr>
          <w:p>
            <w:pPr>
              <w:spacing w:after="0"/>
            </w:pPr>
            <w:r>
              <w:rPr>
                <w:rFonts w:ascii="Calibri" w:hAnsi="Calibri"/>
                <w:b/>
                <w:color w:val="17324D"/>
                <w:sz w:val="19"/>
              </w:rPr>
              <w:t>What it contains</w:t>
            </w:r>
          </w:p>
        </w:tc>
        <w:tc>
          <w:tcPr>
            <w:tcW w:type="dxa" w:w="3600"/>
            <w:shd w:fill="E8EEF5"/>
            <w:vAlign w:val="center"/>
            <w:tcMar>
              <w:top w:w="100" w:type="dxa"/>
              <w:start w:w="120" w:type="dxa"/>
              <w:bottom w:w="100" w:type="dxa"/>
              <w:end w:w="120" w:type="dxa"/>
            </w:tcMar>
          </w:tcPr>
          <w:p>
            <w:pPr>
              <w:spacing w:after="0"/>
            </w:pPr>
            <w:r>
              <w:rPr>
                <w:rFonts w:ascii="Calibri" w:hAnsi="Calibri"/>
                <w:b/>
                <w:color w:val="17324D"/>
                <w:sz w:val="19"/>
              </w:rPr>
              <w:t>Why</w:t>
            </w:r>
          </w:p>
        </w:tc>
      </w:tr>
      <w:tr>
        <w:trPr/>
        <w:tc>
          <w:tcPr>
            <w:tcW w:type="dxa" w:w="1600"/>
            <w:vAlign w:val="center"/>
            <w:tcMar>
              <w:top w:w="100" w:type="dxa"/>
              <w:start w:w="120" w:type="dxa"/>
              <w:bottom w:w="100" w:type="dxa"/>
              <w:end w:w="120" w:type="dxa"/>
            </w:tcMar>
          </w:tcPr>
          <w:p>
            <w:pPr>
              <w:spacing w:after="0" w:line="259" w:lineRule="auto"/>
            </w:pPr>
            <w:r>
              <w:rPr>
                <w:rFonts w:ascii="Calibri" w:hAnsi="Calibri"/>
                <w:color w:val="202124"/>
                <w:sz w:val="18"/>
              </w:rPr>
              <w:t>Neo4j</w:t>
            </w:r>
          </w:p>
        </w:tc>
        <w:tc>
          <w:tcPr>
            <w:tcW w:type="dxa" w:w="4160"/>
            <w:vAlign w:val="center"/>
            <w:tcMar>
              <w:top w:w="100" w:type="dxa"/>
              <w:start w:w="120" w:type="dxa"/>
              <w:bottom w:w="100" w:type="dxa"/>
              <w:end w:w="120" w:type="dxa"/>
            </w:tcMar>
          </w:tcPr>
          <w:p>
            <w:pPr>
              <w:spacing w:after="0" w:line="259" w:lineRule="auto"/>
            </w:pPr>
            <w:r>
              <w:rPr>
                <w:rFonts w:ascii="Calibri" w:hAnsi="Calibri"/>
                <w:color w:val="202124"/>
                <w:sz w:val="18"/>
              </w:rPr>
              <w:t>Process, versions, thin chunks, assertions, entities, BPMN, journeys</w:t>
            </w:r>
          </w:p>
        </w:tc>
        <w:tc>
          <w:tcPr>
            <w:tcW w:type="dxa" w:w="3600"/>
            <w:vAlign w:val="center"/>
            <w:tcMar>
              <w:top w:w="100" w:type="dxa"/>
              <w:start w:w="120" w:type="dxa"/>
              <w:bottom w:w="100" w:type="dxa"/>
              <w:end w:w="120" w:type="dxa"/>
            </w:tcMar>
          </w:tcPr>
          <w:p>
            <w:pPr>
              <w:spacing w:after="0" w:line="259" w:lineRule="auto"/>
            </w:pPr>
            <w:r>
              <w:rPr>
                <w:rFonts w:ascii="Calibri" w:hAnsi="Calibri"/>
                <w:color w:val="202124"/>
                <w:sz w:val="18"/>
              </w:rPr>
              <w:t>Meaning, provenance, lifecycle, authorization scope, and traversal</w:t>
            </w:r>
          </w:p>
        </w:tc>
      </w:tr>
      <w:tr>
        <w:trPr/>
        <w:tc>
          <w:tcPr>
            <w:tcW w:type="dxa" w:w="1600"/>
            <w:vAlign w:val="center"/>
            <w:tcMar>
              <w:top w:w="100" w:type="dxa"/>
              <w:start w:w="120" w:type="dxa"/>
              <w:bottom w:w="100" w:type="dxa"/>
              <w:end w:w="120" w:type="dxa"/>
            </w:tcMar>
          </w:tcPr>
          <w:p>
            <w:pPr>
              <w:spacing w:after="0" w:line="259" w:lineRule="auto"/>
            </w:pPr>
            <w:r>
              <w:rPr>
                <w:rFonts w:ascii="Calibri" w:hAnsi="Calibri"/>
                <w:color w:val="202124"/>
                <w:sz w:val="18"/>
              </w:rPr>
              <w:t>Qdrant</w:t>
            </w:r>
          </w:p>
        </w:tc>
        <w:tc>
          <w:tcPr>
            <w:tcW w:type="dxa" w:w="4160"/>
            <w:vAlign w:val="center"/>
            <w:tcMar>
              <w:top w:w="100" w:type="dxa"/>
              <w:start w:w="120" w:type="dxa"/>
              <w:bottom w:w="100" w:type="dxa"/>
              <w:end w:w="120" w:type="dxa"/>
            </w:tcMar>
          </w:tcPr>
          <w:p>
            <w:pPr>
              <w:spacing w:after="0" w:line="259" w:lineRule="auto"/>
            </w:pPr>
            <w:r>
              <w:rPr>
                <w:rFonts w:ascii="Calibri" w:hAnsi="Calibri"/>
                <w:color w:val="202124"/>
                <w:sz w:val="18"/>
              </w:rPr>
              <w:t>Chunk text, embeddings, and replicated filter metadata</w:t>
            </w:r>
          </w:p>
        </w:tc>
        <w:tc>
          <w:tcPr>
            <w:tcW w:type="dxa" w:w="3600"/>
            <w:vAlign w:val="center"/>
            <w:tcMar>
              <w:top w:w="100" w:type="dxa"/>
              <w:start w:w="120" w:type="dxa"/>
              <w:bottom w:w="100" w:type="dxa"/>
              <w:end w:w="120" w:type="dxa"/>
            </w:tcMar>
          </w:tcPr>
          <w:p>
            <w:pPr>
              <w:spacing w:after="0" w:line="259" w:lineRule="auto"/>
            </w:pPr>
            <w:r>
              <w:rPr>
                <w:rFonts w:ascii="Calibri" w:hAnsi="Calibri"/>
                <w:color w:val="202124"/>
                <w:sz w:val="18"/>
              </w:rPr>
              <w:t>Fast semantic retrieval using the same chunk_id as Neo4j</w:t>
            </w:r>
          </w:p>
        </w:tc>
      </w:tr>
      <w:tr>
        <w:trPr/>
        <w:tc>
          <w:tcPr>
            <w:tcW w:type="dxa" w:w="1600"/>
            <w:vAlign w:val="center"/>
            <w:tcMar>
              <w:top w:w="100" w:type="dxa"/>
              <w:start w:w="120" w:type="dxa"/>
              <w:bottom w:w="100" w:type="dxa"/>
              <w:end w:w="120" w:type="dxa"/>
            </w:tcMar>
          </w:tcPr>
          <w:p>
            <w:pPr>
              <w:spacing w:after="0" w:line="259" w:lineRule="auto"/>
            </w:pPr>
            <w:r>
              <w:rPr>
                <w:rFonts w:ascii="Calibri" w:hAnsi="Calibri"/>
                <w:color w:val="202124"/>
                <w:sz w:val="18"/>
              </w:rPr>
              <w:t>Object storage (production)</w:t>
            </w:r>
          </w:p>
        </w:tc>
        <w:tc>
          <w:tcPr>
            <w:tcW w:type="dxa" w:w="4160"/>
            <w:vAlign w:val="center"/>
            <w:tcMar>
              <w:top w:w="100" w:type="dxa"/>
              <w:start w:w="120" w:type="dxa"/>
              <w:bottom w:w="100" w:type="dxa"/>
              <w:end w:w="120" w:type="dxa"/>
            </w:tcMar>
          </w:tcPr>
          <w:p>
            <w:pPr>
              <w:spacing w:after="0" w:line="259" w:lineRule="auto"/>
            </w:pPr>
            <w:r>
              <w:rPr>
                <w:rFonts w:ascii="Calibri" w:hAnsi="Calibri"/>
                <w:color w:val="202124"/>
                <w:sz w:val="18"/>
              </w:rPr>
              <w:t>Immutable source binaries</w:t>
            </w:r>
          </w:p>
        </w:tc>
        <w:tc>
          <w:tcPr>
            <w:tcW w:type="dxa" w:w="3600"/>
            <w:vAlign w:val="center"/>
            <w:tcMar>
              <w:top w:w="100" w:type="dxa"/>
              <w:start w:w="120" w:type="dxa"/>
              <w:bottom w:w="100" w:type="dxa"/>
              <w:end w:w="120" w:type="dxa"/>
            </w:tcMar>
          </w:tcPr>
          <w:p>
            <w:pPr>
              <w:spacing w:after="0" w:line="259" w:lineRule="auto"/>
            </w:pPr>
            <w:r>
              <w:rPr>
                <w:rFonts w:ascii="Calibri" w:hAnsi="Calibri"/>
                <w:color w:val="202124"/>
                <w:sz w:val="18"/>
              </w:rPr>
              <w:t>Retention, legal hold, integrity, and reprocessing</w:t>
            </w:r>
          </w:p>
        </w:tc>
      </w:tr>
    </w:tbl>
    <w:p>
      <w:pPr>
        <w:spacing w:after="40"/>
      </w:pPr>
    </w:p>
    <w:p>
      <w:pPr>
        <w:pStyle w:val="Heading2"/>
      </w:pPr>
      <w:r>
        <w:t>Chunk-storage trade-offs</w:t>
      </w:r>
    </w:p>
    <w:tbl>
      <w:tblPr>
        <w:tblStyle w:val="TableGrid"/>
        <w:tblW w:type="dxa" w:w="9360"/>
        <w:jc w:val="left"/>
        <w:tblLayout w:type="fixed"/>
        <w:tblLook w:firstColumn="1" w:firstRow="1" w:lastColumn="0" w:lastRow="0" w:noHBand="0" w:noVBand="1" w:val="04A0"/>
        <w:tblInd w:w="120" w:type="dxa"/>
      </w:tblPr>
      <w:tblGrid>
        <w:gridCol w:w="2200"/>
        <w:gridCol w:w="3580"/>
        <w:gridCol w:w="3580"/>
      </w:tblGrid>
      <w:tr>
        <w:trPr>
          <w:tblHeader w:val="true"/>
        </w:trPr>
        <w:tc>
          <w:tcPr>
            <w:tcW w:type="dxa" w:w="2200"/>
            <w:shd w:fill="E8EEF5"/>
            <w:vAlign w:val="center"/>
            <w:tcMar>
              <w:top w:w="100" w:type="dxa"/>
              <w:start w:w="120" w:type="dxa"/>
              <w:bottom w:w="100" w:type="dxa"/>
              <w:end w:w="120" w:type="dxa"/>
            </w:tcMar>
          </w:tcPr>
          <w:p>
            <w:pPr>
              <w:spacing w:after="0"/>
            </w:pPr>
            <w:r>
              <w:rPr>
                <w:rFonts w:ascii="Calibri" w:hAnsi="Calibri"/>
                <w:b/>
                <w:color w:val="17324D"/>
                <w:sz w:val="19"/>
              </w:rPr>
              <w:t>Approach</w:t>
            </w:r>
          </w:p>
        </w:tc>
        <w:tc>
          <w:tcPr>
            <w:tcW w:type="dxa" w:w="3580"/>
            <w:shd w:fill="E8EEF5"/>
            <w:vAlign w:val="center"/>
            <w:tcMar>
              <w:top w:w="100" w:type="dxa"/>
              <w:start w:w="120" w:type="dxa"/>
              <w:bottom w:w="100" w:type="dxa"/>
              <w:end w:w="120" w:type="dxa"/>
            </w:tcMar>
          </w:tcPr>
          <w:p>
            <w:pPr>
              <w:spacing w:after="0"/>
            </w:pPr>
            <w:r>
              <w:rPr>
                <w:rFonts w:ascii="Calibri" w:hAnsi="Calibri"/>
                <w:b/>
                <w:color w:val="17324D"/>
                <w:sz w:val="19"/>
              </w:rPr>
              <w:t>Advantages</w:t>
            </w:r>
          </w:p>
        </w:tc>
        <w:tc>
          <w:tcPr>
            <w:tcW w:type="dxa" w:w="3580"/>
            <w:shd w:fill="E8EEF5"/>
            <w:vAlign w:val="center"/>
            <w:tcMar>
              <w:top w:w="100" w:type="dxa"/>
              <w:start w:w="120" w:type="dxa"/>
              <w:bottom w:w="100" w:type="dxa"/>
              <w:end w:w="120" w:type="dxa"/>
            </w:tcMar>
          </w:tcPr>
          <w:p>
            <w:pPr>
              <w:spacing w:after="0"/>
            </w:pPr>
            <w:r>
              <w:rPr>
                <w:rFonts w:ascii="Calibri" w:hAnsi="Calibri"/>
                <w:b/>
                <w:color w:val="17324D"/>
                <w:sz w:val="19"/>
              </w:rPr>
              <w:t>Disadvantages</w:t>
            </w:r>
          </w:p>
        </w:tc>
      </w:tr>
      <w:tr>
        <w:trPr/>
        <w:tc>
          <w:tcPr>
            <w:tcW w:type="dxa" w:w="2200"/>
            <w:vAlign w:val="center"/>
            <w:tcMar>
              <w:top w:w="100" w:type="dxa"/>
              <w:start w:w="120" w:type="dxa"/>
              <w:bottom w:w="100" w:type="dxa"/>
              <w:end w:w="120" w:type="dxa"/>
            </w:tcMar>
          </w:tcPr>
          <w:p>
            <w:pPr>
              <w:spacing w:after="0" w:line="259" w:lineRule="auto"/>
            </w:pPr>
            <w:r>
              <w:rPr>
                <w:rFonts w:ascii="Calibri" w:hAnsi="Calibri"/>
                <w:color w:val="202124"/>
                <w:sz w:val="18"/>
              </w:rPr>
              <w:t>Vector-only chunks</w:t>
            </w:r>
          </w:p>
        </w:tc>
        <w:tc>
          <w:tcPr>
            <w:tcW w:type="dxa" w:w="3580"/>
            <w:vAlign w:val="center"/>
            <w:tcMar>
              <w:top w:w="100" w:type="dxa"/>
              <w:start w:w="120" w:type="dxa"/>
              <w:bottom w:w="100" w:type="dxa"/>
              <w:end w:w="120" w:type="dxa"/>
            </w:tcMar>
          </w:tcPr>
          <w:p>
            <w:pPr>
              <w:spacing w:after="0" w:line="259" w:lineRule="auto"/>
            </w:pPr>
            <w:r>
              <w:rPr>
                <w:rFonts w:ascii="Calibri" w:hAnsi="Calibri"/>
                <w:color w:val="202124"/>
                <w:sz w:val="18"/>
              </w:rPr>
              <w:t>Simple ingestion and a smaller graph</w:t>
            </w:r>
          </w:p>
        </w:tc>
        <w:tc>
          <w:tcPr>
            <w:tcW w:type="dxa" w:w="3580"/>
            <w:vAlign w:val="center"/>
            <w:tcMar>
              <w:top w:w="100" w:type="dxa"/>
              <w:start w:w="120" w:type="dxa"/>
              <w:bottom w:w="100" w:type="dxa"/>
              <w:end w:w="120" w:type="dxa"/>
            </w:tcMar>
          </w:tcPr>
          <w:p>
            <w:pPr>
              <w:spacing w:after="0" w:line="259" w:lineRule="auto"/>
            </w:pPr>
            <w:r>
              <w:rPr>
                <w:rFonts w:ascii="Calibri" w:hAnsi="Calibri"/>
                <w:color w:val="202124"/>
                <w:sz w:val="18"/>
              </w:rPr>
              <w:t>Application-side joins, weaker lineage, and harder lifecycle audits</w:t>
            </w:r>
          </w:p>
        </w:tc>
      </w:tr>
      <w:tr>
        <w:trPr/>
        <w:tc>
          <w:tcPr>
            <w:tcW w:type="dxa" w:w="2200"/>
            <w:vAlign w:val="center"/>
            <w:tcMar>
              <w:top w:w="100" w:type="dxa"/>
              <w:start w:w="120" w:type="dxa"/>
              <w:bottom w:w="100" w:type="dxa"/>
              <w:end w:w="120" w:type="dxa"/>
            </w:tcMar>
          </w:tcPr>
          <w:p>
            <w:pPr>
              <w:spacing w:after="0" w:line="259" w:lineRule="auto"/>
            </w:pPr>
            <w:r>
              <w:rPr>
                <w:rFonts w:ascii="Calibri" w:hAnsi="Calibri"/>
                <w:color w:val="202124"/>
                <w:sz w:val="18"/>
              </w:rPr>
              <w:t>Text and vectors in Neo4j</w:t>
            </w:r>
          </w:p>
        </w:tc>
        <w:tc>
          <w:tcPr>
            <w:tcW w:type="dxa" w:w="3580"/>
            <w:vAlign w:val="center"/>
            <w:tcMar>
              <w:top w:w="100" w:type="dxa"/>
              <w:start w:w="120" w:type="dxa"/>
              <w:bottom w:w="100" w:type="dxa"/>
              <w:end w:w="120" w:type="dxa"/>
            </w:tcMar>
          </w:tcPr>
          <w:p>
            <w:pPr>
              <w:spacing w:after="0" w:line="259" w:lineRule="auto"/>
            </w:pPr>
            <w:r>
              <w:rPr>
                <w:rFonts w:ascii="Calibri" w:hAnsi="Calibri"/>
                <w:color w:val="202124"/>
                <w:sz w:val="18"/>
              </w:rPr>
              <w:t>One physical store and direct traversal</w:t>
            </w:r>
          </w:p>
        </w:tc>
        <w:tc>
          <w:tcPr>
            <w:tcW w:type="dxa" w:w="3580"/>
            <w:vAlign w:val="center"/>
            <w:tcMar>
              <w:top w:w="100" w:type="dxa"/>
              <w:start w:w="120" w:type="dxa"/>
              <w:bottom w:w="100" w:type="dxa"/>
              <w:end w:w="120" w:type="dxa"/>
            </w:tcMar>
          </w:tcPr>
          <w:p>
            <w:pPr>
              <w:spacing w:after="0" w:line="259" w:lineRule="auto"/>
            </w:pPr>
            <w:r>
              <w:rPr>
                <w:rFonts w:ascii="Calibri" w:hAnsi="Calibri"/>
                <w:color w:val="202124"/>
                <w:sz w:val="18"/>
              </w:rPr>
              <w:t>Graph bloat, mixed workloads, and expensive re-embedding</w:t>
            </w:r>
          </w:p>
        </w:tc>
      </w:tr>
      <w:tr>
        <w:trPr/>
        <w:tc>
          <w:tcPr>
            <w:tcW w:type="dxa" w:w="2200"/>
            <w:vAlign w:val="center"/>
            <w:tcMar>
              <w:top w:w="100" w:type="dxa"/>
              <w:start w:w="120" w:type="dxa"/>
              <w:bottom w:w="100" w:type="dxa"/>
              <w:end w:w="120" w:type="dxa"/>
            </w:tcMar>
          </w:tcPr>
          <w:p>
            <w:pPr>
              <w:spacing w:after="0" w:line="259" w:lineRule="auto"/>
            </w:pPr>
            <w:r>
              <w:rPr>
                <w:rFonts w:ascii="Calibri" w:hAnsi="Calibri"/>
                <w:color w:val="202124"/>
                <w:sz w:val="18"/>
              </w:rPr>
              <w:t>Direct MENTIONS edges</w:t>
            </w:r>
          </w:p>
        </w:tc>
        <w:tc>
          <w:tcPr>
            <w:tcW w:type="dxa" w:w="3580"/>
            <w:vAlign w:val="center"/>
            <w:tcMar>
              <w:top w:w="100" w:type="dxa"/>
              <w:start w:w="120" w:type="dxa"/>
              <w:bottom w:w="100" w:type="dxa"/>
              <w:end w:w="120" w:type="dxa"/>
            </w:tcMar>
          </w:tcPr>
          <w:p>
            <w:pPr>
              <w:spacing w:after="0" w:line="259" w:lineRule="auto"/>
            </w:pPr>
            <w:r>
              <w:rPr>
                <w:rFonts w:ascii="Calibri" w:hAnsi="Calibri"/>
                <w:color w:val="202124"/>
                <w:sz w:val="18"/>
              </w:rPr>
              <w:t>Easy mention exploration</w:t>
            </w:r>
          </w:p>
        </w:tc>
        <w:tc>
          <w:tcPr>
            <w:tcW w:type="dxa" w:w="3580"/>
            <w:vAlign w:val="center"/>
            <w:tcMar>
              <w:top w:w="100" w:type="dxa"/>
              <w:start w:w="120" w:type="dxa"/>
              <w:bottom w:w="100" w:type="dxa"/>
              <w:end w:w="120" w:type="dxa"/>
            </w:tcMar>
          </w:tcPr>
          <w:p>
            <w:pPr>
              <w:spacing w:after="0" w:line="259" w:lineRule="auto"/>
            </w:pPr>
            <w:r>
              <w:rPr>
                <w:rFonts w:ascii="Calibri" w:hAnsi="Calibri"/>
                <w:color w:val="202124"/>
                <w:sz w:val="18"/>
              </w:rPr>
              <w:t>Dense, noisy edges; a mention does not prove a business fact</w:t>
            </w:r>
          </w:p>
        </w:tc>
      </w:tr>
      <w:tr>
        <w:trPr/>
        <w:tc>
          <w:tcPr>
            <w:tcW w:type="dxa" w:w="2200"/>
            <w:vAlign w:val="center"/>
            <w:tcMar>
              <w:top w:w="100" w:type="dxa"/>
              <w:start w:w="120" w:type="dxa"/>
              <w:bottom w:w="100" w:type="dxa"/>
              <w:end w:w="120" w:type="dxa"/>
            </w:tcMar>
          </w:tcPr>
          <w:p>
            <w:pPr>
              <w:spacing w:after="0" w:line="259" w:lineRule="auto"/>
            </w:pPr>
            <w:r>
              <w:rPr>
                <w:rFonts w:ascii="Calibri" w:hAnsi="Calibri"/>
                <w:color w:val="202124"/>
                <w:sz w:val="18"/>
              </w:rPr>
              <w:t>Thin Chunk + Assertion</w:t>
            </w:r>
          </w:p>
        </w:tc>
        <w:tc>
          <w:tcPr>
            <w:tcW w:type="dxa" w:w="3580"/>
            <w:vAlign w:val="center"/>
            <w:tcMar>
              <w:top w:w="100" w:type="dxa"/>
              <w:start w:w="120" w:type="dxa"/>
              <w:bottom w:w="100" w:type="dxa"/>
              <w:end w:w="120" w:type="dxa"/>
            </w:tcMar>
          </w:tcPr>
          <w:p>
            <w:pPr>
              <w:spacing w:after="0" w:line="259" w:lineRule="auto"/>
            </w:pPr>
            <w:r>
              <w:rPr>
                <w:rFonts w:ascii="Calibri" w:hAnsi="Calibri"/>
                <w:color w:val="202124"/>
                <w:sz w:val="18"/>
              </w:rPr>
              <w:t>Precise provenance, clean semantics, scalable vector search</w:t>
            </w:r>
          </w:p>
        </w:tc>
        <w:tc>
          <w:tcPr>
            <w:tcW w:type="dxa" w:w="3580"/>
            <w:vAlign w:val="center"/>
            <w:tcMar>
              <w:top w:w="100" w:type="dxa"/>
              <w:start w:w="120" w:type="dxa"/>
              <w:bottom w:w="100" w:type="dxa"/>
              <w:end w:w="120" w:type="dxa"/>
            </w:tcMar>
          </w:tcPr>
          <w:p>
            <w:pPr>
              <w:spacing w:after="0" w:line="259" w:lineRule="auto"/>
            </w:pPr>
            <w:r>
              <w:rPr>
                <w:rFonts w:ascii="Calibri" w:hAnsi="Calibri"/>
                <w:color w:val="202124"/>
                <w:sz w:val="18"/>
              </w:rPr>
              <w:t>Requires cross-store activation, compensation, and reconciliation</w:t>
            </w:r>
          </w:p>
        </w:tc>
      </w:tr>
    </w:tbl>
    <w:p>
      <w:pPr>
        <w:spacing w:after="40"/>
      </w:pPr>
    </w:p>
    <w:p>
      <w:pPr>
        <w:spacing w:before="120" w:after="200" w:line="269" w:lineRule="auto"/>
        <w:ind w:left="259" w:right="259"/>
        <w:shd w:fill="E8EEF5"/>
      </w:pPr>
      <w:r>
        <w:rPr>
          <w:rFonts w:ascii="Calibri" w:hAnsi="Calibri"/>
          <w:b/>
          <w:color w:val="17324D"/>
          <w:sz w:val="22"/>
        </w:rPr>
        <w:t xml:space="preserve">Recommended pattern: </w:t>
      </w:r>
      <w:r>
        <w:rPr>
          <w:rFonts w:ascii="Calibri" w:hAnsi="Calibri"/>
          <w:color w:val="202124"/>
          <w:sz w:val="22"/>
        </w:rPr>
        <w:t>Use thin Chunk nodes and governed Assertions in Neo4j, keep text and embeddings in Qdrant, and join them with the same deterministic chunk_id.</w:t>
      </w:r>
    </w:p>
    <w:p>
      <w:pPr>
        <w:pStyle w:val="Heading1"/>
      </w:pPr>
      <w:r>
        <w:t>2. Governed ontology</w:t>
      </w:r>
    </w:p>
    <w:p>
      <w:r>
        <w:t>The ontology is intentionally small. Artifact and operational nodes come from deterministic parsers and APIs. Document LLM extraction may create only Market, BusinessUnit, Control, and System entities.</w:t>
      </w:r>
    </w:p>
    <w:tbl>
      <w:tblPr>
        <w:tblStyle w:val="TableGrid"/>
        <w:tblW w:type="dxa" w:w="9360"/>
        <w:jc w:val="left"/>
        <w:tblLayout w:type="fixed"/>
        <w:tblLook w:firstColumn="1" w:firstRow="1" w:lastColumn="0" w:lastRow="0" w:noHBand="0" w:noVBand="1" w:val="04A0"/>
        <w:tblInd w:w="120" w:type="dxa"/>
      </w:tblPr>
      <w:tblGrid>
        <w:gridCol w:w="2300"/>
        <w:gridCol w:w="4060"/>
        <w:gridCol w:w="3000"/>
      </w:tblGrid>
      <w:tr>
        <w:trPr>
          <w:tblHeader w:val="true"/>
        </w:trPr>
        <w:tc>
          <w:tcPr>
            <w:tcW w:type="dxa" w:w="2300"/>
            <w:shd w:fill="E8EEF5"/>
            <w:vAlign w:val="center"/>
            <w:tcMar>
              <w:top w:w="100" w:type="dxa"/>
              <w:start w:w="120" w:type="dxa"/>
              <w:bottom w:w="100" w:type="dxa"/>
              <w:end w:w="120" w:type="dxa"/>
            </w:tcMar>
          </w:tcPr>
          <w:p>
            <w:pPr>
              <w:spacing w:after="0"/>
            </w:pPr>
            <w:r>
              <w:rPr>
                <w:rFonts w:ascii="Calibri" w:hAnsi="Calibri"/>
                <w:b/>
                <w:color w:val="17324D"/>
                <w:sz w:val="19"/>
              </w:rPr>
              <w:t>Source</w:t>
            </w:r>
          </w:p>
        </w:tc>
        <w:tc>
          <w:tcPr>
            <w:tcW w:type="dxa" w:w="4060"/>
            <w:shd w:fill="E8EEF5"/>
            <w:vAlign w:val="center"/>
            <w:tcMar>
              <w:top w:w="100" w:type="dxa"/>
              <w:start w:w="120" w:type="dxa"/>
              <w:bottom w:w="100" w:type="dxa"/>
              <w:end w:w="120" w:type="dxa"/>
            </w:tcMar>
          </w:tcPr>
          <w:p>
            <w:pPr>
              <w:spacing w:after="0"/>
            </w:pPr>
            <w:r>
              <w:rPr>
                <w:rFonts w:ascii="Calibri" w:hAnsi="Calibri"/>
                <w:b/>
                <w:color w:val="17324D"/>
                <w:sz w:val="19"/>
              </w:rPr>
              <w:t>Approved relationship</w:t>
            </w:r>
          </w:p>
        </w:tc>
        <w:tc>
          <w:tcPr>
            <w:tcW w:type="dxa" w:w="3000"/>
            <w:shd w:fill="E8EEF5"/>
            <w:vAlign w:val="center"/>
            <w:tcMar>
              <w:top w:w="100" w:type="dxa"/>
              <w:start w:w="120" w:type="dxa"/>
              <w:bottom w:w="100" w:type="dxa"/>
              <w:end w:w="120" w:type="dxa"/>
            </w:tcMar>
          </w:tcPr>
          <w:p>
            <w:pPr>
              <w:spacing w:after="0"/>
            </w:pPr>
            <w:r>
              <w:rPr>
                <w:rFonts w:ascii="Calibri" w:hAnsi="Calibri"/>
                <w:b/>
                <w:color w:val="17324D"/>
                <w:sz w:val="19"/>
              </w:rPr>
              <w:t>Target</w:t>
            </w:r>
          </w:p>
        </w:tc>
      </w:tr>
      <w:tr>
        <w:trPr/>
        <w:tc>
          <w:tcPr>
            <w:tcW w:type="dxa" w:w="2300"/>
            <w:vAlign w:val="center"/>
            <w:tcMar>
              <w:top w:w="100" w:type="dxa"/>
              <w:start w:w="120" w:type="dxa"/>
              <w:bottom w:w="100" w:type="dxa"/>
              <w:end w:w="120" w:type="dxa"/>
            </w:tcMar>
          </w:tcPr>
          <w:p>
            <w:pPr>
              <w:spacing w:after="0" w:line="259" w:lineRule="auto"/>
            </w:pPr>
            <w:r>
              <w:rPr>
                <w:rFonts w:ascii="Calibri" w:hAnsi="Calibri"/>
                <w:color w:val="202124"/>
                <w:sz w:val="18"/>
              </w:rPr>
              <w:t>Process</w:t>
            </w:r>
          </w:p>
        </w:tc>
        <w:tc>
          <w:tcPr>
            <w:tcW w:type="dxa" w:w="4060"/>
            <w:vAlign w:val="center"/>
            <w:tcMar>
              <w:top w:w="100" w:type="dxa"/>
              <w:start w:w="120" w:type="dxa"/>
              <w:bottom w:w="100" w:type="dxa"/>
              <w:end w:w="120" w:type="dxa"/>
            </w:tcMar>
          </w:tcPr>
          <w:p>
            <w:pPr>
              <w:spacing w:after="0" w:line="259" w:lineRule="auto"/>
            </w:pPr>
            <w:r>
              <w:rPr>
                <w:rFonts w:ascii="Calibri" w:hAnsi="Calibri"/>
                <w:color w:val="202124"/>
                <w:sz w:val="18"/>
              </w:rPr>
              <w:t>HAS_DOCUMENT</w:t>
            </w:r>
          </w:p>
        </w:tc>
        <w:tc>
          <w:tcPr>
            <w:tcW w:type="dxa" w:w="3000"/>
            <w:vAlign w:val="center"/>
            <w:tcMar>
              <w:top w:w="100" w:type="dxa"/>
              <w:start w:w="120" w:type="dxa"/>
              <w:bottom w:w="100" w:type="dxa"/>
              <w:end w:w="120" w:type="dxa"/>
            </w:tcMar>
          </w:tcPr>
          <w:p>
            <w:pPr>
              <w:spacing w:after="0" w:line="259" w:lineRule="auto"/>
            </w:pPr>
            <w:r>
              <w:rPr>
                <w:rFonts w:ascii="Calibri" w:hAnsi="Calibri"/>
                <w:color w:val="202124"/>
                <w:sz w:val="18"/>
              </w:rPr>
              <w:t>Document</w:t>
            </w:r>
          </w:p>
        </w:tc>
      </w:tr>
      <w:tr>
        <w:trPr/>
        <w:tc>
          <w:tcPr>
            <w:tcW w:type="dxa" w:w="2300"/>
            <w:vAlign w:val="center"/>
            <w:tcMar>
              <w:top w:w="100" w:type="dxa"/>
              <w:start w:w="120" w:type="dxa"/>
              <w:bottom w:w="100" w:type="dxa"/>
              <w:end w:w="120" w:type="dxa"/>
            </w:tcMar>
          </w:tcPr>
          <w:p>
            <w:pPr>
              <w:spacing w:after="0" w:line="259" w:lineRule="auto"/>
            </w:pPr>
            <w:r>
              <w:rPr>
                <w:rFonts w:ascii="Calibri" w:hAnsi="Calibri"/>
                <w:color w:val="202124"/>
                <w:sz w:val="18"/>
              </w:rPr>
              <w:t>Document</w:t>
            </w:r>
          </w:p>
        </w:tc>
        <w:tc>
          <w:tcPr>
            <w:tcW w:type="dxa" w:w="4060"/>
            <w:vAlign w:val="center"/>
            <w:tcMar>
              <w:top w:w="100" w:type="dxa"/>
              <w:start w:w="120" w:type="dxa"/>
              <w:bottom w:w="100" w:type="dxa"/>
              <w:end w:w="120" w:type="dxa"/>
            </w:tcMar>
          </w:tcPr>
          <w:p>
            <w:pPr>
              <w:spacing w:after="0" w:line="259" w:lineRule="auto"/>
            </w:pPr>
            <w:r>
              <w:rPr>
                <w:rFonts w:ascii="Calibri" w:hAnsi="Calibri"/>
                <w:color w:val="202124"/>
                <w:sz w:val="18"/>
              </w:rPr>
              <w:t>HAS_VERSION</w:t>
            </w:r>
          </w:p>
        </w:tc>
        <w:tc>
          <w:tcPr>
            <w:tcW w:type="dxa" w:w="3000"/>
            <w:vAlign w:val="center"/>
            <w:tcMar>
              <w:top w:w="100" w:type="dxa"/>
              <w:start w:w="120" w:type="dxa"/>
              <w:bottom w:w="100" w:type="dxa"/>
              <w:end w:w="120" w:type="dxa"/>
            </w:tcMar>
          </w:tcPr>
          <w:p>
            <w:pPr>
              <w:spacing w:after="0" w:line="259" w:lineRule="auto"/>
            </w:pPr>
            <w:r>
              <w:rPr>
                <w:rFonts w:ascii="Calibri" w:hAnsi="Calibri"/>
                <w:color w:val="202124"/>
                <w:sz w:val="18"/>
              </w:rPr>
              <w:t>DocumentVersion</w:t>
            </w:r>
          </w:p>
        </w:tc>
      </w:tr>
      <w:tr>
        <w:trPr/>
        <w:tc>
          <w:tcPr>
            <w:tcW w:type="dxa" w:w="2300"/>
            <w:vAlign w:val="center"/>
            <w:tcMar>
              <w:top w:w="100" w:type="dxa"/>
              <w:start w:w="120" w:type="dxa"/>
              <w:bottom w:w="100" w:type="dxa"/>
              <w:end w:w="120" w:type="dxa"/>
            </w:tcMar>
          </w:tcPr>
          <w:p>
            <w:pPr>
              <w:spacing w:after="0" w:line="259" w:lineRule="auto"/>
            </w:pPr>
            <w:r>
              <w:rPr>
                <w:rFonts w:ascii="Calibri" w:hAnsi="Calibri"/>
                <w:color w:val="202124"/>
                <w:sz w:val="18"/>
              </w:rPr>
              <w:t>DocumentVersion</w:t>
            </w:r>
          </w:p>
        </w:tc>
        <w:tc>
          <w:tcPr>
            <w:tcW w:type="dxa" w:w="4060"/>
            <w:vAlign w:val="center"/>
            <w:tcMar>
              <w:top w:w="100" w:type="dxa"/>
              <w:start w:w="120" w:type="dxa"/>
              <w:bottom w:w="100" w:type="dxa"/>
              <w:end w:w="120" w:type="dxa"/>
            </w:tcMar>
          </w:tcPr>
          <w:p>
            <w:pPr>
              <w:spacing w:after="0" w:line="259" w:lineRule="auto"/>
            </w:pPr>
            <w:r>
              <w:rPr>
                <w:rFonts w:ascii="Calibri" w:hAnsi="Calibri"/>
                <w:color w:val="202124"/>
                <w:sz w:val="18"/>
              </w:rPr>
              <w:t>HAS_CHUNK</w:t>
            </w:r>
          </w:p>
        </w:tc>
        <w:tc>
          <w:tcPr>
            <w:tcW w:type="dxa" w:w="3000"/>
            <w:vAlign w:val="center"/>
            <w:tcMar>
              <w:top w:w="100" w:type="dxa"/>
              <w:start w:w="120" w:type="dxa"/>
              <w:bottom w:w="100" w:type="dxa"/>
              <w:end w:w="120" w:type="dxa"/>
            </w:tcMar>
          </w:tcPr>
          <w:p>
            <w:pPr>
              <w:spacing w:after="0" w:line="259" w:lineRule="auto"/>
            </w:pPr>
            <w:r>
              <w:rPr>
                <w:rFonts w:ascii="Calibri" w:hAnsi="Calibri"/>
                <w:color w:val="202124"/>
                <w:sz w:val="18"/>
              </w:rPr>
              <w:t>Chunk</w:t>
            </w:r>
          </w:p>
        </w:tc>
      </w:tr>
      <w:tr>
        <w:trPr/>
        <w:tc>
          <w:tcPr>
            <w:tcW w:type="dxa" w:w="2300"/>
            <w:vAlign w:val="center"/>
            <w:tcMar>
              <w:top w:w="100" w:type="dxa"/>
              <w:start w:w="120" w:type="dxa"/>
              <w:bottom w:w="100" w:type="dxa"/>
              <w:end w:w="120" w:type="dxa"/>
            </w:tcMar>
          </w:tcPr>
          <w:p>
            <w:pPr>
              <w:spacing w:after="0" w:line="259" w:lineRule="auto"/>
            </w:pPr>
            <w:r>
              <w:rPr>
                <w:rFonts w:ascii="Calibri" w:hAnsi="Calibri"/>
                <w:color w:val="202124"/>
                <w:sz w:val="18"/>
              </w:rPr>
              <w:t>DocumentVersion</w:t>
            </w:r>
          </w:p>
        </w:tc>
        <w:tc>
          <w:tcPr>
            <w:tcW w:type="dxa" w:w="4060"/>
            <w:vAlign w:val="center"/>
            <w:tcMar>
              <w:top w:w="100" w:type="dxa"/>
              <w:start w:w="120" w:type="dxa"/>
              <w:bottom w:w="100" w:type="dxa"/>
              <w:end w:w="120" w:type="dxa"/>
            </w:tcMar>
          </w:tcPr>
          <w:p>
            <w:pPr>
              <w:spacing w:after="0" w:line="259" w:lineRule="auto"/>
            </w:pPr>
            <w:r>
              <w:rPr>
                <w:rFonts w:ascii="Calibri" w:hAnsi="Calibri"/>
                <w:color w:val="202124"/>
                <w:sz w:val="18"/>
              </w:rPr>
              <w:t>HAS_ASSERTION</w:t>
            </w:r>
          </w:p>
        </w:tc>
        <w:tc>
          <w:tcPr>
            <w:tcW w:type="dxa" w:w="3000"/>
            <w:vAlign w:val="center"/>
            <w:tcMar>
              <w:top w:w="100" w:type="dxa"/>
              <w:start w:w="120" w:type="dxa"/>
              <w:bottom w:w="100" w:type="dxa"/>
              <w:end w:w="120" w:type="dxa"/>
            </w:tcMar>
          </w:tcPr>
          <w:p>
            <w:pPr>
              <w:spacing w:after="0" w:line="259" w:lineRule="auto"/>
            </w:pPr>
            <w:r>
              <w:rPr>
                <w:rFonts w:ascii="Calibri" w:hAnsi="Calibri"/>
                <w:color w:val="202124"/>
                <w:sz w:val="18"/>
              </w:rPr>
              <w:t>Assertion</w:t>
            </w:r>
          </w:p>
        </w:tc>
      </w:tr>
      <w:tr>
        <w:trPr/>
        <w:tc>
          <w:tcPr>
            <w:tcW w:type="dxa" w:w="2300"/>
            <w:vAlign w:val="center"/>
            <w:tcMar>
              <w:top w:w="100" w:type="dxa"/>
              <w:start w:w="120" w:type="dxa"/>
              <w:bottom w:w="100" w:type="dxa"/>
              <w:end w:w="120" w:type="dxa"/>
            </w:tcMar>
          </w:tcPr>
          <w:p>
            <w:pPr>
              <w:spacing w:after="0" w:line="259" w:lineRule="auto"/>
            </w:pPr>
            <w:r>
              <w:rPr>
                <w:rFonts w:ascii="Calibri" w:hAnsi="Calibri"/>
                <w:color w:val="202124"/>
                <w:sz w:val="18"/>
              </w:rPr>
              <w:t>Chunk</w:t>
            </w:r>
          </w:p>
        </w:tc>
        <w:tc>
          <w:tcPr>
            <w:tcW w:type="dxa" w:w="4060"/>
            <w:vAlign w:val="center"/>
            <w:tcMar>
              <w:top w:w="100" w:type="dxa"/>
              <w:start w:w="120" w:type="dxa"/>
              <w:bottom w:w="100" w:type="dxa"/>
              <w:end w:w="120" w:type="dxa"/>
            </w:tcMar>
          </w:tcPr>
          <w:p>
            <w:pPr>
              <w:spacing w:after="0" w:line="259" w:lineRule="auto"/>
            </w:pPr>
            <w:r>
              <w:rPr>
                <w:rFonts w:ascii="Calibri" w:hAnsi="Calibri"/>
                <w:color w:val="202124"/>
                <w:sz w:val="18"/>
              </w:rPr>
              <w:t>SUPPORTS</w:t>
            </w:r>
          </w:p>
        </w:tc>
        <w:tc>
          <w:tcPr>
            <w:tcW w:type="dxa" w:w="3000"/>
            <w:vAlign w:val="center"/>
            <w:tcMar>
              <w:top w:w="100" w:type="dxa"/>
              <w:start w:w="120" w:type="dxa"/>
              <w:bottom w:w="100" w:type="dxa"/>
              <w:end w:w="120" w:type="dxa"/>
            </w:tcMar>
          </w:tcPr>
          <w:p>
            <w:pPr>
              <w:spacing w:after="0" w:line="259" w:lineRule="auto"/>
            </w:pPr>
            <w:r>
              <w:rPr>
                <w:rFonts w:ascii="Calibri" w:hAnsi="Calibri"/>
                <w:color w:val="202124"/>
                <w:sz w:val="18"/>
              </w:rPr>
              <w:t>Assertion</w:t>
            </w:r>
          </w:p>
        </w:tc>
      </w:tr>
      <w:tr>
        <w:trPr/>
        <w:tc>
          <w:tcPr>
            <w:tcW w:type="dxa" w:w="2300"/>
            <w:vAlign w:val="center"/>
            <w:tcMar>
              <w:top w:w="100" w:type="dxa"/>
              <w:start w:w="120" w:type="dxa"/>
              <w:bottom w:w="100" w:type="dxa"/>
              <w:end w:w="120" w:type="dxa"/>
            </w:tcMar>
          </w:tcPr>
          <w:p>
            <w:pPr>
              <w:spacing w:after="0" w:line="259" w:lineRule="auto"/>
            </w:pPr>
            <w:r>
              <w:rPr>
                <w:rFonts w:ascii="Calibri" w:hAnsi="Calibri"/>
                <w:color w:val="202124"/>
                <w:sz w:val="18"/>
              </w:rPr>
              <w:t>Assertion</w:t>
            </w:r>
          </w:p>
        </w:tc>
        <w:tc>
          <w:tcPr>
            <w:tcW w:type="dxa" w:w="4060"/>
            <w:vAlign w:val="center"/>
            <w:tcMar>
              <w:top w:w="100" w:type="dxa"/>
              <w:start w:w="120" w:type="dxa"/>
              <w:bottom w:w="100" w:type="dxa"/>
              <w:end w:w="120" w:type="dxa"/>
            </w:tcMar>
          </w:tcPr>
          <w:p>
            <w:pPr>
              <w:spacing w:after="0" w:line="259" w:lineRule="auto"/>
            </w:pPr>
            <w:r>
              <w:rPr>
                <w:rFonts w:ascii="Calibri" w:hAnsi="Calibri"/>
                <w:color w:val="202124"/>
                <w:sz w:val="18"/>
              </w:rPr>
              <w:t>SUBJECT</w:t>
            </w:r>
          </w:p>
        </w:tc>
        <w:tc>
          <w:tcPr>
            <w:tcW w:type="dxa" w:w="3000"/>
            <w:vAlign w:val="center"/>
            <w:tcMar>
              <w:top w:w="100" w:type="dxa"/>
              <w:start w:w="120" w:type="dxa"/>
              <w:bottom w:w="100" w:type="dxa"/>
              <w:end w:w="120" w:type="dxa"/>
            </w:tcMar>
          </w:tcPr>
          <w:p>
            <w:pPr>
              <w:spacing w:after="0" w:line="259" w:lineRule="auto"/>
            </w:pPr>
            <w:r>
              <w:rPr>
                <w:rFonts w:ascii="Calibri" w:hAnsi="Calibri"/>
                <w:color w:val="202124"/>
                <w:sz w:val="18"/>
              </w:rPr>
              <w:t>Process</w:t>
            </w:r>
          </w:p>
        </w:tc>
      </w:tr>
      <w:tr>
        <w:trPr/>
        <w:tc>
          <w:tcPr>
            <w:tcW w:type="dxa" w:w="2300"/>
            <w:vAlign w:val="center"/>
            <w:tcMar>
              <w:top w:w="100" w:type="dxa"/>
              <w:start w:w="120" w:type="dxa"/>
              <w:bottom w:w="100" w:type="dxa"/>
              <w:end w:w="120" w:type="dxa"/>
            </w:tcMar>
          </w:tcPr>
          <w:p>
            <w:pPr>
              <w:spacing w:after="0" w:line="259" w:lineRule="auto"/>
            </w:pPr>
            <w:r>
              <w:rPr>
                <w:rFonts w:ascii="Calibri" w:hAnsi="Calibri"/>
                <w:color w:val="202124"/>
                <w:sz w:val="18"/>
              </w:rPr>
              <w:t>Assertion</w:t>
            </w:r>
          </w:p>
        </w:tc>
        <w:tc>
          <w:tcPr>
            <w:tcW w:type="dxa" w:w="4060"/>
            <w:vAlign w:val="center"/>
            <w:tcMar>
              <w:top w:w="100" w:type="dxa"/>
              <w:start w:w="120" w:type="dxa"/>
              <w:bottom w:w="100" w:type="dxa"/>
              <w:end w:w="120" w:type="dxa"/>
            </w:tcMar>
          </w:tcPr>
          <w:p>
            <w:pPr>
              <w:spacing w:after="0" w:line="259" w:lineRule="auto"/>
            </w:pPr>
            <w:r>
              <w:rPr>
                <w:rFonts w:ascii="Calibri" w:hAnsi="Calibri"/>
                <w:color w:val="202124"/>
                <w:sz w:val="18"/>
              </w:rPr>
              <w:t>OBJECT</w:t>
            </w:r>
          </w:p>
        </w:tc>
        <w:tc>
          <w:tcPr>
            <w:tcW w:type="dxa" w:w="3000"/>
            <w:vAlign w:val="center"/>
            <w:tcMar>
              <w:top w:w="100" w:type="dxa"/>
              <w:start w:w="120" w:type="dxa"/>
              <w:bottom w:w="100" w:type="dxa"/>
              <w:end w:w="120" w:type="dxa"/>
            </w:tcMar>
          </w:tcPr>
          <w:p>
            <w:pPr>
              <w:spacing w:after="0" w:line="259" w:lineRule="auto"/>
            </w:pPr>
            <w:r>
              <w:rPr>
                <w:rFonts w:ascii="Calibri" w:hAnsi="Calibri"/>
                <w:color w:val="202124"/>
                <w:sz w:val="18"/>
              </w:rPr>
              <w:t>Market / BU / Control / System</w:t>
            </w:r>
          </w:p>
        </w:tc>
      </w:tr>
      <w:tr>
        <w:trPr/>
        <w:tc>
          <w:tcPr>
            <w:tcW w:type="dxa" w:w="2300"/>
            <w:vAlign w:val="center"/>
            <w:tcMar>
              <w:top w:w="100" w:type="dxa"/>
              <w:start w:w="120" w:type="dxa"/>
              <w:bottom w:w="100" w:type="dxa"/>
              <w:end w:w="120" w:type="dxa"/>
            </w:tcMar>
          </w:tcPr>
          <w:p>
            <w:pPr>
              <w:spacing w:after="0" w:line="259" w:lineRule="auto"/>
            </w:pPr>
            <w:r>
              <w:rPr>
                <w:rFonts w:ascii="Calibri" w:hAnsi="Calibri"/>
                <w:color w:val="202124"/>
                <w:sz w:val="18"/>
              </w:rPr>
              <w:t>DocumentVersion</w:t>
            </w:r>
          </w:p>
        </w:tc>
        <w:tc>
          <w:tcPr>
            <w:tcW w:type="dxa" w:w="4060"/>
            <w:vAlign w:val="center"/>
            <w:tcMar>
              <w:top w:w="100" w:type="dxa"/>
              <w:start w:w="120" w:type="dxa"/>
              <w:bottom w:w="100" w:type="dxa"/>
              <w:end w:w="120" w:type="dxa"/>
            </w:tcMar>
          </w:tcPr>
          <w:p>
            <w:pPr>
              <w:spacing w:after="0" w:line="259" w:lineRule="auto"/>
            </w:pPr>
            <w:r>
              <w:rPr>
                <w:rFonts w:ascii="Calibri" w:hAnsi="Calibri"/>
                <w:color w:val="202124"/>
                <w:sz w:val="18"/>
              </w:rPr>
              <w:t>REPRESENTED_BY</w:t>
            </w:r>
          </w:p>
        </w:tc>
        <w:tc>
          <w:tcPr>
            <w:tcW w:type="dxa" w:w="3000"/>
            <w:vAlign w:val="center"/>
            <w:tcMar>
              <w:top w:w="100" w:type="dxa"/>
              <w:start w:w="120" w:type="dxa"/>
              <w:bottom w:w="100" w:type="dxa"/>
              <w:end w:w="120" w:type="dxa"/>
            </w:tcMar>
          </w:tcPr>
          <w:p>
            <w:pPr>
              <w:spacing w:after="0" w:line="259" w:lineRule="auto"/>
            </w:pPr>
            <w:r>
              <w:rPr>
                <w:rFonts w:ascii="Calibri" w:hAnsi="Calibri"/>
                <w:color w:val="202124"/>
                <w:sz w:val="18"/>
              </w:rPr>
              <w:t>BPMNModel</w:t>
            </w:r>
          </w:p>
        </w:tc>
      </w:tr>
      <w:tr>
        <w:trPr/>
        <w:tc>
          <w:tcPr>
            <w:tcW w:type="dxa" w:w="2300"/>
            <w:vAlign w:val="center"/>
            <w:tcMar>
              <w:top w:w="100" w:type="dxa"/>
              <w:start w:w="120" w:type="dxa"/>
              <w:bottom w:w="100" w:type="dxa"/>
              <w:end w:w="120" w:type="dxa"/>
            </w:tcMar>
          </w:tcPr>
          <w:p>
            <w:pPr>
              <w:spacing w:after="0" w:line="259" w:lineRule="auto"/>
            </w:pPr>
            <w:r>
              <w:rPr>
                <w:rFonts w:ascii="Calibri" w:hAnsi="Calibri"/>
                <w:color w:val="202124"/>
                <w:sz w:val="18"/>
              </w:rPr>
              <w:t>Process</w:t>
            </w:r>
          </w:p>
        </w:tc>
        <w:tc>
          <w:tcPr>
            <w:tcW w:type="dxa" w:w="4060"/>
            <w:vAlign w:val="center"/>
            <w:tcMar>
              <w:top w:w="100" w:type="dxa"/>
              <w:start w:w="120" w:type="dxa"/>
              <w:bottom w:w="100" w:type="dxa"/>
              <w:end w:w="120" w:type="dxa"/>
            </w:tcMar>
          </w:tcPr>
          <w:p>
            <w:pPr>
              <w:spacing w:after="0" w:line="259" w:lineRule="auto"/>
            </w:pPr>
            <w:r>
              <w:rPr>
                <w:rFonts w:ascii="Calibri" w:hAnsi="Calibri"/>
                <w:color w:val="202124"/>
                <w:sz w:val="18"/>
              </w:rPr>
              <w:t>MODELED_BY</w:t>
            </w:r>
          </w:p>
        </w:tc>
        <w:tc>
          <w:tcPr>
            <w:tcW w:type="dxa" w:w="3000"/>
            <w:vAlign w:val="center"/>
            <w:tcMar>
              <w:top w:w="100" w:type="dxa"/>
              <w:start w:w="120" w:type="dxa"/>
              <w:bottom w:w="100" w:type="dxa"/>
              <w:end w:w="120" w:type="dxa"/>
            </w:tcMar>
          </w:tcPr>
          <w:p>
            <w:pPr>
              <w:spacing w:after="0" w:line="259" w:lineRule="auto"/>
            </w:pPr>
            <w:r>
              <w:rPr>
                <w:rFonts w:ascii="Calibri" w:hAnsi="Calibri"/>
                <w:color w:val="202124"/>
                <w:sz w:val="18"/>
              </w:rPr>
              <w:t>BPMNModel</w:t>
            </w:r>
          </w:p>
        </w:tc>
      </w:tr>
      <w:tr>
        <w:trPr/>
        <w:tc>
          <w:tcPr>
            <w:tcW w:type="dxa" w:w="2300"/>
            <w:vAlign w:val="center"/>
            <w:tcMar>
              <w:top w:w="100" w:type="dxa"/>
              <w:start w:w="120" w:type="dxa"/>
              <w:bottom w:w="100" w:type="dxa"/>
              <w:end w:w="120" w:type="dxa"/>
            </w:tcMar>
          </w:tcPr>
          <w:p>
            <w:pPr>
              <w:spacing w:after="0" w:line="259" w:lineRule="auto"/>
            </w:pPr>
            <w:r>
              <w:rPr>
                <w:rFonts w:ascii="Calibri" w:hAnsi="Calibri"/>
                <w:color w:val="202124"/>
                <w:sz w:val="18"/>
              </w:rPr>
              <w:t>BPMNModel</w:t>
            </w:r>
          </w:p>
        </w:tc>
        <w:tc>
          <w:tcPr>
            <w:tcW w:type="dxa" w:w="4060"/>
            <w:vAlign w:val="center"/>
            <w:tcMar>
              <w:top w:w="100" w:type="dxa"/>
              <w:start w:w="120" w:type="dxa"/>
              <w:bottom w:w="100" w:type="dxa"/>
              <w:end w:w="120" w:type="dxa"/>
            </w:tcMar>
          </w:tcPr>
          <w:p>
            <w:pPr>
              <w:spacing w:after="0" w:line="259" w:lineRule="auto"/>
            </w:pPr>
            <w:r>
              <w:rPr>
                <w:rFonts w:ascii="Calibri" w:hAnsi="Calibri"/>
                <w:color w:val="202124"/>
                <w:sz w:val="18"/>
              </w:rPr>
              <w:t>DEFINES_ACTIVITY</w:t>
            </w:r>
          </w:p>
        </w:tc>
        <w:tc>
          <w:tcPr>
            <w:tcW w:type="dxa" w:w="3000"/>
            <w:vAlign w:val="center"/>
            <w:tcMar>
              <w:top w:w="100" w:type="dxa"/>
              <w:start w:w="120" w:type="dxa"/>
              <w:bottom w:w="100" w:type="dxa"/>
              <w:end w:w="120" w:type="dxa"/>
            </w:tcMar>
          </w:tcPr>
          <w:p>
            <w:pPr>
              <w:spacing w:after="0" w:line="259" w:lineRule="auto"/>
            </w:pPr>
            <w:r>
              <w:rPr>
                <w:rFonts w:ascii="Calibri" w:hAnsi="Calibri"/>
                <w:color w:val="202124"/>
                <w:sz w:val="18"/>
              </w:rPr>
              <w:t>Activity</w:t>
            </w:r>
          </w:p>
        </w:tc>
      </w:tr>
      <w:tr>
        <w:trPr/>
        <w:tc>
          <w:tcPr>
            <w:tcW w:type="dxa" w:w="2300"/>
            <w:vAlign w:val="center"/>
            <w:tcMar>
              <w:top w:w="100" w:type="dxa"/>
              <w:start w:w="120" w:type="dxa"/>
              <w:bottom w:w="100" w:type="dxa"/>
              <w:end w:w="120" w:type="dxa"/>
            </w:tcMar>
          </w:tcPr>
          <w:p>
            <w:pPr>
              <w:spacing w:after="0" w:line="259" w:lineRule="auto"/>
            </w:pPr>
            <w:r>
              <w:rPr>
                <w:rFonts w:ascii="Calibri" w:hAnsi="Calibri"/>
                <w:color w:val="202124"/>
                <w:sz w:val="18"/>
              </w:rPr>
              <w:t>Activity</w:t>
            </w:r>
          </w:p>
        </w:tc>
        <w:tc>
          <w:tcPr>
            <w:tcW w:type="dxa" w:w="4060"/>
            <w:vAlign w:val="center"/>
            <w:tcMar>
              <w:top w:w="100" w:type="dxa"/>
              <w:start w:w="120" w:type="dxa"/>
              <w:bottom w:w="100" w:type="dxa"/>
              <w:end w:w="120" w:type="dxa"/>
            </w:tcMar>
          </w:tcPr>
          <w:p>
            <w:pPr>
              <w:spacing w:after="0" w:line="259" w:lineRule="auto"/>
            </w:pPr>
            <w:r>
              <w:rPr>
                <w:rFonts w:ascii="Calibri" w:hAnsi="Calibri"/>
                <w:color w:val="202124"/>
                <w:sz w:val="18"/>
              </w:rPr>
              <w:t>NEXT_ACTIVITY</w:t>
            </w:r>
          </w:p>
        </w:tc>
        <w:tc>
          <w:tcPr>
            <w:tcW w:type="dxa" w:w="3000"/>
            <w:vAlign w:val="center"/>
            <w:tcMar>
              <w:top w:w="100" w:type="dxa"/>
              <w:start w:w="120" w:type="dxa"/>
              <w:bottom w:w="100" w:type="dxa"/>
              <w:end w:w="120" w:type="dxa"/>
            </w:tcMar>
          </w:tcPr>
          <w:p>
            <w:pPr>
              <w:spacing w:after="0" w:line="259" w:lineRule="auto"/>
            </w:pPr>
            <w:r>
              <w:rPr>
                <w:rFonts w:ascii="Calibri" w:hAnsi="Calibri"/>
                <w:color w:val="202124"/>
                <w:sz w:val="18"/>
              </w:rPr>
              <w:t>Activity</w:t>
            </w:r>
          </w:p>
        </w:tc>
      </w:tr>
      <w:tr>
        <w:trPr/>
        <w:tc>
          <w:tcPr>
            <w:tcW w:type="dxa" w:w="2300"/>
            <w:vAlign w:val="center"/>
            <w:tcMar>
              <w:top w:w="100" w:type="dxa"/>
              <w:start w:w="120" w:type="dxa"/>
              <w:bottom w:w="100" w:type="dxa"/>
              <w:end w:w="120" w:type="dxa"/>
            </w:tcMar>
          </w:tcPr>
          <w:p>
            <w:pPr>
              <w:spacing w:after="0" w:line="259" w:lineRule="auto"/>
            </w:pPr>
            <w:r>
              <w:rPr>
                <w:rFonts w:ascii="Calibri" w:hAnsi="Calibri"/>
                <w:color w:val="202124"/>
                <w:sz w:val="18"/>
              </w:rPr>
              <w:t>Process</w:t>
            </w:r>
          </w:p>
        </w:tc>
        <w:tc>
          <w:tcPr>
            <w:tcW w:type="dxa" w:w="4060"/>
            <w:vAlign w:val="center"/>
            <w:tcMar>
              <w:top w:w="100" w:type="dxa"/>
              <w:start w:w="120" w:type="dxa"/>
              <w:bottom w:w="100" w:type="dxa"/>
              <w:end w:w="120" w:type="dxa"/>
            </w:tcMar>
          </w:tcPr>
          <w:p>
            <w:pPr>
              <w:spacing w:after="0" w:line="259" w:lineRule="auto"/>
            </w:pPr>
            <w:r>
              <w:rPr>
                <w:rFonts w:ascii="Calibri" w:hAnsi="Calibri"/>
                <w:color w:val="202124"/>
                <w:sz w:val="18"/>
              </w:rPr>
              <w:t>HAS_JOURNEY</w:t>
            </w:r>
          </w:p>
        </w:tc>
        <w:tc>
          <w:tcPr>
            <w:tcW w:type="dxa" w:w="3000"/>
            <w:vAlign w:val="center"/>
            <w:tcMar>
              <w:top w:w="100" w:type="dxa"/>
              <w:start w:w="120" w:type="dxa"/>
              <w:bottom w:w="100" w:type="dxa"/>
              <w:end w:w="120" w:type="dxa"/>
            </w:tcMar>
          </w:tcPr>
          <w:p>
            <w:pPr>
              <w:spacing w:after="0" w:line="259" w:lineRule="auto"/>
            </w:pPr>
            <w:r>
              <w:rPr>
                <w:rFonts w:ascii="Calibri" w:hAnsi="Calibri"/>
                <w:color w:val="202124"/>
                <w:sz w:val="18"/>
              </w:rPr>
              <w:t>Journey</w:t>
            </w:r>
          </w:p>
        </w:tc>
      </w:tr>
      <w:tr>
        <w:trPr/>
        <w:tc>
          <w:tcPr>
            <w:tcW w:type="dxa" w:w="2300"/>
            <w:vAlign w:val="center"/>
            <w:tcMar>
              <w:top w:w="100" w:type="dxa"/>
              <w:start w:w="120" w:type="dxa"/>
              <w:bottom w:w="100" w:type="dxa"/>
              <w:end w:w="120" w:type="dxa"/>
            </w:tcMar>
          </w:tcPr>
          <w:p>
            <w:pPr>
              <w:spacing w:after="0" w:line="259" w:lineRule="auto"/>
            </w:pPr>
            <w:r>
              <w:rPr>
                <w:rFonts w:ascii="Calibri" w:hAnsi="Calibri"/>
                <w:color w:val="202124"/>
                <w:sz w:val="18"/>
              </w:rPr>
              <w:t>Process</w:t>
            </w:r>
          </w:p>
        </w:tc>
        <w:tc>
          <w:tcPr>
            <w:tcW w:type="dxa" w:w="4060"/>
            <w:vAlign w:val="center"/>
            <w:tcMar>
              <w:top w:w="100" w:type="dxa"/>
              <w:start w:w="120" w:type="dxa"/>
              <w:bottom w:w="100" w:type="dxa"/>
              <w:end w:w="120" w:type="dxa"/>
            </w:tcMar>
          </w:tcPr>
          <w:p>
            <w:pPr>
              <w:spacing w:after="0" w:line="259" w:lineRule="auto"/>
            </w:pPr>
            <w:r>
              <w:rPr>
                <w:rFonts w:ascii="Calibri" w:hAnsi="Calibri"/>
                <w:color w:val="202124"/>
                <w:sz w:val="18"/>
              </w:rPr>
              <w:t>HAS_VARIANT</w:t>
            </w:r>
          </w:p>
        </w:tc>
        <w:tc>
          <w:tcPr>
            <w:tcW w:type="dxa" w:w="3000"/>
            <w:vAlign w:val="center"/>
            <w:tcMar>
              <w:top w:w="100" w:type="dxa"/>
              <w:start w:w="120" w:type="dxa"/>
              <w:bottom w:w="100" w:type="dxa"/>
              <w:end w:w="120" w:type="dxa"/>
            </w:tcMar>
          </w:tcPr>
          <w:p>
            <w:pPr>
              <w:spacing w:after="0" w:line="259" w:lineRule="auto"/>
            </w:pPr>
            <w:r>
              <w:rPr>
                <w:rFonts w:ascii="Calibri" w:hAnsi="Calibri"/>
                <w:color w:val="202124"/>
                <w:sz w:val="18"/>
              </w:rPr>
              <w:t>Variant</w:t>
            </w:r>
          </w:p>
        </w:tc>
      </w:tr>
      <w:tr>
        <w:trPr/>
        <w:tc>
          <w:tcPr>
            <w:tcW w:type="dxa" w:w="2300"/>
            <w:vAlign w:val="center"/>
            <w:tcMar>
              <w:top w:w="100" w:type="dxa"/>
              <w:start w:w="120" w:type="dxa"/>
              <w:bottom w:w="100" w:type="dxa"/>
              <w:end w:w="120" w:type="dxa"/>
            </w:tcMar>
          </w:tcPr>
          <w:p>
            <w:pPr>
              <w:spacing w:after="0" w:line="259" w:lineRule="auto"/>
            </w:pPr>
            <w:r>
              <w:rPr>
                <w:rFonts w:ascii="Calibri" w:hAnsi="Calibri"/>
                <w:color w:val="202124"/>
                <w:sz w:val="18"/>
              </w:rPr>
              <w:t>Journey</w:t>
            </w:r>
          </w:p>
        </w:tc>
        <w:tc>
          <w:tcPr>
            <w:tcW w:type="dxa" w:w="4060"/>
            <w:vAlign w:val="center"/>
            <w:tcMar>
              <w:top w:w="100" w:type="dxa"/>
              <w:start w:w="120" w:type="dxa"/>
              <w:bottom w:w="100" w:type="dxa"/>
              <w:end w:w="120" w:type="dxa"/>
            </w:tcMar>
          </w:tcPr>
          <w:p>
            <w:pPr>
              <w:spacing w:after="0" w:line="259" w:lineRule="auto"/>
            </w:pPr>
            <w:r>
              <w:rPr>
                <w:rFonts w:ascii="Calibri" w:hAnsi="Calibri"/>
                <w:color w:val="202124"/>
                <w:sz w:val="18"/>
              </w:rPr>
              <w:t>FOLLOWS_VARIANT</w:t>
            </w:r>
          </w:p>
        </w:tc>
        <w:tc>
          <w:tcPr>
            <w:tcW w:type="dxa" w:w="3000"/>
            <w:vAlign w:val="center"/>
            <w:tcMar>
              <w:top w:w="100" w:type="dxa"/>
              <w:start w:w="120" w:type="dxa"/>
              <w:bottom w:w="100" w:type="dxa"/>
              <w:end w:w="120" w:type="dxa"/>
            </w:tcMar>
          </w:tcPr>
          <w:p>
            <w:pPr>
              <w:spacing w:after="0" w:line="259" w:lineRule="auto"/>
            </w:pPr>
            <w:r>
              <w:rPr>
                <w:rFonts w:ascii="Calibri" w:hAnsi="Calibri"/>
                <w:color w:val="202124"/>
                <w:sz w:val="18"/>
              </w:rPr>
              <w:t>Variant</w:t>
            </w:r>
          </w:p>
        </w:tc>
      </w:tr>
      <w:tr>
        <w:trPr/>
        <w:tc>
          <w:tcPr>
            <w:tcW w:type="dxa" w:w="2300"/>
            <w:vAlign w:val="center"/>
            <w:tcMar>
              <w:top w:w="100" w:type="dxa"/>
              <w:start w:w="120" w:type="dxa"/>
              <w:bottom w:w="100" w:type="dxa"/>
              <w:end w:w="120" w:type="dxa"/>
            </w:tcMar>
          </w:tcPr>
          <w:p>
            <w:pPr>
              <w:spacing w:after="0" w:line="259" w:lineRule="auto"/>
            </w:pPr>
            <w:r>
              <w:rPr>
                <w:rFonts w:ascii="Calibri" w:hAnsi="Calibri"/>
                <w:color w:val="202124"/>
                <w:sz w:val="18"/>
              </w:rPr>
              <w:t>Process</w:t>
            </w:r>
          </w:p>
        </w:tc>
        <w:tc>
          <w:tcPr>
            <w:tcW w:type="dxa" w:w="4060"/>
            <w:vAlign w:val="center"/>
            <w:tcMar>
              <w:top w:w="100" w:type="dxa"/>
              <w:start w:w="120" w:type="dxa"/>
              <w:bottom w:w="100" w:type="dxa"/>
              <w:end w:w="120" w:type="dxa"/>
            </w:tcMar>
          </w:tcPr>
          <w:p>
            <w:pPr>
              <w:spacing w:after="0" w:line="259" w:lineRule="auto"/>
            </w:pPr>
            <w:r>
              <w:rPr>
                <w:rFonts w:ascii="Calibri" w:hAnsi="Calibri"/>
                <w:color w:val="202124"/>
                <w:sz w:val="18"/>
              </w:rPr>
              <w:t>OPERATES_IN</w:t>
            </w:r>
          </w:p>
        </w:tc>
        <w:tc>
          <w:tcPr>
            <w:tcW w:type="dxa" w:w="3000"/>
            <w:vAlign w:val="center"/>
            <w:tcMar>
              <w:top w:w="100" w:type="dxa"/>
              <w:start w:w="120" w:type="dxa"/>
              <w:bottom w:w="100" w:type="dxa"/>
              <w:end w:w="120" w:type="dxa"/>
            </w:tcMar>
          </w:tcPr>
          <w:p>
            <w:pPr>
              <w:spacing w:after="0" w:line="259" w:lineRule="auto"/>
            </w:pPr>
            <w:r>
              <w:rPr>
                <w:rFonts w:ascii="Calibri" w:hAnsi="Calibri"/>
                <w:color w:val="202124"/>
                <w:sz w:val="18"/>
              </w:rPr>
              <w:t>Market</w:t>
            </w:r>
          </w:p>
        </w:tc>
      </w:tr>
      <w:tr>
        <w:trPr/>
        <w:tc>
          <w:tcPr>
            <w:tcW w:type="dxa" w:w="2300"/>
            <w:vAlign w:val="center"/>
            <w:tcMar>
              <w:top w:w="100" w:type="dxa"/>
              <w:start w:w="120" w:type="dxa"/>
              <w:bottom w:w="100" w:type="dxa"/>
              <w:end w:w="120" w:type="dxa"/>
            </w:tcMar>
          </w:tcPr>
          <w:p>
            <w:pPr>
              <w:spacing w:after="0" w:line="259" w:lineRule="auto"/>
            </w:pPr>
            <w:r>
              <w:rPr>
                <w:rFonts w:ascii="Calibri" w:hAnsi="Calibri"/>
                <w:color w:val="202124"/>
                <w:sz w:val="18"/>
              </w:rPr>
              <w:t>Process</w:t>
            </w:r>
          </w:p>
        </w:tc>
        <w:tc>
          <w:tcPr>
            <w:tcW w:type="dxa" w:w="4060"/>
            <w:vAlign w:val="center"/>
            <w:tcMar>
              <w:top w:w="100" w:type="dxa"/>
              <w:start w:w="120" w:type="dxa"/>
              <w:bottom w:w="100" w:type="dxa"/>
              <w:end w:w="120" w:type="dxa"/>
            </w:tcMar>
          </w:tcPr>
          <w:p>
            <w:pPr>
              <w:spacing w:after="0" w:line="259" w:lineRule="auto"/>
            </w:pPr>
            <w:r>
              <w:rPr>
                <w:rFonts w:ascii="Calibri" w:hAnsi="Calibri"/>
                <w:color w:val="202124"/>
                <w:sz w:val="18"/>
              </w:rPr>
              <w:t>OWNED_BY</w:t>
            </w:r>
          </w:p>
        </w:tc>
        <w:tc>
          <w:tcPr>
            <w:tcW w:type="dxa" w:w="3000"/>
            <w:vAlign w:val="center"/>
            <w:tcMar>
              <w:top w:w="100" w:type="dxa"/>
              <w:start w:w="120" w:type="dxa"/>
              <w:bottom w:w="100" w:type="dxa"/>
              <w:end w:w="120" w:type="dxa"/>
            </w:tcMar>
          </w:tcPr>
          <w:p>
            <w:pPr>
              <w:spacing w:after="0" w:line="259" w:lineRule="auto"/>
            </w:pPr>
            <w:r>
              <w:rPr>
                <w:rFonts w:ascii="Calibri" w:hAnsi="Calibri"/>
                <w:color w:val="202124"/>
                <w:sz w:val="18"/>
              </w:rPr>
              <w:t>BusinessUnit</w:t>
            </w:r>
          </w:p>
        </w:tc>
      </w:tr>
      <w:tr>
        <w:trPr/>
        <w:tc>
          <w:tcPr>
            <w:tcW w:type="dxa" w:w="2300"/>
            <w:vAlign w:val="center"/>
            <w:tcMar>
              <w:top w:w="100" w:type="dxa"/>
              <w:start w:w="120" w:type="dxa"/>
              <w:bottom w:w="100" w:type="dxa"/>
              <w:end w:w="120" w:type="dxa"/>
            </w:tcMar>
          </w:tcPr>
          <w:p>
            <w:pPr>
              <w:spacing w:after="0" w:line="259" w:lineRule="auto"/>
            </w:pPr>
            <w:r>
              <w:rPr>
                <w:rFonts w:ascii="Calibri" w:hAnsi="Calibri"/>
                <w:color w:val="202124"/>
                <w:sz w:val="18"/>
              </w:rPr>
              <w:t>Process</w:t>
            </w:r>
          </w:p>
        </w:tc>
        <w:tc>
          <w:tcPr>
            <w:tcW w:type="dxa" w:w="4060"/>
            <w:vAlign w:val="center"/>
            <w:tcMar>
              <w:top w:w="100" w:type="dxa"/>
              <w:start w:w="120" w:type="dxa"/>
              <w:bottom w:w="100" w:type="dxa"/>
              <w:end w:w="120" w:type="dxa"/>
            </w:tcMar>
          </w:tcPr>
          <w:p>
            <w:pPr>
              <w:spacing w:after="0" w:line="259" w:lineRule="auto"/>
            </w:pPr>
            <w:r>
              <w:rPr>
                <w:rFonts w:ascii="Calibri" w:hAnsi="Calibri"/>
                <w:color w:val="202124"/>
                <w:sz w:val="18"/>
              </w:rPr>
              <w:t>GOVERNED_BY</w:t>
            </w:r>
          </w:p>
        </w:tc>
        <w:tc>
          <w:tcPr>
            <w:tcW w:type="dxa" w:w="3000"/>
            <w:vAlign w:val="center"/>
            <w:tcMar>
              <w:top w:w="100" w:type="dxa"/>
              <w:start w:w="120" w:type="dxa"/>
              <w:bottom w:w="100" w:type="dxa"/>
              <w:end w:w="120" w:type="dxa"/>
            </w:tcMar>
          </w:tcPr>
          <w:p>
            <w:pPr>
              <w:spacing w:after="0" w:line="259" w:lineRule="auto"/>
            </w:pPr>
            <w:r>
              <w:rPr>
                <w:rFonts w:ascii="Calibri" w:hAnsi="Calibri"/>
                <w:color w:val="202124"/>
                <w:sz w:val="18"/>
              </w:rPr>
              <w:t>Control</w:t>
            </w:r>
          </w:p>
        </w:tc>
      </w:tr>
      <w:tr>
        <w:trPr/>
        <w:tc>
          <w:tcPr>
            <w:tcW w:type="dxa" w:w="2300"/>
            <w:vAlign w:val="center"/>
            <w:tcMar>
              <w:top w:w="100" w:type="dxa"/>
              <w:start w:w="120" w:type="dxa"/>
              <w:bottom w:w="100" w:type="dxa"/>
              <w:end w:w="120" w:type="dxa"/>
            </w:tcMar>
          </w:tcPr>
          <w:p>
            <w:pPr>
              <w:spacing w:after="0" w:line="259" w:lineRule="auto"/>
            </w:pPr>
            <w:r>
              <w:rPr>
                <w:rFonts w:ascii="Calibri" w:hAnsi="Calibri"/>
                <w:color w:val="202124"/>
                <w:sz w:val="18"/>
              </w:rPr>
              <w:t>Process</w:t>
            </w:r>
          </w:p>
        </w:tc>
        <w:tc>
          <w:tcPr>
            <w:tcW w:type="dxa" w:w="4060"/>
            <w:vAlign w:val="center"/>
            <w:tcMar>
              <w:top w:w="100" w:type="dxa"/>
              <w:start w:w="120" w:type="dxa"/>
              <w:bottom w:w="100" w:type="dxa"/>
              <w:end w:w="120" w:type="dxa"/>
            </w:tcMar>
          </w:tcPr>
          <w:p>
            <w:pPr>
              <w:spacing w:after="0" w:line="259" w:lineRule="auto"/>
            </w:pPr>
            <w:r>
              <w:rPr>
                <w:rFonts w:ascii="Calibri" w:hAnsi="Calibri"/>
                <w:color w:val="202124"/>
                <w:sz w:val="18"/>
              </w:rPr>
              <w:t>USES_SYSTEM</w:t>
            </w:r>
          </w:p>
        </w:tc>
        <w:tc>
          <w:tcPr>
            <w:tcW w:type="dxa" w:w="3000"/>
            <w:vAlign w:val="center"/>
            <w:tcMar>
              <w:top w:w="100" w:type="dxa"/>
              <w:start w:w="120" w:type="dxa"/>
              <w:bottom w:w="100" w:type="dxa"/>
              <w:end w:w="120" w:type="dxa"/>
            </w:tcMar>
          </w:tcPr>
          <w:p>
            <w:pPr>
              <w:spacing w:after="0" w:line="259" w:lineRule="auto"/>
            </w:pPr>
            <w:r>
              <w:rPr>
                <w:rFonts w:ascii="Calibri" w:hAnsi="Calibri"/>
                <w:color w:val="202124"/>
                <w:sz w:val="18"/>
              </w:rPr>
              <w:t>System</w:t>
            </w:r>
          </w:p>
        </w:tc>
      </w:tr>
      <w:tr>
        <w:trPr/>
        <w:tc>
          <w:tcPr>
            <w:tcW w:type="dxa" w:w="2300"/>
            <w:vAlign w:val="center"/>
            <w:tcMar>
              <w:top w:w="100" w:type="dxa"/>
              <w:start w:w="120" w:type="dxa"/>
              <w:bottom w:w="100" w:type="dxa"/>
              <w:end w:w="120" w:type="dxa"/>
            </w:tcMar>
          </w:tcPr>
          <w:p>
            <w:pPr>
              <w:spacing w:after="0" w:line="259" w:lineRule="auto"/>
            </w:pPr>
            <w:r>
              <w:rPr>
                <w:rFonts w:ascii="Calibri" w:hAnsi="Calibri"/>
                <w:color w:val="202124"/>
                <w:sz w:val="18"/>
              </w:rPr>
              <w:t>Activity</w:t>
            </w:r>
          </w:p>
        </w:tc>
        <w:tc>
          <w:tcPr>
            <w:tcW w:type="dxa" w:w="4060"/>
            <w:vAlign w:val="center"/>
            <w:tcMar>
              <w:top w:w="100" w:type="dxa"/>
              <w:start w:w="120" w:type="dxa"/>
              <w:bottom w:w="100" w:type="dxa"/>
              <w:end w:w="120" w:type="dxa"/>
            </w:tcMar>
          </w:tcPr>
          <w:p>
            <w:pPr>
              <w:spacing w:after="0" w:line="259" w:lineRule="auto"/>
            </w:pPr>
            <w:r>
              <w:rPr>
                <w:rFonts w:ascii="Calibri" w:hAnsi="Calibri"/>
                <w:color w:val="202124"/>
                <w:sz w:val="18"/>
              </w:rPr>
              <w:t>PERFORMED_BY</w:t>
            </w:r>
          </w:p>
        </w:tc>
        <w:tc>
          <w:tcPr>
            <w:tcW w:type="dxa" w:w="3000"/>
            <w:vAlign w:val="center"/>
            <w:tcMar>
              <w:top w:w="100" w:type="dxa"/>
              <w:start w:w="120" w:type="dxa"/>
              <w:bottom w:w="100" w:type="dxa"/>
              <w:end w:w="120" w:type="dxa"/>
            </w:tcMar>
          </w:tcPr>
          <w:p>
            <w:pPr>
              <w:spacing w:after="0" w:line="259" w:lineRule="auto"/>
            </w:pPr>
            <w:r>
              <w:rPr>
                <w:rFonts w:ascii="Calibri" w:hAnsi="Calibri"/>
                <w:color w:val="202124"/>
                <w:sz w:val="18"/>
              </w:rPr>
              <w:t>BusinessUnit</w:t>
            </w:r>
          </w:p>
        </w:tc>
      </w:tr>
      <w:tr>
        <w:trPr/>
        <w:tc>
          <w:tcPr>
            <w:tcW w:type="dxa" w:w="2300"/>
            <w:vAlign w:val="center"/>
            <w:tcMar>
              <w:top w:w="100" w:type="dxa"/>
              <w:start w:w="120" w:type="dxa"/>
              <w:bottom w:w="100" w:type="dxa"/>
              <w:end w:w="120" w:type="dxa"/>
            </w:tcMar>
          </w:tcPr>
          <w:p>
            <w:pPr>
              <w:spacing w:after="0" w:line="259" w:lineRule="auto"/>
            </w:pPr>
            <w:r>
              <w:rPr>
                <w:rFonts w:ascii="Calibri" w:hAnsi="Calibri"/>
                <w:color w:val="202124"/>
                <w:sz w:val="18"/>
              </w:rPr>
              <w:t>Activity</w:t>
            </w:r>
          </w:p>
        </w:tc>
        <w:tc>
          <w:tcPr>
            <w:tcW w:type="dxa" w:w="4060"/>
            <w:vAlign w:val="center"/>
            <w:tcMar>
              <w:top w:w="100" w:type="dxa"/>
              <w:start w:w="120" w:type="dxa"/>
              <w:bottom w:w="100" w:type="dxa"/>
              <w:end w:w="120" w:type="dxa"/>
            </w:tcMar>
          </w:tcPr>
          <w:p>
            <w:pPr>
              <w:spacing w:after="0" w:line="259" w:lineRule="auto"/>
            </w:pPr>
            <w:r>
              <w:rPr>
                <w:rFonts w:ascii="Calibri" w:hAnsi="Calibri"/>
                <w:color w:val="202124"/>
                <w:sz w:val="18"/>
              </w:rPr>
              <w:t>USES_SYSTEM</w:t>
            </w:r>
          </w:p>
        </w:tc>
        <w:tc>
          <w:tcPr>
            <w:tcW w:type="dxa" w:w="3000"/>
            <w:vAlign w:val="center"/>
            <w:tcMar>
              <w:top w:w="100" w:type="dxa"/>
              <w:start w:w="120" w:type="dxa"/>
              <w:bottom w:w="100" w:type="dxa"/>
              <w:end w:w="120" w:type="dxa"/>
            </w:tcMar>
          </w:tcPr>
          <w:p>
            <w:pPr>
              <w:spacing w:after="0" w:line="259" w:lineRule="auto"/>
            </w:pPr>
            <w:r>
              <w:rPr>
                <w:rFonts w:ascii="Calibri" w:hAnsi="Calibri"/>
                <w:color w:val="202124"/>
                <w:sz w:val="18"/>
              </w:rPr>
              <w:t>System</w:t>
            </w:r>
          </w:p>
        </w:tc>
      </w:tr>
      <w:tr>
        <w:trPr/>
        <w:tc>
          <w:tcPr>
            <w:tcW w:type="dxa" w:w="2300"/>
            <w:vAlign w:val="center"/>
            <w:tcMar>
              <w:top w:w="100" w:type="dxa"/>
              <w:start w:w="120" w:type="dxa"/>
              <w:bottom w:w="100" w:type="dxa"/>
              <w:end w:w="120" w:type="dxa"/>
            </w:tcMar>
          </w:tcPr>
          <w:p>
            <w:pPr>
              <w:spacing w:after="0" w:line="259" w:lineRule="auto"/>
            </w:pPr>
            <w:r>
              <w:rPr>
                <w:rFonts w:ascii="Calibri" w:hAnsi="Calibri"/>
                <w:color w:val="202124"/>
                <w:sz w:val="18"/>
              </w:rPr>
              <w:t>Activity</w:t>
            </w:r>
          </w:p>
        </w:tc>
        <w:tc>
          <w:tcPr>
            <w:tcW w:type="dxa" w:w="4060"/>
            <w:vAlign w:val="center"/>
            <w:tcMar>
              <w:top w:w="100" w:type="dxa"/>
              <w:start w:w="120" w:type="dxa"/>
              <w:bottom w:w="100" w:type="dxa"/>
              <w:end w:w="120" w:type="dxa"/>
            </w:tcMar>
          </w:tcPr>
          <w:p>
            <w:pPr>
              <w:spacing w:after="0" w:line="259" w:lineRule="auto"/>
            </w:pPr>
            <w:r>
              <w:rPr>
                <w:rFonts w:ascii="Calibri" w:hAnsi="Calibri"/>
                <w:color w:val="202124"/>
                <w:sz w:val="18"/>
              </w:rPr>
              <w:t>ENFORCES_CONTROL</w:t>
            </w:r>
          </w:p>
        </w:tc>
        <w:tc>
          <w:tcPr>
            <w:tcW w:type="dxa" w:w="3000"/>
            <w:vAlign w:val="center"/>
            <w:tcMar>
              <w:top w:w="100" w:type="dxa"/>
              <w:start w:w="120" w:type="dxa"/>
              <w:bottom w:w="100" w:type="dxa"/>
              <w:end w:w="120" w:type="dxa"/>
            </w:tcMar>
          </w:tcPr>
          <w:p>
            <w:pPr>
              <w:spacing w:after="0" w:line="259" w:lineRule="auto"/>
            </w:pPr>
            <w:r>
              <w:rPr>
                <w:rFonts w:ascii="Calibri" w:hAnsi="Calibri"/>
                <w:color w:val="202124"/>
                <w:sz w:val="18"/>
              </w:rPr>
              <w:t>Control</w:t>
            </w:r>
          </w:p>
        </w:tc>
      </w:tr>
    </w:tbl>
    <w:p>
      <w:pPr>
        <w:spacing w:after="40"/>
      </w:pPr>
    </w:p>
    <w:p>
      <w:pPr>
        <w:spacing w:before="120" w:after="200" w:line="269" w:lineRule="auto"/>
        <w:ind w:left="259" w:right="259"/>
        <w:shd w:fill="F4F6F9"/>
      </w:pPr>
      <w:r>
        <w:rPr>
          <w:rFonts w:ascii="Calibri" w:hAnsi="Calibri"/>
          <w:b/>
          <w:color w:val="17324D"/>
          <w:sz w:val="22"/>
        </w:rPr>
        <w:t xml:space="preserve">Governance boundary: </w:t>
      </w:r>
      <w:r>
        <w:rPr>
          <w:rFonts w:ascii="Calibri" w:hAnsi="Calibri"/>
          <w:color w:val="202124"/>
          <w:sz w:val="22"/>
        </w:rPr>
        <w:t>A relationship is accepted only when its source label, relationship type, and target label match an ontology v2.0 triple. Prompting is not the enforcement layer; application validation is.</w:t>
      </w:r>
    </w:p>
    <w:p>
      <w:pPr>
        <w:pStyle w:val="Heading2"/>
      </w:pPr>
      <w:r>
        <w:t>Assertion evidence and semantic cardinality</w:t>
      </w:r>
    </w:p>
    <w:p>
      <w:r>
        <w:t>Every accepted fact becomes a version-specific Assertion supported by exact Chunk nodes. If multiple documents say that Procure-to-Pay uses SAP, the graph keeps their separate assertions but materializes one USES_SYSTEM relationship for business retrieval.</w:t>
      </w:r>
    </w:p>
    <w:p>
      <w:pPr>
        <w:pStyle w:val="CodeBlock"/>
      </w:pPr>
      <w:r>
        <w:t>(DocumentVersion)-[:HAS_CHUNK]-&gt;(Chunk)-[:SUPPORTS]-&gt;(Assertion)</w:t>
        <w:br/>
        <w:t>(Assertion)-[:SUBJECT]-&gt;(Process)</w:t>
        <w:br/>
        <w:t>(Assertion)-[:OBJECT]-&gt;(System)</w:t>
        <w:br/>
        <w:t>(Process)-[:USES_SYSTEM {assertion_count: 2}]-&gt;(System)</w:t>
      </w:r>
    </w:p>
    <w:p>
      <w:pPr>
        <w:pStyle w:val="GovernedBullet"/>
        <w:numPr>
          <w:ilvl w:val="0"/>
          <w:numId w:val="100"/>
        </w:numPr>
      </w:pPr>
      <w:r>
        <w:t>one immutable assertion per source version and governed fact</w:t>
      </w:r>
    </w:p>
    <w:p>
      <w:pPr>
        <w:pStyle w:val="GovernedBullet"/>
        <w:numPr>
          <w:ilvl w:val="0"/>
          <w:numId w:val="100"/>
        </w:numPr>
      </w:pPr>
      <w:r>
        <w:t>one materialized semantic edge per process, predicate, and target</w:t>
      </w:r>
    </w:p>
    <w:p>
      <w:pPr>
        <w:pStyle w:val="GovernedBullet"/>
        <w:numPr>
          <w:ilvl w:val="0"/>
          <w:numId w:val="100"/>
        </w:numPr>
      </w:pPr>
      <w:r>
        <w:t>exact evidence chunk IDs, confidence, and approval lifecycle</w:t>
      </w:r>
    </w:p>
    <w:p>
      <w:pPr>
        <w:pStyle w:val="GovernedBullet"/>
        <w:numPr>
          <w:ilvl w:val="0"/>
          <w:numId w:val="100"/>
        </w:numPr>
      </w:pPr>
      <w:r>
        <w:t>automatic removal of unsupported semantic facts after version supersession</w:t>
      </w:r>
    </w:p>
    <w:p>
      <w:pPr>
        <w:pStyle w:val="Heading1"/>
      </w:pPr>
      <w:r>
        <w:t>3. Document and diagram ingestion</w:t>
      </w:r>
    </w:p>
    <w:p>
      <w:r>
        <w:t>The ingestion API supports TXT, Markdown, PDF, DOCX, BPMN, and XML. Every artifact must include metadata so process identity, classification, version, and ownership are not guessed from prose.</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trPr>
        <w:tc>
          <w:tcPr>
            <w:tcW w:type="dxa" w:w="2600"/>
            <w:shd w:fill="E8EEF5"/>
            <w:vAlign w:val="center"/>
            <w:tcMar>
              <w:top w:w="100" w:type="dxa"/>
              <w:start w:w="120" w:type="dxa"/>
              <w:bottom w:w="100" w:type="dxa"/>
              <w:end w:w="120" w:type="dxa"/>
            </w:tcMar>
          </w:tcPr>
          <w:p>
            <w:pPr>
              <w:spacing w:after="0"/>
            </w:pPr>
            <w:r>
              <w:rPr>
                <w:rFonts w:ascii="Calibri" w:hAnsi="Calibri"/>
                <w:b/>
                <w:color w:val="17324D"/>
                <w:sz w:val="19"/>
              </w:rPr>
              <w:t>Metadata group</w:t>
            </w:r>
          </w:p>
        </w:tc>
        <w:tc>
          <w:tcPr>
            <w:tcW w:type="dxa" w:w="6760"/>
            <w:shd w:fill="E8EEF5"/>
            <w:vAlign w:val="center"/>
            <w:tcMar>
              <w:top w:w="100" w:type="dxa"/>
              <w:start w:w="120" w:type="dxa"/>
              <w:bottom w:w="100" w:type="dxa"/>
              <w:end w:w="120" w:type="dxa"/>
            </w:tcMar>
          </w:tcPr>
          <w:p>
            <w:pPr>
              <w:spacing w:after="0"/>
            </w:pPr>
            <w:r>
              <w:rPr>
                <w:rFonts w:ascii="Calibri" w:hAnsi="Calibri"/>
                <w:b/>
                <w:color w:val="17324D"/>
                <w:sz w:val="19"/>
              </w:rPr>
              <w:t>Required business meaning</w:t>
            </w:r>
          </w:p>
        </w:tc>
      </w:tr>
      <w:tr>
        <w:trPr/>
        <w:tc>
          <w:tcPr>
            <w:tcW w:type="dxa" w:w="2600"/>
            <w:vAlign w:val="center"/>
            <w:tcMar>
              <w:top w:w="100" w:type="dxa"/>
              <w:start w:w="120" w:type="dxa"/>
              <w:bottom w:w="100" w:type="dxa"/>
              <w:end w:w="120" w:type="dxa"/>
            </w:tcMar>
          </w:tcPr>
          <w:p>
            <w:pPr>
              <w:spacing w:after="0" w:line="259" w:lineRule="auto"/>
            </w:pPr>
            <w:r>
              <w:rPr>
                <w:rFonts w:ascii="Calibri" w:hAnsi="Calibri"/>
                <w:color w:val="202124"/>
                <w:sz w:val="18"/>
              </w:rPr>
              <w:t>Document identity</w:t>
            </w:r>
          </w:p>
        </w:tc>
        <w:tc>
          <w:tcPr>
            <w:tcW w:type="dxa" w:w="6760"/>
            <w:vAlign w:val="center"/>
            <w:tcMar>
              <w:top w:w="100" w:type="dxa"/>
              <w:start w:w="120" w:type="dxa"/>
              <w:bottom w:w="100" w:type="dxa"/>
              <w:end w:w="120" w:type="dxa"/>
            </w:tcMar>
          </w:tcPr>
          <w:p>
            <w:pPr>
              <w:spacing w:after="0" w:line="259" w:lineRule="auto"/>
            </w:pPr>
            <w:r>
              <w:rPr>
                <w:rFonts w:ascii="Calibri" w:hAnsi="Calibri"/>
                <w:color w:val="202124"/>
                <w:sz w:val="18"/>
              </w:rPr>
              <w:t>Document ID, title, type, version, effective date, source URI</w:t>
            </w:r>
          </w:p>
        </w:tc>
      </w:tr>
      <w:tr>
        <w:trPr/>
        <w:tc>
          <w:tcPr>
            <w:tcW w:type="dxa" w:w="2600"/>
            <w:vAlign w:val="center"/>
            <w:tcMar>
              <w:top w:w="100" w:type="dxa"/>
              <w:start w:w="120" w:type="dxa"/>
              <w:bottom w:w="100" w:type="dxa"/>
              <w:end w:w="120" w:type="dxa"/>
            </w:tcMar>
          </w:tcPr>
          <w:p>
            <w:pPr>
              <w:spacing w:after="0" w:line="259" w:lineRule="auto"/>
            </w:pPr>
            <w:r>
              <w:rPr>
                <w:rFonts w:ascii="Calibri" w:hAnsi="Calibri"/>
                <w:color w:val="202124"/>
                <w:sz w:val="18"/>
              </w:rPr>
              <w:t>Security</w:t>
            </w:r>
          </w:p>
        </w:tc>
        <w:tc>
          <w:tcPr>
            <w:tcW w:type="dxa" w:w="6760"/>
            <w:vAlign w:val="center"/>
            <w:tcMar>
              <w:top w:w="100" w:type="dxa"/>
              <w:start w:w="120" w:type="dxa"/>
              <w:bottom w:w="100" w:type="dxa"/>
              <w:end w:w="120" w:type="dxa"/>
            </w:tcMar>
          </w:tcPr>
          <w:p>
            <w:pPr>
              <w:spacing w:after="0" w:line="259" w:lineRule="auto"/>
            </w:pPr>
            <w:r>
              <w:rPr>
                <w:rFonts w:ascii="Calibri" w:hAnsi="Calibri"/>
                <w:color w:val="202124"/>
                <w:sz w:val="18"/>
              </w:rPr>
              <w:t>Public, internal, confidential, or restricted classification</w:t>
            </w:r>
          </w:p>
        </w:tc>
      </w:tr>
      <w:tr>
        <w:trPr/>
        <w:tc>
          <w:tcPr>
            <w:tcW w:type="dxa" w:w="2600"/>
            <w:vAlign w:val="center"/>
            <w:tcMar>
              <w:top w:w="100" w:type="dxa"/>
              <w:start w:w="120" w:type="dxa"/>
              <w:bottom w:w="100" w:type="dxa"/>
              <w:end w:w="120" w:type="dxa"/>
            </w:tcMar>
          </w:tcPr>
          <w:p>
            <w:pPr>
              <w:spacing w:after="0" w:line="259" w:lineRule="auto"/>
            </w:pPr>
            <w:r>
              <w:rPr>
                <w:rFonts w:ascii="Calibri" w:hAnsi="Calibri"/>
                <w:color w:val="202124"/>
                <w:sz w:val="18"/>
              </w:rPr>
              <w:t>Process</w:t>
            </w:r>
          </w:p>
        </w:tc>
        <w:tc>
          <w:tcPr>
            <w:tcW w:type="dxa" w:w="6760"/>
            <w:vAlign w:val="center"/>
            <w:tcMar>
              <w:top w:w="100" w:type="dxa"/>
              <w:start w:w="120" w:type="dxa"/>
              <w:bottom w:w="100" w:type="dxa"/>
              <w:end w:w="120" w:type="dxa"/>
            </w:tcMar>
          </w:tcPr>
          <w:p>
            <w:pPr>
              <w:spacing w:after="0" w:line="259" w:lineRule="auto"/>
            </w:pPr>
            <w:r>
              <w:rPr>
                <w:rFonts w:ascii="Calibri" w:hAnsi="Calibri"/>
                <w:color w:val="202124"/>
                <w:sz w:val="18"/>
              </w:rPr>
              <w:t>Process ID, name, description, owner, status, and criticality</w:t>
            </w:r>
          </w:p>
        </w:tc>
      </w:tr>
      <w:tr>
        <w:trPr/>
        <w:tc>
          <w:tcPr>
            <w:tcW w:type="dxa" w:w="2600"/>
            <w:vAlign w:val="center"/>
            <w:tcMar>
              <w:top w:w="100" w:type="dxa"/>
              <w:start w:w="120" w:type="dxa"/>
              <w:bottom w:w="100" w:type="dxa"/>
              <w:end w:w="120" w:type="dxa"/>
            </w:tcMar>
          </w:tcPr>
          <w:p>
            <w:pPr>
              <w:spacing w:after="0" w:line="259" w:lineRule="auto"/>
            </w:pPr>
            <w:r>
              <w:rPr>
                <w:rFonts w:ascii="Calibri" w:hAnsi="Calibri"/>
                <w:color w:val="202124"/>
                <w:sz w:val="18"/>
              </w:rPr>
              <w:t>Known entities</w:t>
            </w:r>
          </w:p>
        </w:tc>
        <w:tc>
          <w:tcPr>
            <w:tcW w:type="dxa" w:w="6760"/>
            <w:vAlign w:val="center"/>
            <w:tcMar>
              <w:top w:w="100" w:type="dxa"/>
              <w:start w:w="120" w:type="dxa"/>
              <w:bottom w:w="100" w:type="dxa"/>
              <w:end w:w="120" w:type="dxa"/>
            </w:tcMar>
          </w:tcPr>
          <w:p>
            <w:pPr>
              <w:spacing w:after="0" w:line="259" w:lineRule="auto"/>
            </w:pPr>
            <w:r>
              <w:rPr>
                <w:rFonts w:ascii="Calibri" w:hAnsi="Calibri"/>
                <w:color w:val="202124"/>
                <w:sz w:val="18"/>
              </w:rPr>
              <w:t>Markets, business units, controls, and systems</w:t>
            </w:r>
          </w:p>
        </w:tc>
      </w:tr>
    </w:tbl>
    <w:p>
      <w:pPr>
        <w:spacing w:after="40"/>
      </w:pPr>
    </w:p>
    <w:p>
      <w:pPr>
        <w:pStyle w:val="Heading2"/>
      </w:pPr>
      <w:r>
        <w:t>Ingestion sequence</w:t>
      </w:r>
    </w:p>
    <w:p>
      <w:pPr>
        <w:pStyle w:val="GovernedNumber"/>
        <w:numPr>
          <w:ilvl w:val="0"/>
          <w:numId w:val="101"/>
        </w:numPr>
      </w:pPr>
      <w:r>
        <w:t>Validate the file type, size, and metadata contract.</w:t>
      </w:r>
    </w:p>
    <w:p>
      <w:pPr>
        <w:pStyle w:val="GovernedNumber"/>
        <w:numPr>
          <w:ilvl w:val="0"/>
          <w:numId w:val="101"/>
        </w:numPr>
      </w:pPr>
      <w:r>
        <w:t>Calculate a SHA-256 checksum for idempotency and integrity.</w:t>
      </w:r>
    </w:p>
    <w:p>
      <w:pPr>
        <w:pStyle w:val="GovernedNumber"/>
        <w:numPr>
          <w:ilvl w:val="0"/>
          <w:numId w:val="101"/>
        </w:numPr>
      </w:pPr>
      <w:r>
        <w:t>Extract and normalize document text.</w:t>
      </w:r>
    </w:p>
    <w:p>
      <w:pPr>
        <w:pStyle w:val="GovernedNumber"/>
        <w:numPr>
          <w:ilvl w:val="0"/>
          <w:numId w:val="101"/>
        </w:numPr>
      </w:pPr>
      <w:r>
        <w:t>Derive an immutable version ID from document ID, declared version, and checksum.</w:t>
      </w:r>
    </w:p>
    <w:p>
      <w:pPr>
        <w:pStyle w:val="GovernedNumber"/>
        <w:numPr>
          <w:ilvl w:val="0"/>
          <w:numId w:val="101"/>
        </w:numPr>
      </w:pPr>
      <w:r>
        <w:t>Run constrained entity and relationship extraction.</w:t>
      </w:r>
    </w:p>
    <w:p>
      <w:pPr>
        <w:pStyle w:val="GovernedNumber"/>
        <w:numPr>
          <w:ilvl w:val="0"/>
          <w:numId w:val="101"/>
        </w:numPr>
      </w:pPr>
      <w:r>
        <w:t>Validate confidence, ontology triples, and entity resolution.</w:t>
      </w:r>
    </w:p>
    <w:p>
      <w:pPr>
        <w:pStyle w:val="GovernedNumber"/>
        <w:numPr>
          <w:ilvl w:val="0"/>
          <w:numId w:val="101"/>
        </w:numPr>
      </w:pPr>
      <w:r>
        <w:t>Create a metadata-evidence chunk plus deterministic content chunks.</w:t>
      </w:r>
    </w:p>
    <w:p>
      <w:pPr>
        <w:pStyle w:val="GovernedNumber"/>
        <w:numPr>
          <w:ilvl w:val="0"/>
          <w:numId w:val="101"/>
        </w:numPr>
      </w:pPr>
      <w:r>
        <w:t>Stage inactive DocumentVersion and Chunk nodes in Neo4j.</w:t>
      </w:r>
    </w:p>
    <w:p>
      <w:pPr>
        <w:pStyle w:val="GovernedNumber"/>
        <w:numPr>
          <w:ilvl w:val="0"/>
          <w:numId w:val="101"/>
        </w:numPr>
      </w:pPr>
      <w:r>
        <w:t>Upsert Qdrant points using the identical chunk IDs.</w:t>
      </w:r>
    </w:p>
    <w:p>
      <w:pPr>
        <w:pStyle w:val="GovernedNumber"/>
        <w:numPr>
          <w:ilvl w:val="0"/>
          <w:numId w:val="101"/>
        </w:numPr>
      </w:pPr>
      <w:r>
        <w:t>Create assertions and connect them to supporting chunks.</w:t>
      </w:r>
    </w:p>
    <w:p>
      <w:pPr>
        <w:pStyle w:val="GovernedNumber"/>
        <w:numPr>
          <w:ilvl w:val="0"/>
          <w:numId w:val="101"/>
        </w:numPr>
      </w:pPr>
      <w:r>
        <w:t>Activate the version and rematerialize clean semantic edges.</w:t>
      </w:r>
    </w:p>
    <w:p>
      <w:pPr>
        <w:pStyle w:val="GovernedNumber"/>
        <w:numPr>
          <w:ilvl w:val="0"/>
          <w:numId w:val="101"/>
        </w:numPr>
      </w:pPr>
      <w:r>
        <w:t>For BPMN, parse activities and sequence flows deterministically.</w:t>
      </w:r>
    </w:p>
    <w:p>
      <w:pPr>
        <w:spacing w:before="120" w:after="200" w:line="269" w:lineRule="auto"/>
        <w:ind w:left="259" w:right="259"/>
        <w:shd w:fill="E8EEF5"/>
      </w:pPr>
      <w:r>
        <w:rPr>
          <w:rFonts w:ascii="Calibri" w:hAnsi="Calibri"/>
          <w:b/>
          <w:color w:val="17324D"/>
          <w:sz w:val="22"/>
        </w:rPr>
        <w:t xml:space="preserve">Update safety: </w:t>
      </w:r>
      <w:r>
        <w:rPr>
          <w:rFonts w:ascii="Calibri" w:hAnsi="Calibri"/>
          <w:color w:val="202124"/>
          <w:sz w:val="22"/>
        </w:rPr>
        <w:t>An unchanged document ID and checksum is skipped. A changed revision creates a new immutable version, supersedes old evidence, switches active vector flags, and restores the previous version through compensation if activation fails.</w:t>
      </w:r>
    </w:p>
    <w:p>
      <w:pPr>
        <w:pStyle w:val="Heading1"/>
      </w:pPr>
      <w:r>
        <w:t>4. Constrained LLM extraction</w:t>
      </w:r>
    </w:p>
    <w:p>
      <w:r>
        <w:t>The production prompt permits four document-derived entity types: Market, BusinessUnit, Control, and System. Output is structured JSON containing canonical names, optional external IDs, confidence, evidence, and process relationships.</w:t>
      </w:r>
    </w:p>
    <w:p>
      <w:pPr>
        <w:pStyle w:val="Heading2"/>
      </w:pPr>
      <w:r>
        <w:t>Validation after the model</w:t>
      </w:r>
    </w:p>
    <w:p>
      <w:pPr>
        <w:pStyle w:val="GovernedBullet"/>
        <w:numPr>
          <w:ilvl w:val="0"/>
          <w:numId w:val="100"/>
        </w:numPr>
      </w:pPr>
      <w:r>
        <w:t>Reject unknown entity types.</w:t>
      </w:r>
    </w:p>
    <w:p>
      <w:pPr>
        <w:pStyle w:val="GovernedBullet"/>
        <w:numPr>
          <w:ilvl w:val="0"/>
          <w:numId w:val="100"/>
        </w:numPr>
      </w:pPr>
      <w:r>
        <w:t>Reject unknown relationship types.</w:t>
      </w:r>
    </w:p>
    <w:p>
      <w:pPr>
        <w:pStyle w:val="GovernedBullet"/>
        <w:numPr>
          <w:ilvl w:val="0"/>
          <w:numId w:val="100"/>
        </w:numPr>
      </w:pPr>
      <w:r>
        <w:t>Reject invalid source–relationship–target combinations.</w:t>
      </w:r>
    </w:p>
    <w:p>
      <w:pPr>
        <w:pStyle w:val="GovernedBullet"/>
        <w:numPr>
          <w:ilvl w:val="0"/>
          <w:numId w:val="100"/>
        </w:numPr>
      </w:pPr>
      <w:r>
        <w:t>Drop facts below the configured confidence threshold.</w:t>
      </w:r>
    </w:p>
    <w:p>
      <w:pPr>
        <w:pStyle w:val="GovernedBullet"/>
        <w:numPr>
          <w:ilvl w:val="0"/>
          <w:numId w:val="100"/>
        </w:numPr>
      </w:pPr>
      <w:r>
        <w:t>Drop relationships whose target entity cannot be resolved.</w:t>
      </w:r>
    </w:p>
    <w:p>
      <w:pPr>
        <w:pStyle w:val="GovernedBullet"/>
        <w:numPr>
          <w:ilvl w:val="0"/>
          <w:numId w:val="100"/>
        </w:numPr>
      </w:pPr>
      <w:r>
        <w:t>Normalize names and collapse duplicates before persistence.</w:t>
      </w:r>
    </w:p>
    <w:p>
      <w:pPr>
        <w:spacing w:before="120" w:after="200" w:line="269" w:lineRule="auto"/>
        <w:ind w:left="259" w:right="259"/>
        <w:shd w:fill="F4F6F9"/>
      </w:pPr>
      <w:r>
        <w:rPr>
          <w:rFonts w:ascii="Calibri" w:hAnsi="Calibri"/>
          <w:b/>
          <w:color w:val="17324D"/>
          <w:sz w:val="22"/>
        </w:rPr>
        <w:t xml:space="preserve">Current demonstration mode: </w:t>
      </w:r>
      <w:r>
        <w:rPr>
          <w:rFonts w:ascii="Calibri" w:hAnsi="Calibri"/>
          <w:color w:val="202124"/>
          <w:sz w:val="22"/>
        </w:rPr>
        <w:t>The running stack uses LLM_PROVIDER=metadata and EMBEDDING_PROVIDER=hash so no enterprise document is sent externally. Production semantic extraction is enabled by configuring an OpenAI-compatible model endpoint and API key.</w:t>
      </w:r>
    </w:p>
    <w:p>
      <w:pPr>
        <w:pStyle w:val="Heading1"/>
      </w:pPr>
      <w:r>
        <w:t>5. BPMN and operational intelligence</w:t>
      </w:r>
    </w:p>
    <w:p>
      <w:pPr>
        <w:pStyle w:val="Heading2"/>
      </w:pPr>
      <w:r>
        <w:t>Deterministic BPMN structure</w:t>
      </w:r>
    </w:p>
    <w:p>
      <w:r>
        <w:t>BPMN XML is parsed directly. The loader reads process IDs, tasks, events, gateways, activity names and types, sequence flows, and optional conditions. The BPMN model links to activities through DEFINES_ACTIVITY; ordered flow uses NEXT_ACTIVITY.</w:t>
      </w:r>
    </w:p>
    <w:p>
      <w:pPr>
        <w:pStyle w:val="CodeBlock"/>
      </w:pPr>
      <w:r>
        <w:t>(Process)-[:MODELED_BY]-&gt;(BPMNModel)</w:t>
        <w:br/>
        <w:t>(BPMNModel)-[:DEFINES_ACTIVITY]-&gt;(Activity)</w:t>
        <w:br/>
        <w:t>(Activity)-[:NEXT_ACTIVITY]-&gt;(Activity)</w:t>
      </w:r>
    </w:p>
    <w:p>
      <w:pPr>
        <w:pStyle w:val="Heading2"/>
      </w:pPr>
      <w:r>
        <w:t>Live journeys and variants</w:t>
      </w:r>
    </w:p>
    <w:p>
      <w:r>
        <w:t>Observed cases are loaded independently from documents. Each Journey retains timestamps, outcome, attributes, and ordered event details. Journeys connect to stable Variants, allowing frequency and duration analysis without expanding every event into a graph node.</w:t>
      </w:r>
    </w:p>
    <w:p>
      <w:pPr>
        <w:pStyle w:val="GovernedBullet"/>
        <w:numPr>
          <w:ilvl w:val="0"/>
          <w:numId w:val="100"/>
        </w:numPr>
      </w:pPr>
      <w:r>
        <w:t>Journey frequency and recent outcomes</w:t>
      </w:r>
    </w:p>
    <w:p>
      <w:pPr>
        <w:pStyle w:val="GovernedBullet"/>
        <w:numPr>
          <w:ilvl w:val="0"/>
          <w:numId w:val="100"/>
        </w:numPr>
      </w:pPr>
      <w:r>
        <w:t>Average and longest variant duration</w:t>
      </w:r>
    </w:p>
    <w:p>
      <w:pPr>
        <w:pStyle w:val="GovernedBullet"/>
        <w:numPr>
          <w:ilvl w:val="0"/>
          <w:numId w:val="100"/>
        </w:numPr>
      </w:pPr>
      <w:r>
        <w:t>Exceptional paths and rework</w:t>
      </w:r>
    </w:p>
    <w:p>
      <w:pPr>
        <w:pStyle w:val="GovernedBullet"/>
        <w:numPr>
          <w:ilvl w:val="0"/>
          <w:numId w:val="100"/>
        </w:numPr>
      </w:pPr>
      <w:r>
        <w:t>Documented BPMN versus live-execution deviations</w:t>
      </w:r>
    </w:p>
    <w:p>
      <w:pPr>
        <w:pStyle w:val="Heading1"/>
      </w:pPr>
      <w:r>
        <w:t>6. Vector knowledge store and hybrid RAG</w:t>
      </w:r>
    </w:p>
    <w:p>
      <w:r>
        <w:t>Every document version has one explicit metadata-evidence chunk plus stable content chunks. Neo4j stores thin chunk metadata and provenance; Qdrant stores text and vectors. Both use the same chunk_id, document_version_id, process_id, classification, and active state. Embeddings and full text do not bloat the semantic graph.</w:t>
      </w:r>
    </w:p>
    <w:p>
      <w:pPr>
        <w:pStyle w:val="Heading2"/>
      </w:pPr>
      <w:r>
        <w:t>Question-answering flow</w:t>
      </w:r>
    </w:p>
    <w:p>
      <w:pPr>
        <w:pStyle w:val="GovernedNumber"/>
        <w:numPr>
          <w:ilvl w:val="0"/>
          <w:numId w:val="102"/>
        </w:numPr>
      </w:pPr>
      <w:r>
        <w:t>Map the question to one of eleven governed intents.</w:t>
      </w:r>
    </w:p>
    <w:p>
      <w:pPr>
        <w:pStyle w:val="GovernedNumber"/>
        <w:numPr>
          <w:ilvl w:val="0"/>
          <w:numId w:val="102"/>
        </w:numPr>
      </w:pPr>
      <w:r>
        <w:t>Ask Neo4j for authorized active document-version scope.</w:t>
      </w:r>
    </w:p>
    <w:p>
      <w:pPr>
        <w:pStyle w:val="GovernedNumber"/>
        <w:numPr>
          <w:ilvl w:val="0"/>
          <w:numId w:val="102"/>
        </w:numPr>
      </w:pPr>
      <w:r>
        <w:t>Run Qdrant search inside version, process, active-state, and classification filters.</w:t>
      </w:r>
    </w:p>
    <w:p>
      <w:pPr>
        <w:pStyle w:val="GovernedNumber"/>
        <w:numPr>
          <w:ilvl w:val="0"/>
          <w:numId w:val="102"/>
        </w:numPr>
      </w:pPr>
      <w:r>
        <w:t>Run the corresponding reviewed, parameterized Cypher query.</w:t>
      </w:r>
    </w:p>
    <w:p>
      <w:pPr>
        <w:pStyle w:val="GovernedNumber"/>
        <w:numPr>
          <w:ilvl w:val="0"/>
          <w:numId w:val="102"/>
        </w:numPr>
      </w:pPr>
      <w:r>
        <w:t>Combine exact graph facts with relevant document evidence.</w:t>
      </w:r>
    </w:p>
    <w:p>
      <w:pPr>
        <w:pStyle w:val="GovernedNumber"/>
        <w:numPr>
          <w:ilvl w:val="0"/>
          <w:numId w:val="102"/>
        </w:numPr>
      </w:pPr>
      <w:r>
        <w:t>Generate a grounded answer with document and chunk citations.</w:t>
      </w:r>
    </w:p>
    <w:p>
      <w:r>
        <w:br w:type="page"/>
      </w:r>
    </w:p>
    <w:tbl>
      <w:tblPr>
        <w:tblStyle w:val="TableGrid"/>
        <w:tblW w:type="dxa" w:w="9360"/>
        <w:jc w:val="left"/>
        <w:tblLayout w:type="fixed"/>
        <w:tblLook w:firstColumn="1" w:firstRow="1" w:lastColumn="0" w:lastRow="0" w:noHBand="0" w:noVBand="1" w:val="04A0"/>
        <w:tblInd w:w="120" w:type="dxa"/>
      </w:tblPr>
      <w:tblGrid>
        <w:gridCol w:w="2800"/>
        <w:gridCol w:w="6560"/>
      </w:tblGrid>
      <w:tr>
        <w:trPr>
          <w:tblHeader w:val="true"/>
        </w:trPr>
        <w:tc>
          <w:tcPr>
            <w:tcW w:type="dxa" w:w="2800"/>
            <w:shd w:fill="E8EEF5"/>
            <w:vAlign w:val="center"/>
            <w:tcMar>
              <w:top w:w="100" w:type="dxa"/>
              <w:start w:w="120" w:type="dxa"/>
              <w:bottom w:w="100" w:type="dxa"/>
              <w:end w:w="120" w:type="dxa"/>
            </w:tcMar>
          </w:tcPr>
          <w:p>
            <w:pPr>
              <w:spacing w:after="0"/>
            </w:pPr>
            <w:r>
              <w:rPr>
                <w:rFonts w:ascii="Calibri" w:hAnsi="Calibri"/>
                <w:b/>
                <w:color w:val="17324D"/>
                <w:sz w:val="19"/>
              </w:rPr>
              <w:t>Intent</w:t>
            </w:r>
          </w:p>
        </w:tc>
        <w:tc>
          <w:tcPr>
            <w:tcW w:type="dxa" w:w="6560"/>
            <w:shd w:fill="E8EEF5"/>
            <w:vAlign w:val="center"/>
            <w:tcMar>
              <w:top w:w="100" w:type="dxa"/>
              <w:start w:w="120" w:type="dxa"/>
              <w:bottom w:w="100" w:type="dxa"/>
              <w:end w:w="120" w:type="dxa"/>
            </w:tcMar>
          </w:tcPr>
          <w:p>
            <w:pPr>
              <w:spacing w:after="0"/>
            </w:pPr>
            <w:r>
              <w:rPr>
                <w:rFonts w:ascii="Calibri" w:hAnsi="Calibri"/>
                <w:b/>
                <w:color w:val="17324D"/>
                <w:sz w:val="19"/>
              </w:rPr>
              <w:t>Primary graph focus</w:t>
            </w:r>
          </w:p>
        </w:tc>
      </w:tr>
      <w:tr>
        <w:trPr/>
        <w:tc>
          <w:tcPr>
            <w:tcW w:type="dxa" w:w="2800"/>
            <w:vAlign w:val="center"/>
            <w:tcMar>
              <w:top w:w="100" w:type="dxa"/>
              <w:start w:w="120" w:type="dxa"/>
              <w:bottom w:w="100" w:type="dxa"/>
              <w:end w:w="120" w:type="dxa"/>
            </w:tcMar>
          </w:tcPr>
          <w:p>
            <w:pPr>
              <w:spacing w:after="0" w:line="259" w:lineRule="auto"/>
            </w:pPr>
            <w:r>
              <w:rPr>
                <w:rFonts w:ascii="Calibri" w:hAnsi="Calibri"/>
                <w:color w:val="202124"/>
                <w:sz w:val="18"/>
              </w:rPr>
              <w:t>process_overview</w:t>
            </w:r>
          </w:p>
        </w:tc>
        <w:tc>
          <w:tcPr>
            <w:tcW w:type="dxa" w:w="6560"/>
            <w:vAlign w:val="center"/>
            <w:tcMar>
              <w:top w:w="100" w:type="dxa"/>
              <w:start w:w="120" w:type="dxa"/>
              <w:bottom w:w="100" w:type="dxa"/>
              <w:end w:w="120" w:type="dxa"/>
            </w:tcMar>
          </w:tcPr>
          <w:p>
            <w:pPr>
              <w:spacing w:after="0" w:line="259" w:lineRule="auto"/>
            </w:pPr>
            <w:r>
              <w:rPr>
                <w:rFonts w:ascii="Calibri" w:hAnsi="Calibri"/>
                <w:color w:val="202124"/>
                <w:sz w:val="18"/>
              </w:rPr>
              <w:t>Process and accessible related nodes</w:t>
            </w:r>
          </w:p>
        </w:tc>
      </w:tr>
      <w:tr>
        <w:trPr/>
        <w:tc>
          <w:tcPr>
            <w:tcW w:type="dxa" w:w="2800"/>
            <w:vAlign w:val="center"/>
            <w:tcMar>
              <w:top w:w="100" w:type="dxa"/>
              <w:start w:w="120" w:type="dxa"/>
              <w:bottom w:w="100" w:type="dxa"/>
              <w:end w:w="120" w:type="dxa"/>
            </w:tcMar>
          </w:tcPr>
          <w:p>
            <w:pPr>
              <w:spacing w:after="0" w:line="259" w:lineRule="auto"/>
            </w:pPr>
            <w:r>
              <w:rPr>
                <w:rFonts w:ascii="Calibri" w:hAnsi="Calibri"/>
                <w:color w:val="202124"/>
                <w:sz w:val="18"/>
              </w:rPr>
              <w:t>controls</w:t>
            </w:r>
          </w:p>
        </w:tc>
        <w:tc>
          <w:tcPr>
            <w:tcW w:type="dxa" w:w="6560"/>
            <w:vAlign w:val="center"/>
            <w:tcMar>
              <w:top w:w="100" w:type="dxa"/>
              <w:start w:w="120" w:type="dxa"/>
              <w:bottom w:w="100" w:type="dxa"/>
              <w:end w:w="120" w:type="dxa"/>
            </w:tcMar>
          </w:tcPr>
          <w:p>
            <w:pPr>
              <w:spacing w:after="0" w:line="259" w:lineRule="auto"/>
            </w:pPr>
            <w:r>
              <w:rPr>
                <w:rFonts w:ascii="Calibri" w:hAnsi="Calibri"/>
                <w:color w:val="202124"/>
                <w:sz w:val="18"/>
              </w:rPr>
              <w:t>GOVERNED_BY</w:t>
            </w:r>
          </w:p>
        </w:tc>
      </w:tr>
      <w:tr>
        <w:trPr/>
        <w:tc>
          <w:tcPr>
            <w:tcW w:type="dxa" w:w="2800"/>
            <w:vAlign w:val="center"/>
            <w:tcMar>
              <w:top w:w="100" w:type="dxa"/>
              <w:start w:w="120" w:type="dxa"/>
              <w:bottom w:w="100" w:type="dxa"/>
              <w:end w:w="120" w:type="dxa"/>
            </w:tcMar>
          </w:tcPr>
          <w:p>
            <w:pPr>
              <w:spacing w:after="0" w:line="259" w:lineRule="auto"/>
            </w:pPr>
            <w:r>
              <w:rPr>
                <w:rFonts w:ascii="Calibri" w:hAnsi="Calibri"/>
                <w:color w:val="202124"/>
                <w:sz w:val="18"/>
              </w:rPr>
              <w:t>systems</w:t>
            </w:r>
          </w:p>
        </w:tc>
        <w:tc>
          <w:tcPr>
            <w:tcW w:type="dxa" w:w="6560"/>
            <w:vAlign w:val="center"/>
            <w:tcMar>
              <w:top w:w="100" w:type="dxa"/>
              <w:start w:w="120" w:type="dxa"/>
              <w:bottom w:w="100" w:type="dxa"/>
              <w:end w:w="120" w:type="dxa"/>
            </w:tcMar>
          </w:tcPr>
          <w:p>
            <w:pPr>
              <w:spacing w:after="0" w:line="259" w:lineRule="auto"/>
            </w:pPr>
            <w:r>
              <w:rPr>
                <w:rFonts w:ascii="Calibri" w:hAnsi="Calibri"/>
                <w:color w:val="202124"/>
                <w:sz w:val="18"/>
              </w:rPr>
              <w:t>USES_SYSTEM</w:t>
            </w:r>
          </w:p>
        </w:tc>
      </w:tr>
      <w:tr>
        <w:trPr/>
        <w:tc>
          <w:tcPr>
            <w:tcW w:type="dxa" w:w="2800"/>
            <w:vAlign w:val="center"/>
            <w:tcMar>
              <w:top w:w="100" w:type="dxa"/>
              <w:start w:w="120" w:type="dxa"/>
              <w:bottom w:w="100" w:type="dxa"/>
              <w:end w:w="120" w:type="dxa"/>
            </w:tcMar>
          </w:tcPr>
          <w:p>
            <w:pPr>
              <w:spacing w:after="0" w:line="259" w:lineRule="auto"/>
            </w:pPr>
            <w:r>
              <w:rPr>
                <w:rFonts w:ascii="Calibri" w:hAnsi="Calibri"/>
                <w:color w:val="202124"/>
                <w:sz w:val="18"/>
              </w:rPr>
              <w:t>ownership</w:t>
            </w:r>
          </w:p>
        </w:tc>
        <w:tc>
          <w:tcPr>
            <w:tcW w:type="dxa" w:w="6560"/>
            <w:vAlign w:val="center"/>
            <w:tcMar>
              <w:top w:w="100" w:type="dxa"/>
              <w:start w:w="120" w:type="dxa"/>
              <w:bottom w:w="100" w:type="dxa"/>
              <w:end w:w="120" w:type="dxa"/>
            </w:tcMar>
          </w:tcPr>
          <w:p>
            <w:pPr>
              <w:spacing w:after="0" w:line="259" w:lineRule="auto"/>
            </w:pPr>
            <w:r>
              <w:rPr>
                <w:rFonts w:ascii="Calibri" w:hAnsi="Calibri"/>
                <w:color w:val="202124"/>
                <w:sz w:val="18"/>
              </w:rPr>
              <w:t>OWNED_BY</w:t>
            </w:r>
          </w:p>
        </w:tc>
      </w:tr>
      <w:tr>
        <w:trPr/>
        <w:tc>
          <w:tcPr>
            <w:tcW w:type="dxa" w:w="2800"/>
            <w:vAlign w:val="center"/>
            <w:tcMar>
              <w:top w:w="100" w:type="dxa"/>
              <w:start w:w="120" w:type="dxa"/>
              <w:bottom w:w="100" w:type="dxa"/>
              <w:end w:w="120" w:type="dxa"/>
            </w:tcMar>
          </w:tcPr>
          <w:p>
            <w:pPr>
              <w:spacing w:after="0" w:line="259" w:lineRule="auto"/>
            </w:pPr>
            <w:r>
              <w:rPr>
                <w:rFonts w:ascii="Calibri" w:hAnsi="Calibri"/>
                <w:color w:val="202124"/>
                <w:sz w:val="18"/>
              </w:rPr>
              <w:t>markets</w:t>
            </w:r>
          </w:p>
        </w:tc>
        <w:tc>
          <w:tcPr>
            <w:tcW w:type="dxa" w:w="6560"/>
            <w:vAlign w:val="center"/>
            <w:tcMar>
              <w:top w:w="100" w:type="dxa"/>
              <w:start w:w="120" w:type="dxa"/>
              <w:bottom w:w="100" w:type="dxa"/>
              <w:end w:w="120" w:type="dxa"/>
            </w:tcMar>
          </w:tcPr>
          <w:p>
            <w:pPr>
              <w:spacing w:after="0" w:line="259" w:lineRule="auto"/>
            </w:pPr>
            <w:r>
              <w:rPr>
                <w:rFonts w:ascii="Calibri" w:hAnsi="Calibri"/>
                <w:color w:val="202124"/>
                <w:sz w:val="18"/>
              </w:rPr>
              <w:t>OPERATES_IN</w:t>
            </w:r>
          </w:p>
        </w:tc>
      </w:tr>
      <w:tr>
        <w:trPr/>
        <w:tc>
          <w:tcPr>
            <w:tcW w:type="dxa" w:w="2800"/>
            <w:vAlign w:val="center"/>
            <w:tcMar>
              <w:top w:w="100" w:type="dxa"/>
              <w:start w:w="120" w:type="dxa"/>
              <w:bottom w:w="100" w:type="dxa"/>
              <w:end w:w="120" w:type="dxa"/>
            </w:tcMar>
          </w:tcPr>
          <w:p>
            <w:pPr>
              <w:spacing w:after="0" w:line="259" w:lineRule="auto"/>
            </w:pPr>
            <w:r>
              <w:rPr>
                <w:rFonts w:ascii="Calibri" w:hAnsi="Calibri"/>
                <w:color w:val="202124"/>
                <w:sz w:val="18"/>
              </w:rPr>
              <w:t>documents</w:t>
            </w:r>
          </w:p>
        </w:tc>
        <w:tc>
          <w:tcPr>
            <w:tcW w:type="dxa" w:w="6560"/>
            <w:vAlign w:val="center"/>
            <w:tcMar>
              <w:top w:w="100" w:type="dxa"/>
              <w:start w:w="120" w:type="dxa"/>
              <w:bottom w:w="100" w:type="dxa"/>
              <w:end w:w="120" w:type="dxa"/>
            </w:tcMar>
          </w:tcPr>
          <w:p>
            <w:pPr>
              <w:spacing w:after="0" w:line="259" w:lineRule="auto"/>
            </w:pPr>
            <w:r>
              <w:rPr>
                <w:rFonts w:ascii="Calibri" w:hAnsi="Calibri"/>
                <w:color w:val="202124"/>
                <w:sz w:val="18"/>
              </w:rPr>
              <w:t>HAS_DOCUMENT</w:t>
            </w:r>
          </w:p>
        </w:tc>
      </w:tr>
      <w:tr>
        <w:trPr/>
        <w:tc>
          <w:tcPr>
            <w:tcW w:type="dxa" w:w="2800"/>
            <w:vAlign w:val="center"/>
            <w:tcMar>
              <w:top w:w="100" w:type="dxa"/>
              <w:start w:w="120" w:type="dxa"/>
              <w:bottom w:w="100" w:type="dxa"/>
              <w:end w:w="120" w:type="dxa"/>
            </w:tcMar>
          </w:tcPr>
          <w:p>
            <w:pPr>
              <w:spacing w:after="0" w:line="259" w:lineRule="auto"/>
            </w:pPr>
            <w:r>
              <w:rPr>
                <w:rFonts w:ascii="Calibri" w:hAnsi="Calibri"/>
                <w:color w:val="202124"/>
                <w:sz w:val="18"/>
              </w:rPr>
              <w:t>evidence_lineage</w:t>
            </w:r>
          </w:p>
        </w:tc>
        <w:tc>
          <w:tcPr>
            <w:tcW w:type="dxa" w:w="6560"/>
            <w:vAlign w:val="center"/>
            <w:tcMar>
              <w:top w:w="100" w:type="dxa"/>
              <w:start w:w="120" w:type="dxa"/>
              <w:bottom w:w="100" w:type="dxa"/>
              <w:end w:w="120" w:type="dxa"/>
            </w:tcMar>
          </w:tcPr>
          <w:p>
            <w:pPr>
              <w:spacing w:after="0" w:line="259" w:lineRule="auto"/>
            </w:pPr>
            <w:r>
              <w:rPr>
                <w:rFonts w:ascii="Calibri" w:hAnsi="Calibri"/>
                <w:color w:val="202124"/>
                <w:sz w:val="18"/>
              </w:rPr>
              <w:t>HAS_VERSION, HAS_CHUNK, SUPPORTS, Assertion</w:t>
            </w:r>
          </w:p>
        </w:tc>
      </w:tr>
      <w:tr>
        <w:trPr/>
        <w:tc>
          <w:tcPr>
            <w:tcW w:type="dxa" w:w="2800"/>
            <w:vAlign w:val="center"/>
            <w:tcMar>
              <w:top w:w="100" w:type="dxa"/>
              <w:start w:w="120" w:type="dxa"/>
              <w:bottom w:w="100" w:type="dxa"/>
              <w:end w:w="120" w:type="dxa"/>
            </w:tcMar>
          </w:tcPr>
          <w:p>
            <w:pPr>
              <w:spacing w:after="0" w:line="259" w:lineRule="auto"/>
            </w:pPr>
            <w:r>
              <w:rPr>
                <w:rFonts w:ascii="Calibri" w:hAnsi="Calibri"/>
                <w:color w:val="202124"/>
                <w:sz w:val="18"/>
              </w:rPr>
              <w:t>bpmn_flow</w:t>
            </w:r>
          </w:p>
        </w:tc>
        <w:tc>
          <w:tcPr>
            <w:tcW w:type="dxa" w:w="6560"/>
            <w:vAlign w:val="center"/>
            <w:tcMar>
              <w:top w:w="100" w:type="dxa"/>
              <w:start w:w="120" w:type="dxa"/>
              <w:bottom w:w="100" w:type="dxa"/>
              <w:end w:w="120" w:type="dxa"/>
            </w:tcMar>
          </w:tcPr>
          <w:p>
            <w:pPr>
              <w:spacing w:after="0" w:line="259" w:lineRule="auto"/>
            </w:pPr>
            <w:r>
              <w:rPr>
                <w:rFonts w:ascii="Calibri" w:hAnsi="Calibri"/>
                <w:color w:val="202124"/>
                <w:sz w:val="18"/>
              </w:rPr>
              <w:t>MODELED_BY, DEFINES_ACTIVITY, NEXT_ACTIVITY</w:t>
            </w:r>
          </w:p>
        </w:tc>
      </w:tr>
      <w:tr>
        <w:trPr/>
        <w:tc>
          <w:tcPr>
            <w:tcW w:type="dxa" w:w="2800"/>
            <w:vAlign w:val="center"/>
            <w:tcMar>
              <w:top w:w="100" w:type="dxa"/>
              <w:start w:w="120" w:type="dxa"/>
              <w:bottom w:w="100" w:type="dxa"/>
              <w:end w:w="120" w:type="dxa"/>
            </w:tcMar>
          </w:tcPr>
          <w:p>
            <w:pPr>
              <w:spacing w:after="0" w:line="259" w:lineRule="auto"/>
            </w:pPr>
            <w:r>
              <w:rPr>
                <w:rFonts w:ascii="Calibri" w:hAnsi="Calibri"/>
                <w:color w:val="202124"/>
                <w:sz w:val="18"/>
              </w:rPr>
              <w:t>variants</w:t>
            </w:r>
          </w:p>
        </w:tc>
        <w:tc>
          <w:tcPr>
            <w:tcW w:type="dxa" w:w="6560"/>
            <w:vAlign w:val="center"/>
            <w:tcMar>
              <w:top w:w="100" w:type="dxa"/>
              <w:start w:w="120" w:type="dxa"/>
              <w:bottom w:w="100" w:type="dxa"/>
              <w:end w:w="120" w:type="dxa"/>
            </w:tcMar>
          </w:tcPr>
          <w:p>
            <w:pPr>
              <w:spacing w:after="0" w:line="259" w:lineRule="auto"/>
            </w:pPr>
            <w:r>
              <w:rPr>
                <w:rFonts w:ascii="Calibri" w:hAnsi="Calibri"/>
                <w:color w:val="202124"/>
                <w:sz w:val="18"/>
              </w:rPr>
              <w:t>HAS_VARIANT and journey aggregates</w:t>
            </w:r>
          </w:p>
        </w:tc>
      </w:tr>
      <w:tr>
        <w:trPr/>
        <w:tc>
          <w:tcPr>
            <w:tcW w:type="dxa" w:w="2800"/>
            <w:vAlign w:val="center"/>
            <w:tcMar>
              <w:top w:w="100" w:type="dxa"/>
              <w:start w:w="120" w:type="dxa"/>
              <w:bottom w:w="100" w:type="dxa"/>
              <w:end w:w="120" w:type="dxa"/>
            </w:tcMar>
          </w:tcPr>
          <w:p>
            <w:pPr>
              <w:spacing w:after="0" w:line="259" w:lineRule="auto"/>
            </w:pPr>
            <w:r>
              <w:rPr>
                <w:rFonts w:ascii="Calibri" w:hAnsi="Calibri"/>
                <w:color w:val="202124"/>
                <w:sz w:val="18"/>
              </w:rPr>
              <w:t>journeys</w:t>
            </w:r>
          </w:p>
        </w:tc>
        <w:tc>
          <w:tcPr>
            <w:tcW w:type="dxa" w:w="6560"/>
            <w:vAlign w:val="center"/>
            <w:tcMar>
              <w:top w:w="100" w:type="dxa"/>
              <w:start w:w="120" w:type="dxa"/>
              <w:bottom w:w="100" w:type="dxa"/>
              <w:end w:w="120" w:type="dxa"/>
            </w:tcMar>
          </w:tcPr>
          <w:p>
            <w:pPr>
              <w:spacing w:after="0" w:line="259" w:lineRule="auto"/>
            </w:pPr>
            <w:r>
              <w:rPr>
                <w:rFonts w:ascii="Calibri" w:hAnsi="Calibri"/>
                <w:color w:val="202124"/>
                <w:sz w:val="18"/>
              </w:rPr>
              <w:t>HAS_JOURNEY and FOLLOWS_VARIANT</w:t>
            </w:r>
          </w:p>
        </w:tc>
      </w:tr>
      <w:tr>
        <w:trPr/>
        <w:tc>
          <w:tcPr>
            <w:tcW w:type="dxa" w:w="2800"/>
            <w:vAlign w:val="center"/>
            <w:tcMar>
              <w:top w:w="100" w:type="dxa"/>
              <w:start w:w="120" w:type="dxa"/>
              <w:bottom w:w="100" w:type="dxa"/>
              <w:end w:w="120" w:type="dxa"/>
            </w:tcMar>
          </w:tcPr>
          <w:p>
            <w:pPr>
              <w:spacing w:after="0" w:line="259" w:lineRule="auto"/>
            </w:pPr>
            <w:r>
              <w:rPr>
                <w:rFonts w:ascii="Calibri" w:hAnsi="Calibri"/>
                <w:color w:val="202124"/>
                <w:sz w:val="18"/>
              </w:rPr>
              <w:t>generic_evidence</w:t>
            </w:r>
          </w:p>
        </w:tc>
        <w:tc>
          <w:tcPr>
            <w:tcW w:type="dxa" w:w="6560"/>
            <w:vAlign w:val="center"/>
            <w:tcMar>
              <w:top w:w="100" w:type="dxa"/>
              <w:start w:w="120" w:type="dxa"/>
              <w:bottom w:w="100" w:type="dxa"/>
              <w:end w:w="120" w:type="dxa"/>
            </w:tcMar>
          </w:tcPr>
          <w:p>
            <w:pPr>
              <w:spacing w:after="0" w:line="259" w:lineRule="auto"/>
            </w:pPr>
            <w:r>
              <w:rPr>
                <w:rFonts w:ascii="Calibri" w:hAnsi="Calibri"/>
                <w:color w:val="202124"/>
                <w:sz w:val="18"/>
              </w:rPr>
              <w:t>Accessible governed process neighborhood</w:t>
            </w:r>
          </w:p>
        </w:tc>
      </w:tr>
    </w:tbl>
    <w:p>
      <w:pPr>
        <w:spacing w:after="40"/>
      </w:pPr>
    </w:p>
    <w:p>
      <w:pPr>
        <w:spacing w:before="120" w:after="200" w:line="269" w:lineRule="auto"/>
        <w:ind w:left="259" w:right="259"/>
        <w:shd w:fill="E8EEF5"/>
      </w:pPr>
      <w:r>
        <w:rPr>
          <w:rFonts w:ascii="Calibri" w:hAnsi="Calibri"/>
          <w:b/>
          <w:color w:val="17324D"/>
          <w:sz w:val="22"/>
        </w:rPr>
        <w:t xml:space="preserve">Safety property: </w:t>
      </w:r>
      <w:r>
        <w:rPr>
          <w:rFonts w:ascii="Calibri" w:hAnsi="Calibri"/>
          <w:color w:val="202124"/>
          <w:sz w:val="22"/>
        </w:rPr>
        <w:t>Chat never executes Cypher supplied by a user or generated by an LLM. The intent router selects only from the application-owned query catalog.</w:t>
      </w:r>
    </w:p>
    <w:p>
      <w:pPr>
        <w:pStyle w:val="Heading2"/>
      </w:pPr>
      <w:r>
        <w:t>Evidence resolution and reconciliation</w:t>
      </w:r>
    </w:p>
    <w:p>
      <w:r>
        <w:t>Every citation uses [document_id@document_version_id#chunk_id]. The evidence endpoint resolves the exact Qdrant text together with Neo4j document, version, locator, and assertion lineage. A governance endpoint compares active chunk IDs in both stores and reports graph-only or vector-only drift.</w:t>
      </w:r>
    </w:p>
    <w:p>
      <w:pPr>
        <w:pStyle w:val="Heading1"/>
      </w:pPr>
      <w:r>
        <w:t>7. Security and evidence controls</w:t>
      </w:r>
    </w:p>
    <w:p>
      <w:r>
        <w:t>Documents are classified as public, internal, confidential, or restricted. Clearance filters apply to both vector chunks and graph evidence. An internal user cannot retrieve a confidential document or a source-derived graph fact supported only by that document.</w:t>
      </w:r>
    </w:p>
    <w:tbl>
      <w:tblPr>
        <w:tblStyle w:val="TableGrid"/>
        <w:tblW w:type="dxa" w:w="9360"/>
        <w:jc w:val="left"/>
        <w:tblLayout w:type="fixed"/>
        <w:tblLook w:firstColumn="1" w:firstRow="1" w:lastColumn="0" w:lastRow="0" w:noHBand="0" w:noVBand="1" w:val="04A0"/>
        <w:tblInd w:w="120" w:type="dxa"/>
      </w:tblPr>
      <w:tblGrid>
        <w:gridCol w:w="2800"/>
        <w:gridCol w:w="6560"/>
      </w:tblGrid>
      <w:tr>
        <w:trPr>
          <w:tblHeader w:val="true"/>
        </w:trPr>
        <w:tc>
          <w:tcPr>
            <w:tcW w:type="dxa" w:w="2800"/>
            <w:shd w:fill="E8EEF5"/>
            <w:vAlign w:val="center"/>
            <w:tcMar>
              <w:top w:w="100" w:type="dxa"/>
              <w:start w:w="120" w:type="dxa"/>
              <w:bottom w:w="100" w:type="dxa"/>
              <w:end w:w="120" w:type="dxa"/>
            </w:tcMar>
          </w:tcPr>
          <w:p>
            <w:pPr>
              <w:spacing w:after="0"/>
            </w:pPr>
            <w:r>
              <w:rPr>
                <w:rFonts w:ascii="Calibri" w:hAnsi="Calibri"/>
                <w:b/>
                <w:color w:val="17324D"/>
                <w:sz w:val="19"/>
              </w:rPr>
              <w:t>Requested clearance</w:t>
            </w:r>
          </w:p>
        </w:tc>
        <w:tc>
          <w:tcPr>
            <w:tcW w:type="dxa" w:w="6560"/>
            <w:shd w:fill="E8EEF5"/>
            <w:vAlign w:val="center"/>
            <w:tcMar>
              <w:top w:w="100" w:type="dxa"/>
              <w:start w:w="120" w:type="dxa"/>
              <w:bottom w:w="100" w:type="dxa"/>
              <w:end w:w="120" w:type="dxa"/>
            </w:tcMar>
          </w:tcPr>
          <w:p>
            <w:pPr>
              <w:spacing w:after="0"/>
            </w:pPr>
            <w:r>
              <w:rPr>
                <w:rFonts w:ascii="Calibri" w:hAnsi="Calibri"/>
                <w:b/>
                <w:color w:val="17324D"/>
                <w:sz w:val="19"/>
              </w:rPr>
              <w:t>Accessible classifications</w:t>
            </w:r>
          </w:p>
        </w:tc>
      </w:tr>
      <w:tr>
        <w:trPr/>
        <w:tc>
          <w:tcPr>
            <w:tcW w:type="dxa" w:w="2800"/>
            <w:vAlign w:val="center"/>
            <w:tcMar>
              <w:top w:w="100" w:type="dxa"/>
              <w:start w:w="120" w:type="dxa"/>
              <w:bottom w:w="100" w:type="dxa"/>
              <w:end w:w="120" w:type="dxa"/>
            </w:tcMar>
          </w:tcPr>
          <w:p>
            <w:pPr>
              <w:spacing w:after="0" w:line="259" w:lineRule="auto"/>
            </w:pPr>
            <w:r>
              <w:rPr>
                <w:rFonts w:ascii="Calibri" w:hAnsi="Calibri"/>
                <w:color w:val="202124"/>
                <w:sz w:val="18"/>
              </w:rPr>
              <w:t>public</w:t>
            </w:r>
          </w:p>
        </w:tc>
        <w:tc>
          <w:tcPr>
            <w:tcW w:type="dxa" w:w="6560"/>
            <w:vAlign w:val="center"/>
            <w:tcMar>
              <w:top w:w="100" w:type="dxa"/>
              <w:start w:w="120" w:type="dxa"/>
              <w:bottom w:w="100" w:type="dxa"/>
              <w:end w:w="120" w:type="dxa"/>
            </w:tcMar>
          </w:tcPr>
          <w:p>
            <w:pPr>
              <w:spacing w:after="0" w:line="259" w:lineRule="auto"/>
            </w:pPr>
            <w:r>
              <w:rPr>
                <w:rFonts w:ascii="Calibri" w:hAnsi="Calibri"/>
                <w:color w:val="202124"/>
                <w:sz w:val="18"/>
              </w:rPr>
              <w:t>public</w:t>
            </w:r>
          </w:p>
        </w:tc>
      </w:tr>
      <w:tr>
        <w:trPr/>
        <w:tc>
          <w:tcPr>
            <w:tcW w:type="dxa" w:w="2800"/>
            <w:vAlign w:val="center"/>
            <w:tcMar>
              <w:top w:w="100" w:type="dxa"/>
              <w:start w:w="120" w:type="dxa"/>
              <w:bottom w:w="100" w:type="dxa"/>
              <w:end w:w="120" w:type="dxa"/>
            </w:tcMar>
          </w:tcPr>
          <w:p>
            <w:pPr>
              <w:spacing w:after="0" w:line="259" w:lineRule="auto"/>
            </w:pPr>
            <w:r>
              <w:rPr>
                <w:rFonts w:ascii="Calibri" w:hAnsi="Calibri"/>
                <w:color w:val="202124"/>
                <w:sz w:val="18"/>
              </w:rPr>
              <w:t>internal</w:t>
            </w:r>
          </w:p>
        </w:tc>
        <w:tc>
          <w:tcPr>
            <w:tcW w:type="dxa" w:w="6560"/>
            <w:vAlign w:val="center"/>
            <w:tcMar>
              <w:top w:w="100" w:type="dxa"/>
              <w:start w:w="120" w:type="dxa"/>
              <w:bottom w:w="100" w:type="dxa"/>
              <w:end w:w="120" w:type="dxa"/>
            </w:tcMar>
          </w:tcPr>
          <w:p>
            <w:pPr>
              <w:spacing w:after="0" w:line="259" w:lineRule="auto"/>
            </w:pPr>
            <w:r>
              <w:rPr>
                <w:rFonts w:ascii="Calibri" w:hAnsi="Calibri"/>
                <w:color w:val="202124"/>
                <w:sz w:val="18"/>
              </w:rPr>
              <w:t>public, internal</w:t>
            </w:r>
          </w:p>
        </w:tc>
      </w:tr>
      <w:tr>
        <w:trPr/>
        <w:tc>
          <w:tcPr>
            <w:tcW w:type="dxa" w:w="2800"/>
            <w:vAlign w:val="center"/>
            <w:tcMar>
              <w:top w:w="100" w:type="dxa"/>
              <w:start w:w="120" w:type="dxa"/>
              <w:bottom w:w="100" w:type="dxa"/>
              <w:end w:w="120" w:type="dxa"/>
            </w:tcMar>
          </w:tcPr>
          <w:p>
            <w:pPr>
              <w:spacing w:after="0" w:line="259" w:lineRule="auto"/>
            </w:pPr>
            <w:r>
              <w:rPr>
                <w:rFonts w:ascii="Calibri" w:hAnsi="Calibri"/>
                <w:color w:val="202124"/>
                <w:sz w:val="18"/>
              </w:rPr>
              <w:t>confidential</w:t>
            </w:r>
          </w:p>
        </w:tc>
        <w:tc>
          <w:tcPr>
            <w:tcW w:type="dxa" w:w="6560"/>
            <w:vAlign w:val="center"/>
            <w:tcMar>
              <w:top w:w="100" w:type="dxa"/>
              <w:start w:w="120" w:type="dxa"/>
              <w:bottom w:w="100" w:type="dxa"/>
              <w:end w:w="120" w:type="dxa"/>
            </w:tcMar>
          </w:tcPr>
          <w:p>
            <w:pPr>
              <w:spacing w:after="0" w:line="259" w:lineRule="auto"/>
            </w:pPr>
            <w:r>
              <w:rPr>
                <w:rFonts w:ascii="Calibri" w:hAnsi="Calibri"/>
                <w:color w:val="202124"/>
                <w:sz w:val="18"/>
              </w:rPr>
              <w:t>public, internal, confidential</w:t>
            </w:r>
          </w:p>
        </w:tc>
      </w:tr>
      <w:tr>
        <w:trPr/>
        <w:tc>
          <w:tcPr>
            <w:tcW w:type="dxa" w:w="2800"/>
            <w:vAlign w:val="center"/>
            <w:tcMar>
              <w:top w:w="100" w:type="dxa"/>
              <w:start w:w="120" w:type="dxa"/>
              <w:bottom w:w="100" w:type="dxa"/>
              <w:end w:w="120" w:type="dxa"/>
            </w:tcMar>
          </w:tcPr>
          <w:p>
            <w:pPr>
              <w:spacing w:after="0" w:line="259" w:lineRule="auto"/>
            </w:pPr>
            <w:r>
              <w:rPr>
                <w:rFonts w:ascii="Calibri" w:hAnsi="Calibri"/>
                <w:color w:val="202124"/>
                <w:sz w:val="18"/>
              </w:rPr>
              <w:t>restricted</w:t>
            </w:r>
          </w:p>
        </w:tc>
        <w:tc>
          <w:tcPr>
            <w:tcW w:type="dxa" w:w="6560"/>
            <w:vAlign w:val="center"/>
            <w:tcMar>
              <w:top w:w="100" w:type="dxa"/>
              <w:start w:w="120" w:type="dxa"/>
              <w:bottom w:w="100" w:type="dxa"/>
              <w:end w:w="120" w:type="dxa"/>
            </w:tcMar>
          </w:tcPr>
          <w:p>
            <w:pPr>
              <w:spacing w:after="0" w:line="259" w:lineRule="auto"/>
            </w:pPr>
            <w:r>
              <w:rPr>
                <w:rFonts w:ascii="Calibri" w:hAnsi="Calibri"/>
                <w:color w:val="202124"/>
                <w:sz w:val="18"/>
              </w:rPr>
              <w:t>public, internal, confidential, restricted</w:t>
            </w:r>
          </w:p>
        </w:tc>
      </w:tr>
    </w:tbl>
    <w:p>
      <w:pPr>
        <w:spacing w:after="40"/>
      </w:pPr>
    </w:p>
    <w:p>
      <w:pPr>
        <w:spacing w:before="120" w:after="200" w:line="269" w:lineRule="auto"/>
        <w:ind w:left="259" w:right="259"/>
        <w:shd w:fill="F4F6F9"/>
      </w:pPr>
      <w:r>
        <w:rPr>
          <w:rFonts w:ascii="Calibri" w:hAnsi="Calibri"/>
          <w:b/>
          <w:color w:val="17324D"/>
          <w:sz w:val="22"/>
        </w:rPr>
        <w:t xml:space="preserve">Production requirement: </w:t>
      </w:r>
      <w:r>
        <w:rPr>
          <w:rFonts w:ascii="Calibri" w:hAnsi="Calibri"/>
          <w:color w:val="202124"/>
          <w:sz w:val="22"/>
        </w:rPr>
        <w:t>Clearance must be derived from authenticated SSO/OIDC claims. The current request field exists to demonstrate retrieval behavior, not to replace authorization.</w:t>
      </w:r>
    </w:p>
    <w:p>
      <w:pPr>
        <w:pStyle w:val="Heading1"/>
      </w:pPr>
      <w:r>
        <w:t>8. Advantages of the constrained model</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trPr>
        <w:tc>
          <w:tcPr>
            <w:tcW w:type="dxa" w:w="2600"/>
            <w:shd w:fill="E8EEF5"/>
            <w:vAlign w:val="center"/>
            <w:tcMar>
              <w:top w:w="100" w:type="dxa"/>
              <w:start w:w="120" w:type="dxa"/>
              <w:bottom w:w="100" w:type="dxa"/>
              <w:end w:w="120" w:type="dxa"/>
            </w:tcMar>
          </w:tcPr>
          <w:p>
            <w:pPr>
              <w:spacing w:after="0"/>
            </w:pPr>
            <w:r>
              <w:rPr>
                <w:rFonts w:ascii="Calibri" w:hAnsi="Calibri"/>
                <w:b/>
                <w:color w:val="17324D"/>
                <w:sz w:val="19"/>
              </w:rPr>
              <w:t>Advantage</w:t>
            </w:r>
          </w:p>
        </w:tc>
        <w:tc>
          <w:tcPr>
            <w:tcW w:type="dxa" w:w="6760"/>
            <w:shd w:fill="E8EEF5"/>
            <w:vAlign w:val="center"/>
            <w:tcMar>
              <w:top w:w="100" w:type="dxa"/>
              <w:start w:w="120" w:type="dxa"/>
              <w:bottom w:w="100" w:type="dxa"/>
              <w:end w:w="120" w:type="dxa"/>
            </w:tcMar>
          </w:tcPr>
          <w:p>
            <w:pPr>
              <w:spacing w:after="0"/>
            </w:pPr>
            <w:r>
              <w:rPr>
                <w:rFonts w:ascii="Calibri" w:hAnsi="Calibri"/>
                <w:b/>
                <w:color w:val="17324D"/>
                <w:sz w:val="19"/>
              </w:rPr>
              <w:t>Business value</w:t>
            </w:r>
          </w:p>
        </w:tc>
      </w:tr>
      <w:tr>
        <w:trPr/>
        <w:tc>
          <w:tcPr>
            <w:tcW w:type="dxa" w:w="2600"/>
            <w:vAlign w:val="center"/>
            <w:tcMar>
              <w:top w:w="100" w:type="dxa"/>
              <w:start w:w="120" w:type="dxa"/>
              <w:bottom w:w="100" w:type="dxa"/>
              <w:end w:w="120" w:type="dxa"/>
            </w:tcMar>
          </w:tcPr>
          <w:p>
            <w:pPr>
              <w:spacing w:after="0" w:line="259" w:lineRule="auto"/>
            </w:pPr>
            <w:r>
              <w:rPr>
                <w:rFonts w:ascii="Calibri" w:hAnsi="Calibri"/>
                <w:color w:val="202124"/>
                <w:sz w:val="18"/>
              </w:rPr>
              <w:t>Predictable retrieval</w:t>
            </w:r>
          </w:p>
        </w:tc>
        <w:tc>
          <w:tcPr>
            <w:tcW w:type="dxa" w:w="6760"/>
            <w:vAlign w:val="center"/>
            <w:tcMar>
              <w:top w:w="100" w:type="dxa"/>
              <w:start w:w="120" w:type="dxa"/>
              <w:bottom w:w="100" w:type="dxa"/>
              <w:end w:w="120" w:type="dxa"/>
            </w:tcMar>
          </w:tcPr>
          <w:p>
            <w:pPr>
              <w:spacing w:after="0" w:line="259" w:lineRule="auto"/>
            </w:pPr>
            <w:r>
              <w:rPr>
                <w:rFonts w:ascii="Calibri" w:hAnsi="Calibri"/>
                <w:color w:val="202124"/>
                <w:sz w:val="18"/>
              </w:rPr>
              <w:t>Known intent-to-query mappings make graph retrieval deterministic and testable.</w:t>
            </w:r>
          </w:p>
        </w:tc>
      </w:tr>
      <w:tr>
        <w:trPr/>
        <w:tc>
          <w:tcPr>
            <w:tcW w:type="dxa" w:w="2600"/>
            <w:vAlign w:val="center"/>
            <w:tcMar>
              <w:top w:w="100" w:type="dxa"/>
              <w:start w:w="120" w:type="dxa"/>
              <w:bottom w:w="100" w:type="dxa"/>
              <w:end w:w="120" w:type="dxa"/>
            </w:tcMar>
          </w:tcPr>
          <w:p>
            <w:pPr>
              <w:spacing w:after="0" w:line="259" w:lineRule="auto"/>
            </w:pPr>
            <w:r>
              <w:rPr>
                <w:rFonts w:ascii="Calibri" w:hAnsi="Calibri"/>
                <w:color w:val="202124"/>
                <w:sz w:val="18"/>
              </w:rPr>
              <w:t>Lower noise</w:t>
            </w:r>
          </w:p>
        </w:tc>
        <w:tc>
          <w:tcPr>
            <w:tcW w:type="dxa" w:w="6760"/>
            <w:vAlign w:val="center"/>
            <w:tcMar>
              <w:top w:w="100" w:type="dxa"/>
              <w:start w:w="120" w:type="dxa"/>
              <w:bottom w:w="100" w:type="dxa"/>
              <w:end w:w="120" w:type="dxa"/>
            </w:tcMar>
          </w:tcPr>
          <w:p>
            <w:pPr>
              <w:spacing w:after="0" w:line="259" w:lineRule="auto"/>
            </w:pPr>
            <w:r>
              <w:rPr>
                <w:rFonts w:ascii="Calibri" w:hAnsi="Calibri"/>
                <w:color w:val="202124"/>
                <w:sz w:val="18"/>
              </w:rPr>
              <w:t>Canonical entity types prevent the same concept from fragmenting across arbitrary labels.</w:t>
            </w:r>
          </w:p>
        </w:tc>
      </w:tr>
      <w:tr>
        <w:trPr/>
        <w:tc>
          <w:tcPr>
            <w:tcW w:type="dxa" w:w="2600"/>
            <w:vAlign w:val="center"/>
            <w:tcMar>
              <w:top w:w="100" w:type="dxa"/>
              <w:start w:w="120" w:type="dxa"/>
              <w:bottom w:w="100" w:type="dxa"/>
              <w:end w:w="120" w:type="dxa"/>
            </w:tcMar>
          </w:tcPr>
          <w:p>
            <w:pPr>
              <w:spacing w:after="0" w:line="259" w:lineRule="auto"/>
            </w:pPr>
            <w:r>
              <w:rPr>
                <w:rFonts w:ascii="Calibri" w:hAnsi="Calibri"/>
                <w:color w:val="202124"/>
                <w:sz w:val="18"/>
              </w:rPr>
              <w:t>Stable query plans</w:t>
            </w:r>
          </w:p>
        </w:tc>
        <w:tc>
          <w:tcPr>
            <w:tcW w:type="dxa" w:w="6760"/>
            <w:vAlign w:val="center"/>
            <w:tcMar>
              <w:top w:w="100" w:type="dxa"/>
              <w:start w:w="120" w:type="dxa"/>
              <w:bottom w:w="100" w:type="dxa"/>
              <w:end w:w="120" w:type="dxa"/>
            </w:tcMar>
          </w:tcPr>
          <w:p>
            <w:pPr>
              <w:spacing w:after="0" w:line="259" w:lineRule="auto"/>
            </w:pPr>
            <w:r>
              <w:rPr>
                <w:rFonts w:ascii="Calibri" w:hAnsi="Calibri"/>
                <w:color w:val="202124"/>
                <w:sz w:val="18"/>
              </w:rPr>
              <w:t>Reviewed labels, relationships, constraints, and indexes remain valid over time.</w:t>
            </w:r>
          </w:p>
        </w:tc>
      </w:tr>
      <w:tr>
        <w:trPr/>
        <w:tc>
          <w:tcPr>
            <w:tcW w:type="dxa" w:w="2600"/>
            <w:vAlign w:val="center"/>
            <w:tcMar>
              <w:top w:w="100" w:type="dxa"/>
              <w:start w:w="120" w:type="dxa"/>
              <w:bottom w:w="100" w:type="dxa"/>
              <w:end w:w="120" w:type="dxa"/>
            </w:tcMar>
          </w:tcPr>
          <w:p>
            <w:pPr>
              <w:spacing w:after="0" w:line="259" w:lineRule="auto"/>
            </w:pPr>
            <w:r>
              <w:rPr>
                <w:rFonts w:ascii="Calibri" w:hAnsi="Calibri"/>
                <w:color w:val="202124"/>
                <w:sz w:val="18"/>
              </w:rPr>
              <w:t>Bounded graph growth</w:t>
            </w:r>
          </w:p>
        </w:tc>
        <w:tc>
          <w:tcPr>
            <w:tcW w:type="dxa" w:w="6760"/>
            <w:vAlign w:val="center"/>
            <w:tcMar>
              <w:top w:w="100" w:type="dxa"/>
              <w:start w:w="120" w:type="dxa"/>
              <w:bottom w:w="100" w:type="dxa"/>
              <w:end w:w="120" w:type="dxa"/>
            </w:tcMar>
          </w:tcPr>
          <w:p>
            <w:pPr>
              <w:spacing w:after="0" w:line="259" w:lineRule="auto"/>
            </w:pPr>
            <w:r>
              <w:rPr>
                <w:rFonts w:ascii="Calibri" w:hAnsi="Calibri"/>
                <w:color w:val="202124"/>
                <w:sz w:val="18"/>
              </w:rPr>
              <w:t>Chunk nodes stay sparse; repeated sources create assertions, not duplicate semantic edges.</w:t>
            </w:r>
          </w:p>
        </w:tc>
      </w:tr>
      <w:tr>
        <w:trPr/>
        <w:tc>
          <w:tcPr>
            <w:tcW w:type="dxa" w:w="2600"/>
            <w:vAlign w:val="center"/>
            <w:tcMar>
              <w:top w:w="100" w:type="dxa"/>
              <w:start w:w="120" w:type="dxa"/>
              <w:bottom w:w="100" w:type="dxa"/>
              <w:end w:w="120" w:type="dxa"/>
            </w:tcMar>
          </w:tcPr>
          <w:p>
            <w:pPr>
              <w:spacing w:after="0" w:line="259" w:lineRule="auto"/>
            </w:pPr>
            <w:r>
              <w:rPr>
                <w:rFonts w:ascii="Calibri" w:hAnsi="Calibri"/>
                <w:color w:val="202124"/>
                <w:sz w:val="18"/>
              </w:rPr>
              <w:t>Auditability</w:t>
            </w:r>
          </w:p>
        </w:tc>
        <w:tc>
          <w:tcPr>
            <w:tcW w:type="dxa" w:w="6760"/>
            <w:vAlign w:val="center"/>
            <w:tcMar>
              <w:top w:w="100" w:type="dxa"/>
              <w:start w:w="120" w:type="dxa"/>
              <w:bottom w:w="100" w:type="dxa"/>
              <w:end w:w="120" w:type="dxa"/>
            </w:tcMar>
          </w:tcPr>
          <w:p>
            <w:pPr>
              <w:spacing w:after="0" w:line="259" w:lineRule="auto"/>
            </w:pPr>
            <w:r>
              <w:rPr>
                <w:rFonts w:ascii="Calibri" w:hAnsi="Calibri"/>
                <w:color w:val="202124"/>
                <w:sz w:val="18"/>
              </w:rPr>
              <w:t>Every fact resolves to versioned chunk evidence, confidence, and assertion status.</w:t>
            </w:r>
          </w:p>
        </w:tc>
      </w:tr>
      <w:tr>
        <w:trPr/>
        <w:tc>
          <w:tcPr>
            <w:tcW w:type="dxa" w:w="2600"/>
            <w:vAlign w:val="center"/>
            <w:tcMar>
              <w:top w:w="100" w:type="dxa"/>
              <w:start w:w="120" w:type="dxa"/>
              <w:bottom w:w="100" w:type="dxa"/>
              <w:end w:w="120" w:type="dxa"/>
            </w:tcMar>
          </w:tcPr>
          <w:p>
            <w:pPr>
              <w:spacing w:after="0" w:line="259" w:lineRule="auto"/>
            </w:pPr>
            <w:r>
              <w:rPr>
                <w:rFonts w:ascii="Calibri" w:hAnsi="Calibri"/>
                <w:color w:val="202124"/>
                <w:sz w:val="18"/>
              </w:rPr>
              <w:t>Security consistency</w:t>
            </w:r>
          </w:p>
        </w:tc>
        <w:tc>
          <w:tcPr>
            <w:tcW w:type="dxa" w:w="6760"/>
            <w:vAlign w:val="center"/>
            <w:tcMar>
              <w:top w:w="100" w:type="dxa"/>
              <w:start w:w="120" w:type="dxa"/>
              <w:bottom w:w="100" w:type="dxa"/>
              <w:end w:w="120" w:type="dxa"/>
            </w:tcMar>
          </w:tcPr>
          <w:p>
            <w:pPr>
              <w:spacing w:after="0" w:line="259" w:lineRule="auto"/>
            </w:pPr>
            <w:r>
              <w:rPr>
                <w:rFonts w:ascii="Calibri" w:hAnsi="Calibri"/>
                <w:color w:val="202124"/>
                <w:sz w:val="18"/>
              </w:rPr>
              <w:t>Classification filters can be implemented systematically across both retrieval stores.</w:t>
            </w:r>
          </w:p>
        </w:tc>
      </w:tr>
      <w:tr>
        <w:trPr/>
        <w:tc>
          <w:tcPr>
            <w:tcW w:type="dxa" w:w="2600"/>
            <w:vAlign w:val="center"/>
            <w:tcMar>
              <w:top w:w="100" w:type="dxa"/>
              <w:start w:w="120" w:type="dxa"/>
              <w:bottom w:w="100" w:type="dxa"/>
              <w:end w:w="120" w:type="dxa"/>
            </w:tcMar>
          </w:tcPr>
          <w:p>
            <w:pPr>
              <w:spacing w:after="0" w:line="259" w:lineRule="auto"/>
            </w:pPr>
            <w:r>
              <w:rPr>
                <w:rFonts w:ascii="Calibri" w:hAnsi="Calibri"/>
                <w:color w:val="202124"/>
                <w:sz w:val="18"/>
              </w:rPr>
              <w:t>Better LLM grounding</w:t>
            </w:r>
          </w:p>
        </w:tc>
        <w:tc>
          <w:tcPr>
            <w:tcW w:type="dxa" w:w="6760"/>
            <w:vAlign w:val="center"/>
            <w:tcMar>
              <w:top w:w="100" w:type="dxa"/>
              <w:start w:w="120" w:type="dxa"/>
              <w:bottom w:w="100" w:type="dxa"/>
              <w:end w:w="120" w:type="dxa"/>
            </w:tcMar>
          </w:tcPr>
          <w:p>
            <w:pPr>
              <w:spacing w:after="0" w:line="259" w:lineRule="auto"/>
            </w:pPr>
            <w:r>
              <w:rPr>
                <w:rFonts w:ascii="Calibri" w:hAnsi="Calibri"/>
                <w:color w:val="202124"/>
                <w:sz w:val="18"/>
              </w:rPr>
              <w:t>The answer model receives a small set of meaningful facts and source passages.</w:t>
            </w:r>
          </w:p>
        </w:tc>
      </w:tr>
      <w:tr>
        <w:trPr/>
        <w:tc>
          <w:tcPr>
            <w:tcW w:type="dxa" w:w="2600"/>
            <w:vAlign w:val="center"/>
            <w:tcMar>
              <w:top w:w="100" w:type="dxa"/>
              <w:start w:w="120" w:type="dxa"/>
              <w:bottom w:w="100" w:type="dxa"/>
              <w:end w:w="120" w:type="dxa"/>
            </w:tcMar>
          </w:tcPr>
          <w:p>
            <w:pPr>
              <w:spacing w:after="0" w:line="259" w:lineRule="auto"/>
            </w:pPr>
            <w:r>
              <w:rPr>
                <w:rFonts w:ascii="Calibri" w:hAnsi="Calibri"/>
                <w:color w:val="202124"/>
                <w:sz w:val="18"/>
              </w:rPr>
              <w:t>Measurable quality</w:t>
            </w:r>
          </w:p>
        </w:tc>
        <w:tc>
          <w:tcPr>
            <w:tcW w:type="dxa" w:w="6760"/>
            <w:vAlign w:val="center"/>
            <w:tcMar>
              <w:top w:w="100" w:type="dxa"/>
              <w:start w:w="120" w:type="dxa"/>
              <w:bottom w:w="100" w:type="dxa"/>
              <w:end w:w="120" w:type="dxa"/>
            </w:tcMar>
          </w:tcPr>
          <w:p>
            <w:pPr>
              <w:spacing w:after="0" w:line="259" w:lineRule="auto"/>
            </w:pPr>
            <w:r>
              <w:rPr>
                <w:rFonts w:ascii="Calibri" w:hAnsi="Calibri"/>
                <w:color w:val="202124"/>
                <w:sz w:val="18"/>
              </w:rPr>
              <w:t>Extraction precision, relationship accuracy, graph coverage, and answer faithfulness can be evaluated.</w:t>
            </w:r>
          </w:p>
        </w:tc>
      </w:tr>
    </w:tbl>
    <w:p>
      <w:pPr>
        <w:spacing w:after="40"/>
      </w:pPr>
    </w:p>
    <w:p>
      <w:pPr>
        <w:pStyle w:val="Heading2"/>
      </w:pPr>
      <w:r>
        <w:t>Why an open ontology becomes noisy</w:t>
      </w:r>
    </w:p>
    <w:p>
      <w:r>
        <w:t>An unrestricted extractor can express one system relationship as USES, SUPPORTED_BY, RUNS_ON, APPLICATION_FOR, or RELATED_TO. The same entity may appear as SAP, SAP ERP, S/4HANA, ERP Platform, or SAP System. Query authors and answer models no longer know which dimensions are authoritative.</w:t>
      </w:r>
    </w:p>
    <w:p>
      <w:pPr>
        <w:spacing w:before="120" w:after="200" w:line="269" w:lineRule="auto"/>
        <w:ind w:left="259" w:right="259"/>
        <w:shd w:fill="E8EEF5"/>
      </w:pPr>
      <w:r>
        <w:rPr>
          <w:rFonts w:ascii="Calibri" w:hAnsi="Calibri"/>
          <w:b/>
          <w:color w:val="17324D"/>
          <w:sz w:val="22"/>
        </w:rPr>
        <w:t xml:space="preserve">Demonstration endpoint: </w:t>
      </w:r>
      <w:r>
        <w:rPr>
          <w:rFonts w:ascii="Calibri" w:hAnsi="Calibri"/>
          <w:color w:val="202124"/>
          <w:sz w:val="22"/>
        </w:rPr>
        <w:t>POST /v1/demo/compare-open-ontology runs governed and intentionally open extraction side by side. The open result is never persisted. On the sample SOP it produced eight arbitrary labels versus four governed entity types.</w:t>
      </w:r>
    </w:p>
    <w:p>
      <w:r>
        <w:br w:type="page"/>
      </w:r>
    </w:p>
    <w:p>
      <w:pPr>
        <w:pStyle w:val="Heading1"/>
      </w:pPr>
      <w:r>
        <w:t>9. Verified reference implementation</w:t>
      </w:r>
    </w:p>
    <w:p>
      <w:r>
        <w:t>The local reference stack has been deployed with Podman and exercised through the live FastAPI endpoints, Neo4j, and Qdrant.</w:t>
      </w:r>
    </w:p>
    <w:tbl>
      <w:tblPr>
        <w:tblStyle w:val="TableGrid"/>
        <w:tblW w:type="dxa" w:w="9360"/>
        <w:jc w:val="left"/>
        <w:tblLayout w:type="fixed"/>
        <w:tblLook w:firstColumn="1" w:firstRow="1" w:lastColumn="0" w:lastRow="0" w:noHBand="0" w:noVBand="1" w:val="04A0"/>
        <w:tblInd w:w="120" w:type="dxa"/>
      </w:tblPr>
      <w:tblGrid>
        <w:gridCol w:w="3000"/>
        <w:gridCol w:w="6360"/>
      </w:tblGrid>
      <w:tr>
        <w:trPr>
          <w:tblHeader w:val="true"/>
        </w:trPr>
        <w:tc>
          <w:tcPr>
            <w:tcW w:type="dxa" w:w="3000"/>
            <w:shd w:fill="E8EEF5"/>
            <w:vAlign w:val="center"/>
            <w:tcMar>
              <w:top w:w="100" w:type="dxa"/>
              <w:start w:w="120" w:type="dxa"/>
              <w:bottom w:w="100" w:type="dxa"/>
              <w:end w:w="120" w:type="dxa"/>
            </w:tcMar>
          </w:tcPr>
          <w:p>
            <w:pPr>
              <w:spacing w:after="0"/>
            </w:pPr>
            <w:r>
              <w:rPr>
                <w:rFonts w:ascii="Calibri" w:hAnsi="Calibri"/>
                <w:b/>
                <w:color w:val="17324D"/>
                <w:sz w:val="19"/>
              </w:rPr>
              <w:t>Component</w:t>
            </w:r>
          </w:p>
        </w:tc>
        <w:tc>
          <w:tcPr>
            <w:tcW w:type="dxa" w:w="6360"/>
            <w:shd w:fill="E8EEF5"/>
            <w:vAlign w:val="center"/>
            <w:tcMar>
              <w:top w:w="100" w:type="dxa"/>
              <w:start w:w="120" w:type="dxa"/>
              <w:bottom w:w="100" w:type="dxa"/>
              <w:end w:w="120" w:type="dxa"/>
            </w:tcMar>
          </w:tcPr>
          <w:p>
            <w:pPr>
              <w:spacing w:after="0"/>
            </w:pPr>
            <w:r>
              <w:rPr>
                <w:rFonts w:ascii="Calibri" w:hAnsi="Calibri"/>
                <w:b/>
                <w:color w:val="17324D"/>
                <w:sz w:val="19"/>
              </w:rPr>
              <w:t>Verified result</w:t>
            </w:r>
          </w:p>
        </w:tc>
      </w:tr>
      <w:tr>
        <w:trPr/>
        <w:tc>
          <w:tcPr>
            <w:tcW w:type="dxa" w:w="3000"/>
            <w:vAlign w:val="center"/>
            <w:tcMar>
              <w:top w:w="100" w:type="dxa"/>
              <w:start w:w="120" w:type="dxa"/>
              <w:bottom w:w="100" w:type="dxa"/>
              <w:end w:w="120" w:type="dxa"/>
            </w:tcMar>
          </w:tcPr>
          <w:p>
            <w:pPr>
              <w:spacing w:after="0" w:line="259" w:lineRule="auto"/>
            </w:pPr>
            <w:r>
              <w:rPr>
                <w:rFonts w:ascii="Calibri" w:hAnsi="Calibri"/>
                <w:color w:val="202124"/>
                <w:sz w:val="18"/>
              </w:rPr>
              <w:t>Evidence graph</w:t>
            </w:r>
          </w:p>
        </w:tc>
        <w:tc>
          <w:tcPr>
            <w:tcW w:type="dxa" w:w="6360"/>
            <w:vAlign w:val="center"/>
            <w:tcMar>
              <w:top w:w="100" w:type="dxa"/>
              <w:start w:w="120" w:type="dxa"/>
              <w:bottom w:w="100" w:type="dxa"/>
              <w:end w:w="120" w:type="dxa"/>
            </w:tcMar>
          </w:tcPr>
          <w:p>
            <w:pPr>
              <w:spacing w:after="0" w:line="259" w:lineRule="auto"/>
            </w:pPr>
            <w:r>
              <w:rPr>
                <w:rFonts w:ascii="Calibri" w:hAnsi="Calibri"/>
                <w:color w:val="202124"/>
                <w:sz w:val="18"/>
              </w:rPr>
              <w:t>3 documents, 3 active immutable versions, 6 active chunks</w:t>
            </w:r>
          </w:p>
        </w:tc>
      </w:tr>
      <w:tr>
        <w:trPr/>
        <w:tc>
          <w:tcPr>
            <w:tcW w:type="dxa" w:w="3000"/>
            <w:vAlign w:val="center"/>
            <w:tcMar>
              <w:top w:w="100" w:type="dxa"/>
              <w:start w:w="120" w:type="dxa"/>
              <w:bottom w:w="100" w:type="dxa"/>
              <w:end w:w="120" w:type="dxa"/>
            </w:tcMar>
          </w:tcPr>
          <w:p>
            <w:pPr>
              <w:spacing w:after="0" w:line="259" w:lineRule="auto"/>
            </w:pPr>
            <w:r>
              <w:rPr>
                <w:rFonts w:ascii="Calibri" w:hAnsi="Calibri"/>
                <w:color w:val="202124"/>
                <w:sz w:val="18"/>
              </w:rPr>
              <w:t>Assertions</w:t>
            </w:r>
          </w:p>
        </w:tc>
        <w:tc>
          <w:tcPr>
            <w:tcW w:type="dxa" w:w="6360"/>
            <w:vAlign w:val="center"/>
            <w:tcMar>
              <w:top w:w="100" w:type="dxa"/>
              <w:start w:w="120" w:type="dxa"/>
              <w:bottom w:w="100" w:type="dxa"/>
              <w:end w:w="120" w:type="dxa"/>
            </w:tcMar>
          </w:tcPr>
          <w:p>
            <w:pPr>
              <w:spacing w:after="0" w:line="259" w:lineRule="auto"/>
            </w:pPr>
            <w:r>
              <w:rPr>
                <w:rFonts w:ascii="Calibri" w:hAnsi="Calibri"/>
                <w:color w:val="202124"/>
                <w:sz w:val="18"/>
              </w:rPr>
              <w:t>24 active governed assertions; zero unsupported assertions</w:t>
            </w:r>
          </w:p>
        </w:tc>
      </w:tr>
      <w:tr>
        <w:trPr/>
        <w:tc>
          <w:tcPr>
            <w:tcW w:type="dxa" w:w="3000"/>
            <w:vAlign w:val="center"/>
            <w:tcMar>
              <w:top w:w="100" w:type="dxa"/>
              <w:start w:w="120" w:type="dxa"/>
              <w:bottom w:w="100" w:type="dxa"/>
              <w:end w:w="120" w:type="dxa"/>
            </w:tcMar>
          </w:tcPr>
          <w:p>
            <w:pPr>
              <w:spacing w:after="0" w:line="259" w:lineRule="auto"/>
            </w:pPr>
            <w:r>
              <w:rPr>
                <w:rFonts w:ascii="Calibri" w:hAnsi="Calibri"/>
                <w:color w:val="202124"/>
                <w:sz w:val="18"/>
              </w:rPr>
              <w:t>BPMN</w:t>
            </w:r>
          </w:p>
        </w:tc>
        <w:tc>
          <w:tcPr>
            <w:tcW w:type="dxa" w:w="6360"/>
            <w:vAlign w:val="center"/>
            <w:tcMar>
              <w:top w:w="100" w:type="dxa"/>
              <w:start w:w="120" w:type="dxa"/>
              <w:bottom w:w="100" w:type="dxa"/>
              <w:end w:w="120" w:type="dxa"/>
            </w:tcMar>
          </w:tcPr>
          <w:p>
            <w:pPr>
              <w:spacing w:after="0" w:line="259" w:lineRule="auto"/>
            </w:pPr>
            <w:r>
              <w:rPr>
                <w:rFonts w:ascii="Calibri" w:hAnsi="Calibri"/>
                <w:color w:val="202124"/>
                <w:sz w:val="18"/>
              </w:rPr>
              <w:t>8 activities and 7 sequence flows</w:t>
            </w:r>
          </w:p>
        </w:tc>
      </w:tr>
      <w:tr>
        <w:trPr/>
        <w:tc>
          <w:tcPr>
            <w:tcW w:type="dxa" w:w="3000"/>
            <w:vAlign w:val="center"/>
            <w:tcMar>
              <w:top w:w="100" w:type="dxa"/>
              <w:start w:w="120" w:type="dxa"/>
              <w:bottom w:w="100" w:type="dxa"/>
              <w:end w:w="120" w:type="dxa"/>
            </w:tcMar>
          </w:tcPr>
          <w:p>
            <w:pPr>
              <w:spacing w:after="0" w:line="259" w:lineRule="auto"/>
            </w:pPr>
            <w:r>
              <w:rPr>
                <w:rFonts w:ascii="Calibri" w:hAnsi="Calibri"/>
                <w:color w:val="202124"/>
                <w:sz w:val="18"/>
              </w:rPr>
              <w:t>Operational intelligence</w:t>
            </w:r>
          </w:p>
        </w:tc>
        <w:tc>
          <w:tcPr>
            <w:tcW w:type="dxa" w:w="6360"/>
            <w:vAlign w:val="center"/>
            <w:tcMar>
              <w:top w:w="100" w:type="dxa"/>
              <w:start w:w="120" w:type="dxa"/>
              <w:bottom w:w="100" w:type="dxa"/>
              <w:end w:w="120" w:type="dxa"/>
            </w:tcMar>
          </w:tcPr>
          <w:p>
            <w:pPr>
              <w:spacing w:after="0" w:line="259" w:lineRule="auto"/>
            </w:pPr>
            <w:r>
              <w:rPr>
                <w:rFonts w:ascii="Calibri" w:hAnsi="Calibri"/>
                <w:color w:val="202124"/>
                <w:sz w:val="18"/>
              </w:rPr>
              <w:t>2 journeys, 2 variants, and 9 events</w:t>
            </w:r>
          </w:p>
        </w:tc>
      </w:tr>
      <w:tr>
        <w:trPr/>
        <w:tc>
          <w:tcPr>
            <w:tcW w:type="dxa" w:w="3000"/>
            <w:vAlign w:val="center"/>
            <w:tcMar>
              <w:top w:w="100" w:type="dxa"/>
              <w:start w:w="120" w:type="dxa"/>
              <w:bottom w:w="100" w:type="dxa"/>
              <w:end w:w="120" w:type="dxa"/>
            </w:tcMar>
          </w:tcPr>
          <w:p>
            <w:pPr>
              <w:spacing w:after="0" w:line="259" w:lineRule="auto"/>
            </w:pPr>
            <w:r>
              <w:rPr>
                <w:rFonts w:ascii="Calibri" w:hAnsi="Calibri"/>
                <w:color w:val="202124"/>
                <w:sz w:val="18"/>
              </w:rPr>
              <w:t>Vector store</w:t>
            </w:r>
          </w:p>
        </w:tc>
        <w:tc>
          <w:tcPr>
            <w:tcW w:type="dxa" w:w="6360"/>
            <w:vAlign w:val="center"/>
            <w:tcMar>
              <w:top w:w="100" w:type="dxa"/>
              <w:start w:w="120" w:type="dxa"/>
              <w:bottom w:w="100" w:type="dxa"/>
              <w:end w:w="120" w:type="dxa"/>
            </w:tcMar>
          </w:tcPr>
          <w:p>
            <w:pPr>
              <w:spacing w:after="0" w:line="259" w:lineRule="auto"/>
            </w:pPr>
            <w:r>
              <w:rPr>
                <w:rFonts w:ascii="Calibri" w:hAnsi="Calibri"/>
                <w:color w:val="202124"/>
                <w:sz w:val="18"/>
              </w:rPr>
              <w:t>6 active Qdrant points sharing Neo4j chunk IDs</w:t>
            </w:r>
          </w:p>
        </w:tc>
      </w:tr>
      <w:tr>
        <w:trPr/>
        <w:tc>
          <w:tcPr>
            <w:tcW w:type="dxa" w:w="3000"/>
            <w:vAlign w:val="center"/>
            <w:tcMar>
              <w:top w:w="100" w:type="dxa"/>
              <w:start w:w="120" w:type="dxa"/>
              <w:bottom w:w="100" w:type="dxa"/>
              <w:end w:w="120" w:type="dxa"/>
            </w:tcMar>
          </w:tcPr>
          <w:p>
            <w:pPr>
              <w:spacing w:after="0" w:line="259" w:lineRule="auto"/>
            </w:pPr>
            <w:r>
              <w:rPr>
                <w:rFonts w:ascii="Calibri" w:hAnsi="Calibri"/>
                <w:color w:val="202124"/>
                <w:sz w:val="18"/>
              </w:rPr>
              <w:t>Reconciliation</w:t>
            </w:r>
          </w:p>
        </w:tc>
        <w:tc>
          <w:tcPr>
            <w:tcW w:type="dxa" w:w="6360"/>
            <w:vAlign w:val="center"/>
            <w:tcMar>
              <w:top w:w="100" w:type="dxa"/>
              <w:start w:w="120" w:type="dxa"/>
              <w:bottom w:w="100" w:type="dxa"/>
              <w:end w:w="120" w:type="dxa"/>
            </w:tcMar>
          </w:tcPr>
          <w:p>
            <w:pPr>
              <w:spacing w:after="0" w:line="259" w:lineRule="auto"/>
            </w:pPr>
            <w:r>
              <w:rPr>
                <w:rFonts w:ascii="Calibri" w:hAnsi="Calibri"/>
                <w:color w:val="202124"/>
                <w:sz w:val="18"/>
              </w:rPr>
              <w:t>Graph and vector active chunk sets are consistent</w:t>
            </w:r>
          </w:p>
        </w:tc>
      </w:tr>
      <w:tr>
        <w:trPr/>
        <w:tc>
          <w:tcPr>
            <w:tcW w:type="dxa" w:w="3000"/>
            <w:vAlign w:val="center"/>
            <w:tcMar>
              <w:top w:w="100" w:type="dxa"/>
              <w:start w:w="120" w:type="dxa"/>
              <w:bottom w:w="100" w:type="dxa"/>
              <w:end w:w="120" w:type="dxa"/>
            </w:tcMar>
          </w:tcPr>
          <w:p>
            <w:pPr>
              <w:spacing w:after="0" w:line="259" w:lineRule="auto"/>
            </w:pPr>
            <w:r>
              <w:rPr>
                <w:rFonts w:ascii="Calibri" w:hAnsi="Calibri"/>
                <w:color w:val="202124"/>
                <w:sz w:val="18"/>
              </w:rPr>
              <w:t>Quality gates</w:t>
            </w:r>
          </w:p>
        </w:tc>
        <w:tc>
          <w:tcPr>
            <w:tcW w:type="dxa" w:w="6360"/>
            <w:vAlign w:val="center"/>
            <w:tcMar>
              <w:top w:w="100" w:type="dxa"/>
              <w:start w:w="120" w:type="dxa"/>
              <w:bottom w:w="100" w:type="dxa"/>
              <w:end w:w="120" w:type="dxa"/>
            </w:tcMar>
          </w:tcPr>
          <w:p>
            <w:pPr>
              <w:spacing w:after="0" w:line="259" w:lineRule="auto"/>
            </w:pPr>
            <w:r>
              <w:rPr>
                <w:rFonts w:ascii="Calibri" w:hAnsi="Calibri"/>
                <w:color w:val="202124"/>
                <w:sz w:val="18"/>
              </w:rPr>
              <w:t>13 tests passed; lint and all fixed Cypher EXPLAIN checks passed</w:t>
            </w:r>
          </w:p>
        </w:tc>
      </w:tr>
      <w:tr>
        <w:trPr/>
        <w:tc>
          <w:tcPr>
            <w:tcW w:type="dxa" w:w="3000"/>
            <w:vAlign w:val="center"/>
            <w:tcMar>
              <w:top w:w="100" w:type="dxa"/>
              <w:start w:w="120" w:type="dxa"/>
              <w:bottom w:w="100" w:type="dxa"/>
              <w:end w:w="120" w:type="dxa"/>
            </w:tcMar>
          </w:tcPr>
          <w:p>
            <w:pPr>
              <w:spacing w:after="0" w:line="259" w:lineRule="auto"/>
            </w:pPr>
            <w:r>
              <w:rPr>
                <w:rFonts w:ascii="Calibri" w:hAnsi="Calibri"/>
                <w:color w:val="202124"/>
                <w:sz w:val="18"/>
              </w:rPr>
              <w:t>Idempotency</w:t>
            </w:r>
          </w:p>
        </w:tc>
        <w:tc>
          <w:tcPr>
            <w:tcW w:type="dxa" w:w="6360"/>
            <w:vAlign w:val="center"/>
            <w:tcMar>
              <w:top w:w="100" w:type="dxa"/>
              <w:start w:w="120" w:type="dxa"/>
              <w:bottom w:w="100" w:type="dxa"/>
              <w:end w:w="120" w:type="dxa"/>
            </w:tcMar>
          </w:tcPr>
          <w:p>
            <w:pPr>
              <w:spacing w:after="0" w:line="259" w:lineRule="auto"/>
            </w:pPr>
            <w:r>
              <w:rPr>
                <w:rFonts w:ascii="Calibri" w:hAnsi="Calibri"/>
                <w:color w:val="202124"/>
                <w:sz w:val="18"/>
              </w:rPr>
              <w:t>Repeated unchanged ingestion returns a skip</w:t>
            </w:r>
          </w:p>
        </w:tc>
      </w:tr>
      <w:tr>
        <w:trPr/>
        <w:tc>
          <w:tcPr>
            <w:tcW w:type="dxa" w:w="3000"/>
            <w:vAlign w:val="center"/>
            <w:tcMar>
              <w:top w:w="100" w:type="dxa"/>
              <w:start w:w="120" w:type="dxa"/>
              <w:bottom w:w="100" w:type="dxa"/>
              <w:end w:w="120" w:type="dxa"/>
            </w:tcMar>
          </w:tcPr>
          <w:p>
            <w:pPr>
              <w:spacing w:after="0" w:line="259" w:lineRule="auto"/>
            </w:pPr>
            <w:r>
              <w:rPr>
                <w:rFonts w:ascii="Calibri" w:hAnsi="Calibri"/>
                <w:color w:val="202124"/>
                <w:sz w:val="18"/>
              </w:rPr>
              <w:t>Version lifecycle</w:t>
            </w:r>
          </w:p>
        </w:tc>
        <w:tc>
          <w:tcPr>
            <w:tcW w:type="dxa" w:w="6360"/>
            <w:vAlign w:val="center"/>
            <w:tcMar>
              <w:top w:w="100" w:type="dxa"/>
              <w:start w:w="120" w:type="dxa"/>
              <w:bottom w:w="100" w:type="dxa"/>
              <w:end w:w="120" w:type="dxa"/>
            </w:tcMar>
          </w:tcPr>
          <w:p>
            <w:pPr>
              <w:spacing w:after="0" w:line="259" w:lineRule="auto"/>
            </w:pPr>
            <w:r>
              <w:rPr>
                <w:rFonts w:ascii="Calibri" w:hAnsi="Calibri"/>
                <w:color w:val="202124"/>
                <w:sz w:val="18"/>
              </w:rPr>
              <w:t>Changed content creates and activates an immutable revision</w:t>
            </w:r>
          </w:p>
        </w:tc>
      </w:tr>
    </w:tbl>
    <w:p>
      <w:pPr>
        <w:spacing w:after="40"/>
      </w:pPr>
    </w:p>
    <w:p>
      <w:pPr>
        <w:pStyle w:val="Heading2"/>
      </w:pPr>
      <w:r>
        <w:t>Useful Neo4j visualization queries</w:t>
      </w:r>
    </w:p>
    <w:p>
      <w:pPr>
        <w:pStyle w:val="CodeBlock"/>
      </w:pPr>
      <w:r>
        <w:t>MATCH path=(p:Process {process_id: "P2P-001"})-[:HAS_DOCUMENT]-&gt;(:Document)</w:t>
        <w:br/>
        <w:t>-[:HAS_VERSION]-&gt;(:DocumentVersion {active: true})</w:t>
        <w:br/>
        <w:t>-[:HAS_CHUNK]-&gt;(:Chunk {active: true})</w:t>
        <w:br/>
        <w:t>RETURN path</w:t>
        <w:br/>
        <w:t>LIMIT 200;</w:t>
      </w:r>
    </w:p>
    <w:p>
      <w:pPr>
        <w:pStyle w:val="CodeBlock"/>
      </w:pPr>
      <w:r>
        <w:t>MATCH (p:Process {process_id: "P2P-001"})-[:USES_SYSTEM]-&gt;(s:System)</w:t>
        <w:br/>
        <w:t>MATCH (c:Chunk)-[:SUPPORTS]-&gt;(a:Assertion)-[:SUBJECT]-&gt;(p)</w:t>
        <w:br/>
        <w:t>MATCH (a)-[:OBJECT]-&gt;(s)</w:t>
        <w:br/>
        <w:t>RETURN p, c, a, s;</w:t>
      </w:r>
    </w:p>
    <w:p>
      <w:r>
        <w:br w:type="page"/>
      </w:r>
    </w:p>
    <w:p>
      <w:pPr>
        <w:pStyle w:val="Heading1"/>
      </w:pPr>
      <w:r>
        <w:t>10. Production hardening roadmap</w:t>
      </w:r>
    </w:p>
    <w:p>
      <w:r>
        <w:t>The reference implementation establishes the data and retrieval architecture. A production platform should add the following controls.</w:t>
      </w:r>
    </w:p>
    <w:p>
      <w:pPr>
        <w:pStyle w:val="GovernedBullet"/>
        <w:numPr>
          <w:ilvl w:val="0"/>
          <w:numId w:val="100"/>
        </w:numPr>
      </w:pPr>
      <w:r>
        <w:t>SSO/OIDC authentication and claim-derived clearance.</w:t>
      </w:r>
    </w:p>
    <w:p>
      <w:pPr>
        <w:pStyle w:val="GovernedBullet"/>
        <w:numPr>
          <w:ilvl w:val="0"/>
          <w:numId w:val="100"/>
        </w:numPr>
      </w:pPr>
      <w:r>
        <w:t>Tenant IDs in every graph key, vector payload, and query filter.</w:t>
      </w:r>
    </w:p>
    <w:p>
      <w:pPr>
        <w:pStyle w:val="GovernedBullet"/>
        <w:numPr>
          <w:ilvl w:val="0"/>
          <w:numId w:val="100"/>
        </w:numPr>
      </w:pPr>
      <w:r>
        <w:t>Secrets management plus TLS or mTLS for databases and model endpoints.</w:t>
      </w:r>
    </w:p>
    <w:p>
      <w:pPr>
        <w:pStyle w:val="GovernedBullet"/>
        <w:numPr>
          <w:ilvl w:val="0"/>
          <w:numId w:val="100"/>
        </w:numPr>
      </w:pPr>
      <w:r>
        <w:t>Immutable object storage for source binaries, checksums, and legal hold.</w:t>
      </w:r>
    </w:p>
    <w:p>
      <w:pPr>
        <w:pStyle w:val="GovernedBullet"/>
        <w:numPr>
          <w:ilvl w:val="0"/>
          <w:numId w:val="100"/>
        </w:numPr>
      </w:pPr>
      <w:r>
        <w:t>Malware scanning, OCR, parser sandboxing, and file/page limits.</w:t>
      </w:r>
    </w:p>
    <w:p>
      <w:pPr>
        <w:pStyle w:val="GovernedBullet"/>
        <w:numPr>
          <w:ilvl w:val="0"/>
          <w:numId w:val="100"/>
        </w:numPr>
      </w:pPr>
      <w:r>
        <w:t>Master-data mappings for canonical systems, controls, markets, and business units.</w:t>
      </w:r>
    </w:p>
    <w:p>
      <w:pPr>
        <w:pStyle w:val="GovernedBullet"/>
        <w:numPr>
          <w:ilvl w:val="0"/>
          <w:numId w:val="100"/>
        </w:numPr>
      </w:pPr>
      <w:r>
        <w:t>Human review queues for low confidence and entity-resolution conflicts.</w:t>
      </w:r>
    </w:p>
    <w:p>
      <w:pPr>
        <w:pStyle w:val="GovernedBullet"/>
        <w:numPr>
          <w:ilvl w:val="0"/>
          <w:numId w:val="100"/>
        </w:numPr>
      </w:pPr>
      <w:r>
        <w:t>Durable outbox, retry worker, dead-letter queue, and scheduled reconciliation.</w:t>
      </w:r>
    </w:p>
    <w:p>
      <w:pPr>
        <w:pStyle w:val="GovernedBullet"/>
        <w:numPr>
          <w:ilvl w:val="0"/>
          <w:numId w:val="100"/>
        </w:numPr>
      </w:pPr>
      <w:r>
        <w:t>Versioned prompts, ontology migrations, embeddings, chunks, and ingestion runs.</w:t>
      </w:r>
    </w:p>
    <w:p>
      <w:pPr>
        <w:pStyle w:val="GovernedBullet"/>
        <w:numPr>
          <w:ilvl w:val="0"/>
          <w:numId w:val="100"/>
        </w:numPr>
      </w:pPr>
      <w:r>
        <w:t>Deletion, tombstone, retention, and reprocessing workflows across every store.</w:t>
      </w:r>
    </w:p>
    <w:p>
      <w:pPr>
        <w:pStyle w:val="GovernedBullet"/>
        <w:numPr>
          <w:ilvl w:val="0"/>
          <w:numId w:val="100"/>
        </w:numPr>
      </w:pPr>
      <w:r>
        <w:t>Asynchronous workers, retry queues, tracing, backups, high availability, and rate limits.</w:t>
      </w:r>
    </w:p>
    <w:p>
      <w:pPr>
        <w:pStyle w:val="GovernedBullet"/>
        <w:numPr>
          <w:ilvl w:val="0"/>
          <w:numId w:val="100"/>
        </w:numPr>
      </w:pPr>
      <w:r>
        <w:t>Labeled-corpus evaluation for extraction accuracy, retrieval relevance, and answer faithfulness.</w:t>
      </w:r>
    </w:p>
    <w:p>
      <w:pPr>
        <w:spacing w:before="120" w:after="200" w:line="269" w:lineRule="auto"/>
        <w:ind w:left="259" w:right="259"/>
        <w:shd w:fill="E8EEF5"/>
      </w:pPr>
      <w:r>
        <w:rPr>
          <w:rFonts w:ascii="Calibri" w:hAnsi="Calibri"/>
          <w:b/>
          <w:color w:val="17324D"/>
          <w:sz w:val="22"/>
        </w:rPr>
        <w:t xml:space="preserve">Recommended operating model: </w:t>
      </w:r>
      <w:r>
        <w:rPr>
          <w:rFonts w:ascii="Calibri" w:hAnsi="Calibri"/>
          <w:color w:val="202124"/>
          <w:sz w:val="22"/>
        </w:rPr>
        <w:t>Keep ontology discovery separate from production persistence. New candidate entity or relationship types should be measured across a corpus, mapped to a business question, reviewed by owners, versioned, and introduced only through a controlled migration.</w:t>
      </w:r>
    </w:p>
    <w:p>
      <w:pPr>
        <w:pStyle w:val="Heading1"/>
      </w:pPr>
      <w:r>
        <w:t>Conclusion</w:t>
      </w:r>
    </w:p>
    <w:p>
      <w:r>
        <w:t>The constrained knowledge store provides a reliable foundation for enterprise process intelligence. It connects formal documentation, BPMN design, governed business entities, and live operational behavior without allowing the graph schema to grow uncontrollably. The result is more queryable, explainable, secure, and useful to both analytical applications and LLM-based assistants.</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7085"/>
        <w:sz w:val="18"/>
      </w:rPr>
      <w:t xml:space="preserve">Page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667085"/>
        <w:sz w:val="17"/>
      </w:rPr>
      <w:t>PROCESS INTELLIGENCE KNOWLEDGE STORE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100">
    <w:multiLevelType w:val="singleLevel"/>
    <w:lvl w:ilvl="0">
      <w:start w:val="1"/>
      <w:numFmt w:val="bullet"/>
      <w:lvlText w:val="•"/>
      <w:lvlJc w:val="left"/>
      <w:pPr>
        <w:tabs>
          <w:tab w:val="num" w:pos="720"/>
        </w:tabs>
        <w:ind w:left="720" w:hanging="360"/>
      </w:pPr>
    </w:lvl>
  </w:abstractNum>
  <w:num w:numId="100">
    <w:abstractNumId w:val="100"/>
  </w:num>
  <w:abstractNum w:abstractNumId="101">
    <w:multiLevelType w:val="singleLevel"/>
    <w:lvl w:ilvl="0">
      <w:start w:val="1"/>
      <w:numFmt w:val="decimal"/>
      <w:lvlText w:val="%1."/>
      <w:lvlJc w:val="left"/>
      <w:pPr>
        <w:tabs>
          <w:tab w:val="num" w:pos="720"/>
        </w:tabs>
        <w:ind w:left="720" w:hanging="360"/>
      </w:pPr>
    </w:lvl>
  </w:abstractNum>
  <w:num w:numId="101">
    <w:abstractNumId w:val="101"/>
  </w:num>
  <w:abstractNum w:abstractNumId="102">
    <w:multiLevelType w:val="singleLevel"/>
    <w:lvl w:ilvl="0">
      <w:start w:val="1"/>
      <w:numFmt w:val="decimal"/>
      <w:lvlText w:val="%1."/>
      <w:lvlJc w:val="left"/>
      <w:pPr>
        <w:tabs>
          <w:tab w:val="num" w:pos="720"/>
        </w:tabs>
        <w:ind w:left="720" w:hanging="360"/>
      </w:pPr>
    </w:lvl>
  </w:abstractNum>
  <w:num w:numId="102">
    <w:abstractNumId w:val="10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2021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Calibri" w:hAnsi="Calibri"/>
      <w:b/>
      <w:color w:val="1732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Calibri" w:hAnsi="Calibri"/>
      <w:b w:val="0"/>
      <w:i/>
      <w:iCs/>
      <w:color w:val="667085"/>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overnedBullet">
    <w:name w:val="Governed Bullet"/>
    <w:basedOn w:val="Normal"/>
    <w:pPr>
      <w:spacing w:before="0" w:after="100" w:line="280" w:lineRule="auto"/>
      <w:ind w:left="720" w:hanging="360"/>
    </w:pPr>
    <w:rPr>
      <w:rFonts w:ascii="Calibri" w:hAnsi="Calibri"/>
      <w:sz w:val="22"/>
    </w:rPr>
  </w:style>
  <w:style w:type="paragraph" w:customStyle="1" w:styleId="GovernedNumber">
    <w:name w:val="Governed Number"/>
    <w:basedOn w:val="Normal"/>
    <w:pPr>
      <w:spacing w:before="0" w:after="100" w:line="280" w:lineRule="auto"/>
      <w:ind w:left="720" w:hanging="360"/>
    </w:pPr>
    <w:rPr>
      <w:rFonts w:ascii="Calibri" w:hAnsi="Calibri"/>
      <w:sz w:val="22"/>
    </w:rPr>
  </w:style>
  <w:style w:type="paragraph" w:customStyle="1" w:styleId="CodeBlock">
    <w:name w:val="Code Block"/>
    <w:pPr>
      <w:spacing w:before="80" w:after="160" w:line="252" w:lineRule="auto"/>
      <w:ind w:left="259" w:right="259"/>
      <w:shd w:fill="F2F4F7"/>
    </w:pPr>
    <w:rPr>
      <w:rFonts w:ascii="Consolas" w:hAnsi="Consolas"/>
      <w:color w:val="17324D"/>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Process Intelligence Knowledge Store</dc:title>
  <dc:subject>Architecture, implementation, governance, and advantages</dc:subject>
  <dc:creator>Process Intelligence Architecture Team</dc:creator>
  <cp:keywords>knowledge graph, RAG, Neo4j, Qdrant, BPMN, process intelligence</cp:keywords>
  <dc:description>generated by python-docx</dc:description>
  <cp:lastModifiedBy/>
  <cp:revision>1</cp:revision>
  <dcterms:created xsi:type="dcterms:W3CDTF">2013-12-23T23:15:00Z</dcterms:created>
  <dcterms:modified xsi:type="dcterms:W3CDTF">2013-12-23T23:15:00Z</dcterms:modified>
  <cp:category/>
</cp:coreProperties>
</file>