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技术序列薪酬体系与职级通道</w:t>
      </w:r>
    </w:p>
    <w:p>
      <w:pPr>
        <w:jc w:val="center"/>
      </w:pPr>
      <w:r>
        <w:rPr>
          <w:color w:val="2E6DA4"/>
          <w:sz w:val="24"/>
        </w:rPr>
        <w:t>Compensation &amp; Career Ladder · 智图科技</w:t>
      </w:r>
    </w:p>
    <w:p/>
    <w:p>
      <w:pPr>
        <w:pStyle w:val="Heading1"/>
      </w:pPr>
      <w:r>
        <w:rPr>
          <w:color w:val="1F3A5F"/>
        </w:rPr>
        <w:t>一、职级体系（技术序列 T）</w:t>
      </w:r>
    </w:p>
    <w:p>
      <w:r>
        <w:t>技术序列分为 T4—T10 共 7 个层级，校招新人通常定级 T4 或 T5。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职级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年薪区间(万元)</w:t>
            </w:r>
          </w:p>
        </w:tc>
        <w:tc>
          <w:tcPr>
            <w:tcW w:type="dxa" w:w="2160"/>
          </w:tcPr>
          <w:p>
            <w:r>
              <w:t>典型要求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初级工程师</w:t>
            </w:r>
          </w:p>
        </w:tc>
        <w:tc>
          <w:tcPr>
            <w:tcW w:type="dxa" w:w="2160"/>
          </w:tcPr>
          <w:p>
            <w:r>
              <w:t>25—35</w:t>
            </w:r>
          </w:p>
        </w:tc>
        <w:tc>
          <w:tcPr>
            <w:tcW w:type="dxa" w:w="2160"/>
          </w:tcPr>
          <w:p>
            <w:r>
              <w:t>校招新人，能在指导下完成任务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工程师</w:t>
            </w:r>
          </w:p>
        </w:tc>
        <w:tc>
          <w:tcPr>
            <w:tcW w:type="dxa" w:w="2160"/>
          </w:tcPr>
          <w:p>
            <w:r>
              <w:t>32—45</w:t>
            </w:r>
          </w:p>
        </w:tc>
        <w:tc>
          <w:tcPr>
            <w:tcW w:type="dxa" w:w="2160"/>
          </w:tcPr>
          <w:p>
            <w:r>
              <w:t>独立负责模块，校招 SP/社招1年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  <w:tc>
          <w:tcPr>
            <w:tcW w:type="dxa" w:w="2160"/>
          </w:tcPr>
          <w:p>
            <w:r>
              <w:t>45—65</w:t>
            </w:r>
          </w:p>
        </w:tc>
        <w:tc>
          <w:tcPr>
            <w:tcW w:type="dxa" w:w="2160"/>
          </w:tcPr>
          <w:p>
            <w:r>
              <w:t>独立负责子系统，技术选型负责人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资深工程师</w:t>
            </w:r>
          </w:p>
        </w:tc>
        <w:tc>
          <w:tcPr>
            <w:tcW w:type="dxa" w:w="2160"/>
          </w:tcPr>
          <w:p>
            <w:r>
              <w:t>65—95</w:t>
            </w:r>
          </w:p>
        </w:tc>
        <w:tc>
          <w:tcPr>
            <w:tcW w:type="dxa" w:w="2160"/>
          </w:tcPr>
          <w:p>
            <w:r>
              <w:t>跨团队技术影响力，架构决策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技术专家</w:t>
            </w:r>
          </w:p>
        </w:tc>
        <w:tc>
          <w:tcPr>
            <w:tcW w:type="dxa" w:w="2160"/>
          </w:tcPr>
          <w:p>
            <w:r>
              <w:t>90—140</w:t>
            </w:r>
          </w:p>
        </w:tc>
        <w:tc>
          <w:tcPr>
            <w:tcW w:type="dxa" w:w="2160"/>
          </w:tcPr>
          <w:p>
            <w:r>
              <w:t>领域权威，制定技术战略</w:t>
            </w:r>
          </w:p>
        </w:tc>
      </w:tr>
    </w:tbl>
    <w:p>
      <w:pPr>
        <w:pStyle w:val="Heading1"/>
      </w:pPr>
      <w:r>
        <w:rPr>
          <w:color w:val="1F3A5F"/>
        </w:rPr>
        <w:t>二、薪酬结构</w:t>
      </w:r>
    </w:p>
    <w:p>
      <w:pPr>
        <w:pStyle w:val="ListBullet"/>
      </w:pPr>
      <w:r>
        <w:t>固定薪资：12 个月 base，按月发放。</w:t>
      </w:r>
    </w:p>
    <w:p>
      <w:pPr>
        <w:pStyle w:val="ListBullet"/>
      </w:pPr>
      <w:r>
        <w:t>绩效奖金：2—6 个月 base，按半年度绩效评定（S/A/B/C 四档）。</w:t>
      </w:r>
    </w:p>
    <w:p>
      <w:pPr>
        <w:pStyle w:val="ListBullet"/>
      </w:pPr>
      <w:r>
        <w:t>股票期权（RSU）：T5 及以上授予，分 4 年归属（首年 25%）。</w:t>
      </w:r>
    </w:p>
    <w:p>
      <w:pPr>
        <w:pStyle w:val="ListBullet"/>
      </w:pPr>
      <w:r>
        <w:t>签字费：校招 SP / 特优 offer 一次性发放 3—8 万元。</w:t>
      </w:r>
    </w:p>
    <w:p>
      <w:pPr>
        <w:pStyle w:val="Heading1"/>
      </w:pPr>
      <w:r>
        <w:rPr>
          <w:color w:val="1F3A5F"/>
        </w:rPr>
        <w:t>三、晋升机制</w:t>
      </w:r>
    </w:p>
    <w:p>
      <w:pPr>
        <w:pStyle w:val="ListNumber"/>
      </w:pPr>
      <w:r>
        <w:t>每年两次晋升窗口（3 月、9 月），需提交技术述职 + 产出证据。</w:t>
      </w:r>
    </w:p>
    <w:p>
      <w:pPr>
        <w:pStyle w:val="ListNumber"/>
      </w:pPr>
      <w:r>
        <w:t>晋升委员会跨级评审，避免直属主管一言堂。</w:t>
      </w:r>
    </w:p>
    <w:p>
      <w:pPr>
        <w:pStyle w:val="ListNumber"/>
      </w:pPr>
      <w:r>
        <w:t>T6 以下侧重「做出来」，T7 以上侧重「带方向」。</w:t>
      </w:r>
    </w:p>
    <w:p>
      <w:pPr>
        <w:pStyle w:val="Heading1"/>
      </w:pPr>
      <w:r>
        <w:rPr>
          <w:color w:val="1F3A5F"/>
        </w:rPr>
        <w:t>四、福利</w:t>
      </w:r>
    </w:p>
    <w:p>
      <w:pPr>
        <w:pStyle w:val="ListBullet"/>
      </w:pPr>
      <w:r>
        <w:t>六险一金（含补充商业医疗险），公积金按 12% 上限缴纳。</w:t>
      </w:r>
    </w:p>
    <w:p>
      <w:pPr>
        <w:pStyle w:val="ListBullet"/>
      </w:pPr>
      <w:r>
        <w:t>免费三餐 + 下午茶，弹性工作制（10:30 前到岗）。</w:t>
      </w:r>
    </w:p>
    <w:p>
      <w:pPr>
        <w:pStyle w:val="ListBullet"/>
      </w:pPr>
      <w:r>
        <w:t>年度体检、带薪年假 10—15 天、学习基金 5000 元/年。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