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新员工入职指引与职业发展手册</w:t>
      </w:r>
    </w:p>
    <w:p>
      <w:pPr>
        <w:jc w:val="center"/>
      </w:pPr>
      <w:r>
        <w:rPr>
          <w:color w:val="2E6DA4"/>
          <w:sz w:val="24"/>
        </w:rPr>
        <w:t>Onboarding &amp; Career Guide · 智图科技</w:t>
      </w:r>
    </w:p>
    <w:p/>
    <w:p>
      <w:pPr>
        <w:pStyle w:val="Heading1"/>
      </w:pPr>
      <w:r>
        <w:rPr>
          <w:color w:val="1F3A5F"/>
        </w:rPr>
        <w:t>一、入职前准备</w:t>
      </w:r>
    </w:p>
    <w:p>
      <w:pPr>
        <w:pStyle w:val="ListBullet"/>
      </w:pPr>
      <w:r>
        <w:t>签署 offer 后 3 个工作日内完成背景调查授权。</w:t>
      </w:r>
    </w:p>
    <w:p>
      <w:pPr>
        <w:pStyle w:val="ListBullet"/>
      </w:pPr>
      <w:r>
        <w:t>提前准备身份证、学历证、离职证明（社招）等材料扫描件。</w:t>
      </w:r>
    </w:p>
    <w:p>
      <w:pPr>
        <w:pStyle w:val="ListBullet"/>
      </w:pPr>
      <w:r>
        <w:t>硬件：公司统一配发 MacBook / 高性能 Linux 工作站（算法岗配 A6000 显卡机）。</w:t>
      </w:r>
    </w:p>
    <w:p>
      <w:pPr>
        <w:pStyle w:val="Heading1"/>
      </w:pPr>
      <w:r>
        <w:rPr>
          <w:color w:val="1F3A5F"/>
        </w:rPr>
        <w:t>二、入职第一天</w:t>
      </w:r>
    </w:p>
    <w:p>
      <w:pPr>
        <w:pStyle w:val="ListNumber"/>
      </w:pPr>
      <w:r>
        <w:t>9:00 前台报到，领取工牌与门禁权限。</w:t>
      </w:r>
    </w:p>
    <w:p>
      <w:pPr>
        <w:pStyle w:val="ListNumber"/>
      </w:pPr>
      <w:r>
        <w:t>HR 办理社保公积金增员、签署劳动合同（3 年，试用期 6 个月）。</w:t>
      </w:r>
    </w:p>
    <w:p>
      <w:pPr>
        <w:pStyle w:val="ListNumber"/>
      </w:pPr>
      <w:r>
        <w:t>IT 开通企业邮箱、代码仓库、内部 Wiki 与算力平台账号。</w:t>
      </w:r>
    </w:p>
    <w:p>
      <w:pPr>
        <w:pStyle w:val="ListNumber"/>
      </w:pPr>
      <w:r>
        <w:t>双导师见面会：技术导师（一线 leader）+ 业务导师（产品/运营）。</w:t>
      </w:r>
    </w:p>
    <w:p>
      <w:pPr>
        <w:pStyle w:val="Heading1"/>
      </w:pPr>
      <w:r>
        <w:rPr>
          <w:color w:val="1F3A5F"/>
        </w:rPr>
        <w:t>三、前 90 天成长路径</w:t>
      </w:r>
    </w:p>
    <w:p>
      <w:pPr>
        <w:pStyle w:val="Heading2"/>
      </w:pPr>
      <w:r>
        <w:rPr>
          <w:color w:val="2E6DA4"/>
        </w:rPr>
        <w:t>第 1—2 周：融入</w:t>
      </w:r>
    </w:p>
    <w:p>
      <w:pPr>
        <w:pStyle w:val="ListBullet"/>
      </w:pPr>
      <w:r>
        <w:t>通读《智图大模型技术白皮书》《代码规范手册》。</w:t>
      </w:r>
    </w:p>
    <w:p>
      <w:pPr>
        <w:pStyle w:val="ListBullet"/>
      </w:pPr>
      <w:r>
        <w:t>在导师带领下跑通一次模型微调 demo（LoRA 微调 7B 模型）。</w:t>
      </w:r>
    </w:p>
    <w:p>
      <w:pPr>
        <w:pStyle w:val="Heading2"/>
      </w:pPr>
      <w:r>
        <w:rPr>
          <w:color w:val="2E6DA4"/>
        </w:rPr>
        <w:t>第 3—6 周：上手</w:t>
      </w:r>
    </w:p>
    <w:p>
      <w:pPr>
        <w:pStyle w:val="ListBullet"/>
      </w:pPr>
      <w:r>
        <w:t>认领一个真实子任务（如某检索模块的评测脚本）。</w:t>
      </w:r>
    </w:p>
    <w:p>
      <w:pPr>
        <w:pStyle w:val="ListBullet"/>
      </w:pPr>
      <w:r>
        <w:t>参加至少 2 次组会，做一次技术分享。</w:t>
      </w:r>
    </w:p>
    <w:p>
      <w:pPr>
        <w:pStyle w:val="Heading2"/>
      </w:pPr>
      <w:r>
        <w:rPr>
          <w:color w:val="2E6DA4"/>
        </w:rPr>
        <w:t>第 7—12 周：贡献</w:t>
      </w:r>
    </w:p>
    <w:p>
      <w:pPr>
        <w:pStyle w:val="ListBullet"/>
      </w:pPr>
      <w:r>
        <w:t>独立提交并合并首个模型/工程 PR。</w:t>
      </w:r>
    </w:p>
    <w:p>
      <w:pPr>
        <w:pStyle w:val="ListBullet"/>
      </w:pPr>
      <w:r>
        <w:t>完成试用期答辩，输出一份「我学到的 + 我建议的」复盘。</w:t>
      </w:r>
    </w:p>
    <w:p>
      <w:pPr>
        <w:pStyle w:val="Heading1"/>
      </w:pPr>
      <w:r>
        <w:rPr>
          <w:color w:val="1F3A5F"/>
        </w:rPr>
        <w:t>四、请假与考勤</w:t>
      </w:r>
    </w:p>
    <w:p>
      <w:pPr>
        <w:pStyle w:val="ListBullet"/>
      </w:pPr>
      <w:r>
        <w:t>标准工时为 10:30—19:30，弹性 ±1 小时。</w:t>
      </w:r>
    </w:p>
    <w:p>
      <w:pPr>
        <w:pStyle w:val="ListBullet"/>
      </w:pPr>
      <w:r>
        <w:t>病假凭医院证明，年假按工龄 10—15 天。</w:t>
      </w:r>
    </w:p>
    <w:p>
      <w:pPr>
        <w:pStyle w:val="ListBullet"/>
      </w:pPr>
      <w:r>
        <w:t>事假需提前在 OA 系统审批，单笔不超过 5 天。</w:t>
      </w:r>
    </w:p>
    <w:p>
      <w:pPr>
        <w:pStyle w:val="Heading1"/>
      </w:pPr>
      <w:r>
        <w:rPr>
          <w:color w:val="1F3A5F"/>
        </w:rPr>
        <w:t>五、职业发展双通道</w:t>
      </w:r>
    </w:p>
    <w:p>
      <w:pPr>
        <w:pStyle w:val="ListBullet"/>
      </w:pPr>
      <w:r>
        <w:t>专业通道（Technical）：T4→T10，成为领域专家。</w:t>
      </w:r>
    </w:p>
    <w:p>
      <w:pPr>
        <w:pStyle w:val="ListBullet"/>
      </w:pPr>
      <w:r>
        <w:t>管理通道（Manager）：M1→M5，带团队、定目标。</w:t>
      </w:r>
    </w:p>
    <w:p>
      <w:pPr>
        <w:pStyle w:val="ListBullet"/>
      </w:pPr>
      <w:r>
        <w:t>两条通道薪酬对标、可互相转换，鼓励「不想带人的技术大牛」长期发展。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