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校园招聘面试流程与评估标准</w:t>
      </w:r>
    </w:p>
    <w:p>
      <w:pPr>
        <w:jc w:val="center"/>
      </w:pPr>
      <w:r>
        <w:rPr>
          <w:color w:val="2E6DA4"/>
          <w:sz w:val="24"/>
        </w:rPr>
        <w:t>Campus Hiring · Interview Process &amp; Rubric · 智图科技</w:t>
      </w:r>
    </w:p>
    <w:p/>
    <w:p>
      <w:pPr>
        <w:pStyle w:val="Heading1"/>
      </w:pPr>
      <w:r>
        <w:rPr>
          <w:color w:val="1F3A5F"/>
        </w:rPr>
        <w:t>一、整体流程（校招）</w:t>
      </w:r>
    </w:p>
    <w:p>
      <w:r>
        <w:t>AI 算法岗校招共 4 轮，平均周期 2—3 周，全程线上与线下面试结合。</w:t>
      </w:r>
    </w:p>
    <w:p>
      <w:pPr>
        <w:pStyle w:val="ListNumber"/>
      </w:pPr>
      <w:r>
        <w:t>在线笔试（90 分钟）：算法 + 机器学习基础 + 编程题 3 道。</w:t>
      </w:r>
    </w:p>
    <w:p>
      <w:pPr>
        <w:pStyle w:val="ListNumber"/>
      </w:pPr>
      <w:r>
        <w:t>技术一面（60 分钟）：项目深挖 +  coding（链表 / 树 / 动态规划）。</w:t>
      </w:r>
    </w:p>
    <w:p>
      <w:pPr>
        <w:pStyle w:val="ListNumber"/>
      </w:pPr>
      <w:r>
        <w:t>技术二面（60 分钟）：模型原理 + 系统设计（如设计一个 RAG 系统）。</w:t>
      </w:r>
    </w:p>
    <w:p>
      <w:pPr>
        <w:pStyle w:val="ListNumber"/>
      </w:pPr>
      <w:r>
        <w:t>HR 面 + 主管面（45 分钟）：价值观匹配、职业规划、offer 沟通。</w:t>
      </w:r>
    </w:p>
    <w:p>
      <w:pPr>
        <w:pStyle w:val="Heading1"/>
      </w:pPr>
      <w:r>
        <w:rPr>
          <w:color w:val="1F3A5F"/>
        </w:rPr>
        <w:t>二、各轮考察重点</w:t>
      </w:r>
    </w:p>
    <w:p>
      <w:pPr>
        <w:pStyle w:val="Heading2"/>
      </w:pPr>
      <w:r>
        <w:rPr>
          <w:color w:val="2E6DA4"/>
        </w:rPr>
        <w:t>2.1 技术一面</w:t>
      </w:r>
    </w:p>
    <w:p>
      <w:pPr>
        <w:pStyle w:val="ListBullet"/>
      </w:pPr>
      <w:r>
        <w:t>coding 能力：白板或在线编辑器实现，注重边界与复杂度分析。</w:t>
      </w:r>
    </w:p>
    <w:p>
      <w:pPr>
        <w:pStyle w:val="ListBullet"/>
      </w:pPr>
      <w:r>
        <w:t>项目真实性：要求讲清自己在项目中的具体贡献、遇到的坑与解决。</w:t>
      </w:r>
    </w:p>
    <w:p>
      <w:pPr>
        <w:pStyle w:val="ListBullet"/>
      </w:pPr>
      <w:r>
        <w:t>基础功底：反向传播、梯度消失、过拟合处理方式等。</w:t>
      </w:r>
    </w:p>
    <w:p>
      <w:pPr>
        <w:pStyle w:val="Heading2"/>
      </w:pPr>
      <w:r>
        <w:rPr>
          <w:color w:val="2E6DA4"/>
        </w:rPr>
        <w:t>2.2 技术二面</w:t>
      </w:r>
    </w:p>
    <w:p>
      <w:pPr>
        <w:pStyle w:val="ListBullet"/>
      </w:pPr>
      <w:r>
        <w:t>Transformer 细节：QKV 计算、KV-Cache、位置编码（RoPE）、FlashAttention 原理。</w:t>
      </w:r>
    </w:p>
    <w:p>
      <w:pPr>
        <w:pStyle w:val="ListBullet"/>
      </w:pPr>
      <w:r>
        <w:t>系统设计：给定「企业知识库问答」场景，设计检索 + 生成 + 评测闭环。</w:t>
      </w:r>
    </w:p>
    <w:p>
      <w:pPr>
        <w:pStyle w:val="ListBullet"/>
      </w:pPr>
      <w:r>
        <w:t>开放题：如何降低大模型幻觉？如何评估 RAG 效果？</w:t>
      </w:r>
    </w:p>
    <w:p>
      <w:pPr>
        <w:pStyle w:val="Heading1"/>
      </w:pPr>
      <w:r>
        <w:rPr>
          <w:color w:val="1F3A5F"/>
        </w:rPr>
        <w:t>三、评分维度与权重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达标线（满分5）</w:t>
            </w:r>
          </w:p>
        </w:tc>
      </w:tr>
      <w:tr>
        <w:tc>
          <w:tcPr>
            <w:tcW w:type="dxa" w:w="2880"/>
          </w:tcPr>
          <w:p>
            <w:r>
              <w:t>算法与编码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≥3.5</w:t>
            </w:r>
          </w:p>
        </w:tc>
      </w:tr>
      <w:tr>
        <w:tc>
          <w:tcPr>
            <w:tcW w:type="dxa" w:w="2880"/>
          </w:tcPr>
          <w:p>
            <w:r>
              <w:t>机器学习/深度学习基础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≥3.5</w:t>
            </w:r>
          </w:p>
        </w:tc>
      </w:tr>
      <w:tr>
        <w:tc>
          <w:tcPr>
            <w:tcW w:type="dxa" w:w="2880"/>
          </w:tcPr>
          <w:p>
            <w:r>
              <w:t>项目与工程实践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≥3.0</w:t>
            </w:r>
          </w:p>
        </w:tc>
      </w:tr>
      <w:tr>
        <w:tc>
          <w:tcPr>
            <w:tcW w:type="dxa" w:w="2880"/>
          </w:tcPr>
          <w:p>
            <w:r>
              <w:t>沟通与系统思维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≥3.0</w:t>
            </w:r>
          </w:p>
        </w:tc>
      </w:tr>
      <w:tr>
        <w:tc>
          <w:tcPr>
            <w:tcW w:type="dxa" w:w="2880"/>
          </w:tcPr>
          <w:p>
            <w:r>
              <w:t>价值观与潜力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≥3.0</w:t>
            </w:r>
          </w:p>
        </w:tc>
      </w:tr>
    </w:tbl>
    <w:p>
      <w:pPr>
        <w:pStyle w:val="Heading1"/>
      </w:pPr>
      <w:r>
        <w:rPr>
          <w:color w:val="1F3A5F"/>
        </w:rPr>
        <w:t>四、面试官红线（一票否决）</w:t>
      </w:r>
    </w:p>
    <w:p>
      <w:pPr>
        <w:pStyle w:val="ListBullet"/>
      </w:pPr>
      <w:r>
        <w:t>项目严重造假或代面痕迹明显。</w:t>
      </w:r>
    </w:p>
    <w:p>
      <w:pPr>
        <w:pStyle w:val="ListBullet"/>
      </w:pPr>
      <w:r>
        <w:t>编码题在提示下仍无法写出可运行框架。</w:t>
      </w:r>
    </w:p>
    <w:p>
      <w:pPr>
        <w:pStyle w:val="ListBullet"/>
      </w:pPr>
      <w:r>
        <w:t>对基础原理（如梯度下降）完全无法解释。</w:t>
      </w:r>
    </w:p>
    <w:p>
      <w:pPr>
        <w:pStyle w:val="Heading1"/>
      </w:pPr>
      <w:r>
        <w:rPr>
          <w:color w:val="1F3A5F"/>
        </w:rPr>
        <w:t>五、结果反馈</w:t>
      </w:r>
    </w:p>
    <w:p>
      <w:r>
        <w:t>面试结束后 5 个工作日内邮件反馈结果；通过者进入 HR 面与 offer 发放流程。未通过者保留人才库 6 个月，后续岗位优先推荐。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