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Heading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w:t>
      </w:r>
      <w:r w:rsidR="002C24FA">
        <w:rPr>
          <w:rFonts w:hint="eastAsia"/>
          <w:sz w:val="72"/>
          <w:szCs w:val="48"/>
        </w:rPr>
        <w:t>2</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714F2" w:rsidRPr="00B714F2" w:rsidRDefault="009914E5" w:rsidP="00B714F2">
      <w:pPr>
        <w:pStyle w:val="Heading1"/>
        <w:numPr>
          <w:ilvl w:val="0"/>
          <w:numId w:val="2"/>
        </w:numPr>
        <w:ind w:left="527" w:hanging="357"/>
      </w:pPr>
      <w:r>
        <w:rPr>
          <w:rFonts w:hint="eastAsia"/>
        </w:rPr>
        <w:t>Review</w:t>
      </w:r>
    </w:p>
    <w:p w:rsidR="0091646E" w:rsidRDefault="0091646E" w:rsidP="0091646E">
      <w:pPr>
        <w:pStyle w:val="Heading1"/>
        <w:ind w:left="170"/>
      </w:pPr>
      <w:bookmarkStart w:id="2" w:name="_GoBack"/>
      <w:bookmarkEnd w:id="2"/>
      <w:r>
        <w:rPr>
          <w:rFonts w:hint="eastAsia"/>
        </w:rPr>
        <w:t xml:space="preserve">2. </w:t>
      </w:r>
      <w:r w:rsidR="00E72F8F">
        <w:rPr>
          <w:rFonts w:hint="eastAsia"/>
        </w:rPr>
        <w:t>Survey</w:t>
      </w:r>
      <w:bookmarkStart w:id="3" w:name="OLE_LINK11"/>
      <w:bookmarkStart w:id="4"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w:t>
      </w:r>
      <w:proofErr w:type="spellStart"/>
      <w:r w:rsidRPr="00DC21A8">
        <w:t>Rapoo</w:t>
      </w:r>
      <w:proofErr w:type="spellEnd"/>
      <w:r w:rsidRPr="00DC21A8">
        <w:t xml:space="preserve">, DJI, </w:t>
      </w:r>
      <w:proofErr w:type="spellStart"/>
      <w:r w:rsidRPr="00DC21A8">
        <w:t>Yaskawa</w:t>
      </w:r>
      <w:proofErr w:type="spellEnd"/>
      <w:r w:rsidRPr="00DC21A8">
        <w:t xml:space="preserve">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proofErr w:type="gramStart"/>
      <w:r w:rsidRPr="00DC21A8">
        <w:t>are</w:t>
      </w:r>
      <w:proofErr w:type="gramEnd"/>
      <w:r w:rsidRPr="00DC21A8">
        <w:t xml:space="preserve"> video clips of ABB smart mouse and camera assembly</w:t>
      </w:r>
      <w:r w:rsidR="004E6AEB" w:rsidRPr="00DC21A8">
        <w:t>, Epson watch assembly and so forth</w:t>
      </w:r>
      <w:r w:rsidRPr="00DC21A8">
        <w:t xml:space="preserve">. </w:t>
      </w:r>
    </w:p>
    <w:p w:rsidR="0091646E" w:rsidRPr="00DC21A8" w:rsidRDefault="0091646E" w:rsidP="00C955BA">
      <w:proofErr w:type="spellStart"/>
      <w:r w:rsidRPr="00DC21A8">
        <w:t>Rapoo</w:t>
      </w:r>
      <w:proofErr w:type="spellEnd"/>
      <w:r w:rsidRPr="00DC21A8">
        <w:t xml:space="preserve">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w:t>
      </w:r>
      <w:proofErr w:type="spellStart"/>
      <w:r w:rsidRPr="00DC21A8">
        <w:t>Rapoo</w:t>
      </w:r>
      <w:proofErr w:type="spellEnd"/>
      <w:r w:rsidRPr="00DC21A8">
        <w:t xml:space="preserve">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w:t>
      </w:r>
      <w:r w:rsidR="0091646E" w:rsidRPr="00DC21A8">
        <w:lastRenderedPageBreak/>
        <w:t>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proofErr w:type="spellStart"/>
      <w:r w:rsidRPr="00DC21A8">
        <w:t>Yaskawa</w:t>
      </w:r>
      <w:proofErr w:type="spellEnd"/>
      <w:r w:rsidRPr="00DC21A8">
        <w:t xml:space="preserve">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w:t>
      </w:r>
      <w:proofErr w:type="gramStart"/>
      <w:r w:rsidRPr="00DC21A8">
        <w:t>company</w:t>
      </w:r>
      <w:proofErr w:type="gramEnd"/>
      <w:r w:rsidRPr="00DC21A8">
        <w:t xml:space="preserve">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Hyperlink"/>
            <w:rFonts w:cs="Times New Roman"/>
          </w:rPr>
          <w:t>You</w:t>
        </w:r>
        <w:r w:rsidR="002837E8" w:rsidRPr="00DC21A8">
          <w:rPr>
            <w:rStyle w:val="Hyperlink"/>
            <w:rFonts w:cs="Times New Roman"/>
          </w:rPr>
          <w:t>T</w:t>
        </w:r>
        <w:r w:rsidRPr="00DC21A8">
          <w:rPr>
            <w:rStyle w:val="Hyperlink"/>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TableGrid"/>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Heading1"/>
        <w:ind w:left="170"/>
      </w:pPr>
      <w:r>
        <w:rPr>
          <w:rFonts w:hint="eastAsia"/>
        </w:rPr>
        <w:lastRenderedPageBreak/>
        <w:t xml:space="preserve">3. </w:t>
      </w:r>
      <w:r w:rsidR="00C074DB">
        <w:t>Analysis</w:t>
      </w:r>
    </w:p>
    <w:bookmarkEnd w:id="3"/>
    <w:bookmarkEnd w:id="4"/>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5" w:name="OLE_LINK3"/>
      <w:bookmarkStart w:id="6"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5"/>
      <w:bookmarkEnd w:id="6"/>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7" w:name="OLE_LINK5"/>
      <w:bookmarkStart w:id="8" w:name="OLE_LINK6"/>
      <w:r w:rsidR="00CD6E42" w:rsidRPr="00DC21A8">
        <w:t>S</w:t>
      </w:r>
      <w:r w:rsidR="00537595" w:rsidRPr="00DC21A8">
        <w:t>crew</w:t>
      </w:r>
      <w:r w:rsidR="00ED03F6" w:rsidRPr="00DC21A8">
        <w:t xml:space="preserve"> </w:t>
      </w:r>
      <w:r w:rsidR="00537595" w:rsidRPr="00DC21A8">
        <w:t>driving</w:t>
      </w:r>
      <w:bookmarkEnd w:id="7"/>
      <w:bookmarkEnd w:id="8"/>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70483306"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70483307"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70483308"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70483309"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 xml:space="preserve">by Richard Murray, </w:t>
      </w:r>
      <w:proofErr w:type="spellStart"/>
      <w:r w:rsidRPr="00DC21A8">
        <w:rPr>
          <w:color w:val="000000"/>
          <w:szCs w:val="20"/>
          <w:shd w:val="clear" w:color="auto" w:fill="FFFFFF"/>
        </w:rPr>
        <w:t>Zexiang</w:t>
      </w:r>
      <w:proofErr w:type="spellEnd"/>
      <w:r w:rsidRPr="00DC21A8">
        <w:rPr>
          <w:color w:val="000000"/>
          <w:szCs w:val="20"/>
          <w:shd w:val="clear" w:color="auto" w:fill="FFFFFF"/>
        </w:rPr>
        <w:t xml:space="preserve"> Li and Shankar </w:t>
      </w:r>
      <w:proofErr w:type="spellStart"/>
      <w:r w:rsidRPr="00DC21A8">
        <w:rPr>
          <w:color w:val="000000"/>
          <w:szCs w:val="20"/>
          <w:shd w:val="clear" w:color="auto" w:fill="FFFFFF"/>
        </w:rPr>
        <w:t>Sastry</w:t>
      </w:r>
      <w:proofErr w:type="spellEnd"/>
      <w:r w:rsidRPr="00DC21A8">
        <w:rPr>
          <w:color w:val="000000"/>
          <w:szCs w:val="20"/>
          <w:shd w:val="clear" w:color="auto" w:fill="FFFFFF"/>
        </w:rPr>
        <w:t>, which is available online.</w:t>
      </w:r>
    </w:p>
    <w:p w:rsidR="003466C5" w:rsidRPr="00DC21A8" w:rsidRDefault="003466C5" w:rsidP="003466C5">
      <w:pPr>
        <w:pStyle w:val="Heading2"/>
        <w:rPr>
          <w:rFonts w:ascii="Times New Roman" w:hAnsi="Times New Roman" w:cs="Times New Roman"/>
        </w:rPr>
      </w:pPr>
      <w:r w:rsidRPr="00DC21A8">
        <w:rPr>
          <w:rFonts w:ascii="Times New Roman" w:hAnsi="Times New Roman" w:cs="Times New Roman"/>
        </w:rPr>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w:t>
      </w:r>
      <w:proofErr w:type="spellStart"/>
      <w:r w:rsidRPr="00DC21A8">
        <w:t>Rapoo</w:t>
      </w:r>
      <w:proofErr w:type="spellEnd"/>
      <w:r w:rsidRPr="00DC21A8">
        <w:t xml:space="preserve">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9" w:name="OLE_LINK15"/>
      <w:bookmarkStart w:id="10" w:name="OLE_LINK16"/>
      <w:r w:rsidR="008B4242" w:rsidRPr="00DC21A8">
        <w:t>Stoneflies</w:t>
      </w:r>
      <w:r w:rsidRPr="00DC21A8">
        <w:t xml:space="preserve"> motion </w:t>
      </w:r>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xml:space="preserve">, </w:t>
      </w:r>
      <w:r w:rsidR="00E5250C">
        <w:lastRenderedPageBreak/>
        <w:t>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 xml:space="preserve">in </w:t>
      </w:r>
      <w:proofErr w:type="spellStart"/>
      <w:r w:rsidR="00317A11">
        <w:t>Rapoo</w:t>
      </w:r>
      <w:proofErr w:type="spellEnd"/>
      <w:r w:rsidR="00317A11">
        <w:t xml:space="preserve">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70483310"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proofErr w:type="gramStart"/>
      <w:r>
        <w:t>Figure 1</w:t>
      </w:r>
      <w:r w:rsidR="00D503C1">
        <w:t>.</w:t>
      </w:r>
      <w:proofErr w:type="gramEnd"/>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proofErr w:type="gramStart"/>
      <w:r>
        <w:t>Figure 2</w:t>
      </w:r>
      <w:r w:rsidR="008525F2">
        <w:t>.</w:t>
      </w:r>
      <w:proofErr w:type="gramEnd"/>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Heading2"/>
      </w:pPr>
      <w:r>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 xml:space="preserve">d force </w:t>
      </w:r>
      <w:proofErr w:type="gramStart"/>
      <w:r w:rsidR="008942E9" w:rsidRPr="00DC21A8">
        <w:t>is</w:t>
      </w:r>
      <w:r w:rsidRPr="00DC21A8">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xml:space="preserve">, however, we cannot control the </w:t>
      </w:r>
      <w:r w:rsidRPr="00DC21A8">
        <w:lastRenderedPageBreak/>
        <w:t>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w:t>
      </w:r>
      <w:proofErr w:type="gramStart"/>
      <w:r w:rsidR="005C6C0B">
        <w:t xml:space="preserve">and </w:t>
      </w:r>
      <m:oMath>
        <m:sSub>
          <m:sSubPr>
            <m:ctrlPr>
              <w:rPr>
                <w:rFonts w:ascii="Cambria Math" w:hAnsi="Cambria Math"/>
                <w:i/>
              </w:rPr>
            </m:ctrlPr>
          </m:sSubPr>
          <m:e>
            <w:proofErr w:type="gramEnd"/>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ListParagraph"/>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ListParagraph"/>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ListParagraph"/>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proofErr w:type="gramStart"/>
      <w:r>
        <w:rPr>
          <w:rFonts w:eastAsia="Times New Roman" w:cs="Times New Roman"/>
          <w:szCs w:val="24"/>
        </w:rPr>
        <w:t>Figure 3</w:t>
      </w:r>
      <w:r w:rsidR="008525F2">
        <w:rPr>
          <w:rFonts w:eastAsia="Times New Roman" w:cs="Times New Roman"/>
          <w:szCs w:val="24"/>
        </w:rPr>
        <w:t>.</w:t>
      </w:r>
      <w:proofErr w:type="gramEnd"/>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Heading2"/>
      </w:pPr>
      <w:r>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ListParagraph"/>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ListParagraph"/>
        <w:numPr>
          <w:ilvl w:val="0"/>
          <w:numId w:val="8"/>
        </w:numPr>
      </w:pPr>
      <w:r>
        <w:rPr>
          <w:rFonts w:hint="eastAsia"/>
        </w:rPr>
        <w:t>move down along z axis until screwed up</w:t>
      </w:r>
    </w:p>
    <w:p w:rsidR="00A03D17" w:rsidRDefault="00A03D17" w:rsidP="00A03D17">
      <w:r>
        <w:rPr>
          <w:rFonts w:hint="eastAsia"/>
        </w:rPr>
        <w:t>It</w:t>
      </w:r>
      <w:r>
        <w:t>’</w:t>
      </w:r>
      <w:r>
        <w:rPr>
          <w:rFonts w:hint="eastAsia"/>
        </w:rPr>
        <w:t xml:space="preserve">s obvious the first step only requires position control </w:t>
      </w:r>
      <w:proofErr w:type="gramStart"/>
      <w:r>
        <w:rPr>
          <w:rFonts w:hint="eastAsia"/>
        </w:rPr>
        <w:t>in</w:t>
      </w:r>
      <w:r w:rsidR="00866268">
        <w:rPr>
          <w:rFonts w:hint="eastAsia"/>
        </w:rPr>
        <w:t xml:space="preserve"> </w:t>
      </w:r>
      <w:bookmarkStart w:id="17" w:name="OLE_LINK17"/>
      <w:bookmarkStart w:id="18" w:name="OLE_LINK18"/>
      <w:proofErr w:type="gramEnd"/>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70483311"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w:t>
      </w:r>
      <w:proofErr w:type="spellStart"/>
      <w:r w:rsidR="00866268">
        <w:rPr>
          <w:rFonts w:hint="eastAsia"/>
        </w:rPr>
        <w:t>axises</w:t>
      </w:r>
      <w:proofErr w:type="spellEnd"/>
      <w:r w:rsidR="00866268">
        <w:rPr>
          <w:rFonts w:hint="eastAsia"/>
        </w:rPr>
        <w:t xml:space="preserve">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lastRenderedPageBreak/>
        <w:t>the</w:t>
      </w:r>
      <w:r>
        <w:rPr>
          <w:rFonts w:hint="eastAsia"/>
        </w:rPr>
        <w:t xml:space="preserve"> SCARA robot, we will only </w:t>
      </w:r>
      <w:r w:rsidR="00866268">
        <w:rPr>
          <w:rFonts w:hint="eastAsia"/>
        </w:rPr>
        <w:t xml:space="preserve">have </w:t>
      </w:r>
      <w:r>
        <w:rPr>
          <w:rFonts w:hint="eastAsia"/>
        </w:rPr>
        <w:t xml:space="preserve">to control in a 3-dimensional subspace </w:t>
      </w:r>
      <w:proofErr w:type="gramStart"/>
      <w:r>
        <w:rPr>
          <w:rFonts w:hint="eastAsia"/>
        </w:rPr>
        <w:t xml:space="preserve">of </w:t>
      </w:r>
      <w:proofErr w:type="gramEnd"/>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70483312"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ListParagraph"/>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ListParagraph"/>
        <w:numPr>
          <w:ilvl w:val="0"/>
          <w:numId w:val="10"/>
        </w:numPr>
      </w:pPr>
      <w:proofErr w:type="gramStart"/>
      <w:r>
        <w:rPr>
          <w:rFonts w:hint="eastAsia"/>
        </w:rPr>
        <w:t>the</w:t>
      </w:r>
      <w:proofErr w:type="gramEnd"/>
      <w:r>
        <w:rPr>
          <w:rFonts w:hint="eastAsia"/>
        </w:rPr>
        <w:t xml:space="preserv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ListParagraph"/>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ListParagraph"/>
        <w:numPr>
          <w:ilvl w:val="0"/>
          <w:numId w:val="9"/>
        </w:numPr>
      </w:pPr>
      <w:proofErr w:type="gramStart"/>
      <w:r>
        <w:rPr>
          <w:rFonts w:hint="eastAsia"/>
        </w:rPr>
        <w:t>too</w:t>
      </w:r>
      <w:proofErr w:type="gramEnd"/>
      <w:r>
        <w:rPr>
          <w:rFonts w:hint="eastAsia"/>
        </w:rPr>
        <w:t xml:space="preserve">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301BEF"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proofErr w:type="gramStart"/>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proofErr w:type="gramEnd"/>
      <w:r w:rsidR="00694684">
        <w:rPr>
          <w:rFonts w:eastAsia="Times New Roman" w:cs="Times New Roman"/>
          <w:szCs w:val="24"/>
        </w:rPr>
        <w:t xml:space="preserve"> Screw driving</w:t>
      </w:r>
    </w:p>
    <w:p w:rsidR="00B01400" w:rsidRDefault="00EB005B" w:rsidP="00EB005B">
      <w:pPr>
        <w:pStyle w:val="Heading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 xml:space="preserve">Richard Murray, </w:t>
      </w:r>
      <w:proofErr w:type="spellStart"/>
      <w:r w:rsidRPr="0013787C">
        <w:rPr>
          <w:color w:val="000000"/>
          <w:szCs w:val="24"/>
          <w:shd w:val="clear" w:color="auto" w:fill="FFFFFF"/>
        </w:rPr>
        <w:t>Zexiang</w:t>
      </w:r>
      <w:proofErr w:type="spellEnd"/>
      <w:r w:rsidRPr="0013787C">
        <w:rPr>
          <w:color w:val="000000"/>
          <w:szCs w:val="24"/>
          <w:shd w:val="clear" w:color="auto" w:fill="FFFFFF"/>
        </w:rPr>
        <w:t xml:space="preserve"> Li and Shankar </w:t>
      </w:r>
      <w:proofErr w:type="spellStart"/>
      <w:r w:rsidRPr="0013787C">
        <w:rPr>
          <w:color w:val="000000"/>
          <w:szCs w:val="24"/>
          <w:shd w:val="clear" w:color="auto" w:fill="FFFFFF"/>
        </w:rPr>
        <w:t>Sastry</w:t>
      </w:r>
      <w:r w:rsidRPr="0013787C">
        <w:rPr>
          <w:szCs w:val="24"/>
        </w:rPr>
        <w:t>’s</w:t>
      </w:r>
      <w:proofErr w:type="spellEnd"/>
      <w:r w:rsidRPr="00DC21A8">
        <w:t xml:space="preserve"> book, a simple yet effective mathematical analysis is provided</w:t>
      </w:r>
      <w:r w:rsidR="002837E8" w:rsidRPr="00DC21A8">
        <w:t>, where we describe different operations using twist and wrench.</w:t>
      </w:r>
      <w:r w:rsidR="00564B89">
        <w:tab/>
      </w:r>
    </w:p>
    <w:tbl>
      <w:tblPr>
        <w:tblStyle w:val="TableGrid"/>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301BEF"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301BEF"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301BEF"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BEF" w:rsidRDefault="00301BEF" w:rsidP="00C955BA">
      <w:pPr>
        <w:spacing w:after="0" w:line="240" w:lineRule="auto"/>
      </w:pPr>
      <w:r>
        <w:separator/>
      </w:r>
    </w:p>
  </w:endnote>
  <w:endnote w:type="continuationSeparator" w:id="0">
    <w:p w:rsidR="00301BEF" w:rsidRDefault="00301BEF"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BEF" w:rsidRDefault="00301BEF" w:rsidP="00C955BA">
      <w:pPr>
        <w:spacing w:after="0" w:line="240" w:lineRule="auto"/>
      </w:pPr>
      <w:r>
        <w:separator/>
      </w:r>
    </w:p>
  </w:footnote>
  <w:footnote w:type="continuationSeparator" w:id="0">
    <w:p w:rsidR="00301BEF" w:rsidRDefault="00301BEF"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24FA"/>
    <w:rsid w:val="002C4474"/>
    <w:rsid w:val="002C47DD"/>
    <w:rsid w:val="002D520B"/>
    <w:rsid w:val="002E36E5"/>
    <w:rsid w:val="002F0970"/>
    <w:rsid w:val="002F0B53"/>
    <w:rsid w:val="002F35CB"/>
    <w:rsid w:val="002F64C3"/>
    <w:rsid w:val="00300671"/>
    <w:rsid w:val="00301BEF"/>
    <w:rsid w:val="00302C0E"/>
    <w:rsid w:val="00317A11"/>
    <w:rsid w:val="00321E6A"/>
    <w:rsid w:val="0032520D"/>
    <w:rsid w:val="00326AD5"/>
    <w:rsid w:val="00331401"/>
    <w:rsid w:val="003370DE"/>
    <w:rsid w:val="00343D32"/>
    <w:rsid w:val="003466C5"/>
    <w:rsid w:val="00351AB9"/>
    <w:rsid w:val="0035725D"/>
    <w:rsid w:val="0036209F"/>
    <w:rsid w:val="00362120"/>
    <w:rsid w:val="00367C35"/>
    <w:rsid w:val="00372F6D"/>
    <w:rsid w:val="003835AB"/>
    <w:rsid w:val="00384C94"/>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97B9D"/>
    <w:rsid w:val="005A159F"/>
    <w:rsid w:val="005A1EB0"/>
    <w:rsid w:val="005A2FE5"/>
    <w:rsid w:val="005B158D"/>
    <w:rsid w:val="005B15D2"/>
    <w:rsid w:val="005B22B3"/>
    <w:rsid w:val="005B2490"/>
    <w:rsid w:val="005B6CEB"/>
    <w:rsid w:val="005C4DE5"/>
    <w:rsid w:val="005C6C0B"/>
    <w:rsid w:val="005D29F5"/>
    <w:rsid w:val="005D40F3"/>
    <w:rsid w:val="005D7511"/>
    <w:rsid w:val="005E0BAE"/>
    <w:rsid w:val="005E39BE"/>
    <w:rsid w:val="005E4DB3"/>
    <w:rsid w:val="005E5434"/>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14E5"/>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A688B"/>
    <w:rsid w:val="00AB22A1"/>
    <w:rsid w:val="00AB3500"/>
    <w:rsid w:val="00AB6039"/>
    <w:rsid w:val="00AB6FDB"/>
    <w:rsid w:val="00AC513C"/>
    <w:rsid w:val="00AD07D5"/>
    <w:rsid w:val="00AD257E"/>
    <w:rsid w:val="00AD34F8"/>
    <w:rsid w:val="00AD6AED"/>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14F2"/>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3341"/>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51E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 w:type="paragraph" w:customStyle="1" w:styleId="MTDisplayEquation">
    <w:name w:val="MTDisplayEquation"/>
    <w:basedOn w:val="Normal"/>
    <w:link w:val="MTDisplayEquationChar"/>
    <w:rsid w:val="00B714F2"/>
  </w:style>
  <w:style w:type="character" w:customStyle="1" w:styleId="MTDisplayEquationChar">
    <w:name w:val="MTDisplayEquation Char"/>
    <w:basedOn w:val="DefaultParagraphFont"/>
    <w:link w:val="MTDisplayEquation"/>
    <w:rsid w:val="00B714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 w:type="paragraph" w:customStyle="1" w:styleId="MTDisplayEquation">
    <w:name w:val="MTDisplayEquation"/>
    <w:basedOn w:val="Normal"/>
    <w:link w:val="MTDisplayEquationChar"/>
    <w:rsid w:val="00B714F2"/>
  </w:style>
  <w:style w:type="character" w:customStyle="1" w:styleId="MTDisplayEquationChar">
    <w:name w:val="MTDisplayEquation Char"/>
    <w:basedOn w:val="DefaultParagraphFont"/>
    <w:link w:val="MTDisplayEquation"/>
    <w:rsid w:val="00B714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50E0-BFA4-4054-A5DF-6CFE7970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7</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2364</cp:revision>
  <dcterms:created xsi:type="dcterms:W3CDTF">2014-05-29T12:27:00Z</dcterms:created>
  <dcterms:modified xsi:type="dcterms:W3CDTF">2014-08-25T06:49:00Z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