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before="700" w:after="80" w:line="280" w:lineRule="auto"/>
      </w:pPr>
      <w:r>
        <w:rPr>
          <w:b/>
          <w:color w:val="17365D"/>
          <w:sz w:val="40"/>
          <w:szCs w:val="40"/>
          <w:rFonts w:ascii="Aptos" w:hAnsi="Aptos"/>
        </w:rPr>
        <w:t xml:space="preserve">FITLINK</w:t>
      </w:r>
    </w:p>
    <w:p>
      <w:pPr>
        <w:pStyle w:val="Subtitle"/>
        <w:jc w:val="center"/>
        <w:spacing w:before="0" w:after="80" w:line="280" w:lineRule="auto"/>
      </w:pPr>
      <w:r>
        <w:rPr>
          <w:b/>
          <w:color w:val="2471A3"/>
          <w:sz w:val="28"/>
          <w:szCs w:val="28"/>
          <w:rFonts w:ascii="Aptos" w:hAnsi="Aptos"/>
        </w:rPr>
        <w:t xml:space="preserve">BÁO CÁO KIỂM THỬ ĐƠN VỊ</w:t>
      </w:r>
    </w:p>
    <w:p>
      <w:pPr>
        <w:jc w:val="center"/>
        <w:spacing w:before="0" w:after="180" w:line="280" w:lineRule="auto"/>
      </w:pPr>
      <w:r>
        <w:rPr>
          <w:color w:val="526477"/>
          <w:sz w:val="22"/>
          <w:szCs w:val="22"/>
          <w:rFonts w:ascii="Aptos" w:hAnsi="Aptos"/>
        </w:rPr>
        <w:t xml:space="preserve">Jest · Node.js · Backend</w:t>
      </w:r>
    </w:p>
    <w:p>
      <w:pPr>
        <w:jc w:val="center"/>
        <w:spacing w:before="0" w:after="240" w:line="280" w:lineRule="auto"/>
      </w:pPr>
      <w:r>
        <w:rPr>
          <w:color w:val="526477"/>
          <w:sz w:val="20"/>
          <w:szCs w:val="20"/>
          <w:rFonts w:ascii="Aptos" w:hAnsi="Aptos"/>
        </w:rPr>
        <w:t xml:space="preserve">Bài tập kiểm thử phần mềm | Cập nhật: 07/10/2026</w:t>
      </w:r>
    </w:p>
    <w:p>
      <w:pPr>
        <w:pStyle w:val="Heading1"/>
        <w:spacing w:before="0" w:after="120" w:line="280" w:lineRule="auto"/>
      </w:pPr>
      <w:r>
        <w:rPr>
          <w:rFonts w:ascii="Aptos" w:hAnsi="Aptos"/>
        </w:rPr>
        <w:t xml:space="preserve">TÓM TẮT</w:t>
      </w:r>
    </w:p>
    <w:p>
      <w:pPr>
        <w:spacing w:before="0" w:after="140" w:line="280" w:lineRule="auto"/>
      </w:pPr>
      <w:r>
        <w:rPr>
          <w:rFonts w:ascii="Aptos" w:hAnsi="Aptos"/>
        </w:rPr>
        <w:t xml:space="preserve">Báo cáo mô tả bộ unit test Jest áp dụng lên các helper hiện có của FitLink backend. Bộ test bao phủ authentication token, tính giá booking, sinh lịch tập và chia tiền thanh toán. Kết quả local gần nhất: 3 test suites, 9 tests passed. Coverage của các file được chọn: statement 94.11%, branch 70%, function 85.71%, line 100%.</w:t>
      </w:r>
    </w:p>
    <w:p>
      <w:pPr>
        <w:spacing w:before="0" w:after="160" w:line="280" w:lineRule="auto"/>
      </w:pPr>
      <w:r>
        <w:rPr>
          <w:b/>
          <w:color w:val="9C5700"/>
          <w:rFonts w:ascii="Aptos" w:hAnsi="Aptos"/>
        </w:rPr>
        <w:t xml:space="preserve">Lưu ý trạng thái CI: workflow đã có trong source, nhưng GitHub Actions chưa được xác nhận PASS vì branch chưa push thành công lên repository cá nhân.</w:t>
      </w:r>
    </w:p>
    <w:p>
      <w:pPr>
        <w:pStyle w:val="Heading1"/>
        <w:spacing w:before="240" w:after="100" w:line="280" w:lineRule="auto"/>
      </w:pPr>
      <w:r>
        <w:rPr>
          <w:rFonts w:ascii="Aptos" w:hAnsi="Aptos"/>
        </w:rPr>
        <w:t xml:space="preserve">1. Giới thiệu</w:t>
      </w:r>
    </w:p>
    <w:p>
      <w:pPr>
        <w:ind w:left="360"/>
        <w:spacing w:after="70"/>
      </w:pPr>
      <w:r>
        <w:rPr>
          <w:rFonts w:ascii="Aptos" w:hAnsi="Aptos"/>
        </w:rPr>
        <w:t xml:space="preserve">•  Tên dự án: FitLink — nền tảng kết nối học viên với huấn luyện viên cá nhân.</w:t>
      </w:r>
    </w:p>
    <w:p>
      <w:pPr>
        <w:ind w:left="360"/>
        <w:spacing w:after="70"/>
      </w:pPr>
      <w:r>
        <w:rPr>
          <w:rFonts w:ascii="Aptos" w:hAnsi="Aptos"/>
        </w:rPr>
        <w:t xml:space="preserve">•  Phần được kiểm thử: backend Node.js/Express; các helper xử lý dữ liệu được gọi từ luồng booking và thanh toán.</w:t>
      </w:r>
    </w:p>
    <w:p>
      <w:pPr>
        <w:ind w:left="360"/>
        <w:spacing w:after="70"/>
      </w:pPr>
      <w:r>
        <w:rPr>
          <w:rFonts w:ascii="Aptos" w:hAnsi="Aptos"/>
        </w:rPr>
        <w:t xml:space="preserve">•  Mục tiêu: xác nhận các kết quả tính toán và token theo đầu vào; phát hiện lỗi sinh ngày tập; có thể chạy lại tự động bằng Jest và CI.</w:t>
      </w:r>
    </w:p>
    <w:p>
      <w:pPr>
        <w:ind w:left="360"/>
        <w:spacing w:after="70"/>
      </w:pPr>
      <w:r>
        <w:rPr>
          <w:rFonts w:ascii="Aptos" w:hAnsi="Aptos"/>
        </w:rPr>
        <w:t xml:space="preserve">•  Giới hạn: unit test không khởi động HTTP server, MongoDB thật, OAuth hay PayOS.</w:t>
      </w:r>
    </w:p>
    <w:p>
      <w:pPr>
        <w:pStyle w:val="Heading1"/>
        <w:spacing w:before="240" w:after="100" w:line="280" w:lineRule="auto"/>
      </w:pPr>
      <w:r>
        <w:rPr>
          <w:rFonts w:ascii="Aptos" w:hAnsi="Aptos"/>
        </w:rPr>
        <w:t xml:space="preserve">2. Chức năng được chọn</w:t>
      </w:r>
    </w:p>
    <w:tbl>
      <w:tblPr>
        <w:tblW w:w="0" w:type="auto"/>
        <w:tblBorders>
          <w:top w:val="single" w:sz="4" w:color="D6DEE8"/>
          <w:left w:val="single" w:sz="4" w:color="D6DEE8"/>
          <w:bottom w:val="single" w:sz="4" w:color="D6DEE8"/>
          <w:right w:val="single" w:sz="4" w:color="D6DEE8"/>
          <w:insideH w:val="single" w:sz="4" w:color="D6DEE8"/>
          <w:insideV w:val="single" w:sz="4" w:color="D6DEE8"/>
        </w:tblBorders>
        <w:tblCellMar>
          <w:top w:w="80" w:type="dxa"/>
          <w:start w:w="90" w:type="dxa"/>
          <w:bottom w:w="80" w:type="dxa"/>
          <w:end w:w="90" w:type="dxa"/>
        </w:tblCellMar>
      </w:tblPr>
      <w:tblGrid>
        <w:gridCol w:w="2100"/>
        <w:gridCol w:w="4100"/>
        <w:gridCol w:w="3100"/>
      </w:tblGrid>
      <w:tr>
        <w:tc>
          <w:tcPr>
            <w:tcW w:w="2100" w:type="dxa"/>
            <w:shd w:fill="17365D"/>
            <w:vAlign w:val="center"/>
          </w:tcPr>
          <w:p>
            <w:pPr>
              <w:spacing w:after="45" w:before="45"/>
            </w:pPr>
            <w:r>
              <w:rPr>
                <w:b/>
                <w:color w:val="FFFFFF"/>
                <w:sz w:val="18"/>
                <w:szCs w:val="18"/>
                <w:rFonts w:ascii="Aptos" w:hAnsi="Aptos"/>
              </w:rPr>
              <w:t xml:space="preserve">Nhóm</w:t>
            </w:r>
          </w:p>
        </w:tc>
        <w:tc>
          <w:tcPr>
            <w:tcW w:w="4100" w:type="dxa"/>
            <w:shd w:fill="17365D"/>
            <w:vAlign w:val="center"/>
          </w:tcPr>
          <w:p>
            <w:pPr>
              <w:spacing w:after="45" w:before="45"/>
            </w:pPr>
            <w:r>
              <w:rPr>
                <w:b/>
                <w:color w:val="FFFFFF"/>
                <w:sz w:val="18"/>
                <w:szCs w:val="18"/>
                <w:rFonts w:ascii="Aptos" w:hAnsi="Aptos"/>
              </w:rPr>
              <w:t xml:space="preserve">Source FitLink</w:t>
            </w:r>
          </w:p>
        </w:tc>
        <w:tc>
          <w:tcPr>
            <w:tcW w:w="3100" w:type="dxa"/>
            <w:shd w:fill="17365D"/>
            <w:vAlign w:val="center"/>
          </w:tcPr>
          <w:p>
            <w:pPr>
              <w:spacing w:after="45" w:before="45"/>
            </w:pPr>
            <w:r>
              <w:rPr>
                <w:b/>
                <w:color w:val="FFFFFF"/>
                <w:sz w:val="18"/>
                <w:szCs w:val="18"/>
                <w:rFonts w:ascii="Aptos" w:hAnsi="Aptos"/>
              </w:rPr>
              <w:t xml:space="preserve">Phạm vi</w:t>
            </w:r>
          </w:p>
        </w:tc>
      </w:tr>
      <w:tr>
        <w:tc>
          <w:tcPr>
            <w:tcW w:w="2100" w:type="dxa"/>
            <w:shd w:fill="F5F8FC"/>
            <w:vAlign w:val="center"/>
          </w:tcPr>
          <w:p>
            <w:pPr>
              <w:spacing w:after="45" w:before="45"/>
            </w:pPr>
            <w:r>
              <w:rPr>
                <w:color w:val="202A35"/>
                <w:sz w:val="18"/>
                <w:szCs w:val="18"/>
                <w:rFonts w:ascii="Aptos" w:hAnsi="Aptos"/>
              </w:rPr>
              <w:t xml:space="preserve">Authentication</w:t>
            </w:r>
          </w:p>
        </w:tc>
        <w:tc>
          <w:tcPr>
            <w:tcW w:w="4100" w:type="dxa"/>
            <w:shd w:fill="F5F8FC"/>
            <w:vAlign w:val="center"/>
          </w:tcPr>
          <w:p>
            <w:pPr>
              <w:spacing w:after="45" w:before="45"/>
            </w:pPr>
            <w:r>
              <w:rPr>
                <w:color w:val="202A35"/>
                <w:sz w:val="18"/>
                <w:szCs w:val="18"/>
                <w:rFonts w:ascii="Aptos" w:hAnsi="Aptos"/>
              </w:rPr>
              <w:t xml:space="preserve">src/utils/genarateTokens.js</w:t>
            </w:r>
          </w:p>
        </w:tc>
        <w:tc>
          <w:tcPr>
            <w:tcW w:w="3100" w:type="dxa"/>
            <w:shd w:fill="F5F8FC"/>
            <w:vAlign w:val="center"/>
          </w:tcPr>
          <w:p>
            <w:pPr>
              <w:spacing w:after="45" w:before="45"/>
            </w:pPr>
            <w:r>
              <w:rPr>
                <w:color w:val="202A35"/>
                <w:sz w:val="18"/>
                <w:szCs w:val="18"/>
                <w:rFonts w:ascii="Aptos" w:hAnsi="Aptos"/>
              </w:rPr>
              <w:t xml:space="preserve">Access token, refresh token, reset token</w:t>
            </w:r>
          </w:p>
        </w:tc>
      </w:tr>
      <w:tr>
        <w:tc>
          <w:tcPr>
            <w:tcW w:w="2100" w:type="dxa"/>
            <w:shd w:fill="FFFFFF"/>
            <w:vAlign w:val="center"/>
          </w:tcPr>
          <w:p>
            <w:pPr>
              <w:spacing w:after="45" w:before="45"/>
            </w:pPr>
            <w:r>
              <w:rPr>
                <w:color w:val="202A35"/>
                <w:sz w:val="18"/>
                <w:szCs w:val="18"/>
                <w:rFonts w:ascii="Aptos" w:hAnsi="Aptos"/>
              </w:rPr>
              <w:t xml:space="preserve">Booking / Schedule</w:t>
            </w:r>
          </w:p>
        </w:tc>
        <w:tc>
          <w:tcPr>
            <w:tcW w:w="4100" w:type="dxa"/>
            <w:shd w:fill="FFFFFF"/>
            <w:vAlign w:val="center"/>
          </w:tcPr>
          <w:p>
            <w:pPr>
              <w:spacing w:after="45" w:before="45"/>
            </w:pPr>
            <w:r>
              <w:rPr>
                <w:color w:val="202A35"/>
                <w:sz w:val="18"/>
                <w:szCs w:val="18"/>
                <w:rFonts w:ascii="Aptos" w:hAnsi="Aptos"/>
              </w:rPr>
              <w:t xml:space="preserve">src/utils/pricingUtils.js; src/utils/scheduleFromBooking.js</w:t>
            </w:r>
          </w:p>
        </w:tc>
        <w:tc>
          <w:tcPr>
            <w:tcW w:w="3100" w:type="dxa"/>
            <w:shd w:fill="FFFFFF"/>
            <w:vAlign w:val="center"/>
          </w:tcPr>
          <w:p>
            <w:pPr>
              <w:spacing w:after="45" w:before="45"/>
            </w:pPr>
            <w:r>
              <w:rPr>
                <w:color w:val="202A35"/>
                <w:sz w:val="18"/>
                <w:szCs w:val="18"/>
                <w:rFonts w:ascii="Aptos" w:hAnsi="Aptos"/>
              </w:rPr>
              <w:t xml:space="preserve">Giá, phí đi lại, tạo ngày tập theo thứ</w:t>
            </w:r>
          </w:p>
        </w:tc>
      </w:tr>
      <w:tr>
        <w:tc>
          <w:tcPr>
            <w:tcW w:w="2100" w:type="dxa"/>
            <w:shd w:fill="F5F8FC"/>
            <w:vAlign w:val="center"/>
          </w:tcPr>
          <w:p>
            <w:pPr>
              <w:spacing w:after="45" w:before="45"/>
            </w:pPr>
            <w:r>
              <w:rPr>
                <w:color w:val="202A35"/>
                <w:sz w:val="18"/>
                <w:szCs w:val="18"/>
                <w:rFonts w:ascii="Aptos" w:hAnsi="Aptos"/>
              </w:rPr>
              <w:t xml:space="preserve">Payment calculation</w:t>
            </w:r>
          </w:p>
        </w:tc>
        <w:tc>
          <w:tcPr>
            <w:tcW w:w="4100" w:type="dxa"/>
            <w:shd w:fill="F5F8FC"/>
            <w:vAlign w:val="center"/>
          </w:tcPr>
          <w:p>
            <w:pPr>
              <w:spacing w:after="45" w:before="45"/>
            </w:pPr>
            <w:r>
              <w:rPr>
                <w:color w:val="202A35"/>
                <w:sz w:val="18"/>
                <w:szCs w:val="18"/>
                <w:rFonts w:ascii="Aptos" w:hAnsi="Aptos"/>
              </w:rPr>
              <w:t xml:space="preserve">src/utils/paymentUtils.js; checkoutPTController.js</w:t>
            </w:r>
          </w:p>
        </w:tc>
        <w:tc>
          <w:tcPr>
            <w:tcW w:w="3100" w:type="dxa"/>
            <w:shd w:fill="F5F8FC"/>
            <w:vAlign w:val="center"/>
          </w:tcPr>
          <w:p>
            <w:pPr>
              <w:spacing w:after="45" w:before="45"/>
            </w:pPr>
            <w:r>
              <w:rPr>
                <w:color w:val="202A35"/>
                <w:sz w:val="18"/>
                <w:szCs w:val="18"/>
                <w:rFonts w:ascii="Aptos" w:hAnsi="Aptos"/>
              </w:rPr>
              <w:t xml:space="preserve">Chia phí nền tảng và thu nhập PT sau thanh toán PAID</w:t>
            </w:r>
          </w:p>
        </w:tc>
      </w:tr>
    </w:tbl>
    <w:p>
      <w:pPr>
        <w:spacing w:after="100"/>
      </w:pPr>
    </w:p>
    <w:p>
      <w:pPr>
        <w:pStyle w:val="Heading1"/>
        <w:spacing w:before="240" w:after="100" w:line="280" w:lineRule="auto"/>
      </w:pPr>
      <w:r>
        <w:rPr>
          <w:rFonts w:ascii="Aptos" w:hAnsi="Aptos"/>
        </w:rPr>
        <w:t xml:space="preserve">3. AI Prompt Engineering</w:t>
      </w:r>
    </w:p>
    <w:p>
      <w:pPr>
        <w:spacing w:before="0" w:after="120" w:line="280" w:lineRule="auto"/>
      </w:pPr>
      <w:r>
        <w:rPr>
          <w:rFonts w:ascii="Aptos" w:hAnsi="Aptos"/>
        </w:rPr>
        <w:t xml:space="preserve">Các prompt dưới đây là mẫu theo từng bước của quy trình: yêu cầu AI bám source FitLink, nêu rõ đầu vào/đầu ra và giới hạn mock để kết quả có thể kiểm chứng.</w:t>
      </w:r>
    </w:p>
    <w:p>
      <w:pPr>
        <w:pStyle w:val="Heading2"/>
        <w:spacing w:before="0" w:after="120" w:line="280" w:lineRule="auto"/>
      </w:pPr>
      <w:r>
        <w:rPr>
          <w:rFonts w:ascii="Aptos" w:hAnsi="Aptos"/>
        </w:rPr>
        <w:t xml:space="preserve">3.1 Phân tích chức năng</w:t>
      </w:r>
    </w:p>
    <w:p>
      <w:pPr>
        <w:shd w:fill="F2F5F9"/>
        <w:ind w:left="180" w:right="180"/>
        <w:spacing w:before="20" w:after="20" w:line="240"/>
      </w:pPr>
      <w:r>
        <w:rPr>
          <w:color w:val="263238"/>
          <w:sz w:val="19"/>
          <w:szCs w:val="19"/>
          <w:rFonts w:ascii="Consolas" w:hAnsi="Consolas"/>
        </w:rPr>
        <w:t xml:space="preserve">Đọc src/utils/pricingUtils.js và controller đang gọi hàm. Tóm tắt input, output, quy tắc tính phí và các nhánh biên. Chỉ dựa trên source hiện có; trích tên file/hàm, không tự thêm nghiệp vụ.</w:t>
      </w:r>
    </w:p>
    <w:p>
      <w:pPr>
        <w:pStyle w:val="Heading2"/>
        <w:spacing w:before="0" w:after="120" w:line="280" w:lineRule="auto"/>
      </w:pPr>
      <w:r>
        <w:rPr>
          <w:rFonts w:ascii="Aptos" w:hAnsi="Aptos"/>
        </w:rPr>
        <w:t xml:space="preserve">3.2 Tạo test case</w:t>
      </w:r>
    </w:p>
    <w:p>
      <w:pPr>
        <w:shd w:fill="F2F5F9"/>
        <w:ind w:left="180" w:right="180"/>
        <w:spacing w:before="20" w:after="20" w:line="240"/>
      </w:pPr>
      <w:r>
        <w:rPr>
          <w:color w:val="263238"/>
          <w:sz w:val="19"/>
          <w:szCs w:val="19"/>
          <w:rFonts w:ascii="Consolas" w:hAnsi="Consolas"/>
        </w:rPr>
        <w:t xml:space="preserve">Từ helper FitLink này, đề xuất test case dạng ID, điều kiện đầu vào, expected result và mục đích. Bao gồm case hợp lệ và biên; expected phải tính ra được từ source.</w:t>
      </w:r>
    </w:p>
    <w:p>
      <w:pPr>
        <w:pStyle w:val="Heading2"/>
        <w:spacing w:before="0" w:after="120" w:line="280" w:lineRule="auto"/>
      </w:pPr>
      <w:r>
        <w:rPr>
          <w:rFonts w:ascii="Aptos" w:hAnsi="Aptos"/>
        </w:rPr>
        <w:t xml:space="preserve">3.3 Tạo code Jest</w:t>
      </w:r>
    </w:p>
    <w:p>
      <w:pPr>
        <w:shd w:fill="F2F5F9"/>
        <w:ind w:left="180" w:right="180"/>
        <w:spacing w:before="20" w:after="20" w:line="240"/>
      </w:pPr>
      <w:r>
        <w:rPr>
          <w:color w:val="263238"/>
          <w:sz w:val="19"/>
          <w:szCs w:val="19"/>
          <w:rFonts w:ascii="Consolas" w:hAnsi="Consolas"/>
        </w:rPr>
        <w:t xml:space="preserve">Viết test Jest cho function FitLink đã chọn theo Arrange–Act–Assert. Giữ import/export và Babel config của repo. Không gọi database/network thật. Không bịa API chưa có trong source.</w:t>
      </w:r>
    </w:p>
    <w:p>
      <w:pPr>
        <w:pStyle w:val="Heading2"/>
        <w:spacing w:before="0" w:after="120" w:line="280" w:lineRule="auto"/>
      </w:pPr>
      <w:r>
        <w:rPr>
          <w:rFonts w:ascii="Aptos" w:hAnsi="Aptos"/>
        </w:rPr>
        <w:t xml:space="preserve">3.4 Debug lỗi test</w:t>
      </w:r>
    </w:p>
    <w:p>
      <w:pPr>
        <w:shd w:fill="F2F5F9"/>
        <w:ind w:left="180" w:right="180"/>
        <w:spacing w:before="20" w:after="20" w:line="240"/>
      </w:pPr>
      <w:r>
        <w:rPr>
          <w:color w:val="263238"/>
          <w:sz w:val="19"/>
          <w:szCs w:val="19"/>
          <w:rFonts w:ascii="Consolas" w:hAnsi="Consolas"/>
        </w:rPr>
        <w:t xml:space="preserve">Đối chiếu test đang fail với implementation. Giải thích nguyên nhân bằng input và output cụ thể; đề xuất sửa nhỏ nhất để kết quả đúng thứ tự thời gian và không trùng lịch. Giữ nguyên chữ ký hàm.</w:t>
      </w:r>
    </w:p>
    <w:p>
      <w:pPr>
        <w:pStyle w:val="Heading2"/>
        <w:spacing w:before="0" w:after="120" w:line="280" w:lineRule="auto"/>
      </w:pPr>
      <w:r>
        <w:rPr>
          <w:rFonts w:ascii="Aptos" w:hAnsi="Aptos"/>
        </w:rPr>
        <w:t xml:space="preserve">3.5 Thiết kế mock</w:t>
      </w:r>
    </w:p>
    <w:p>
      <w:pPr>
        <w:shd w:fill="F2F5F9"/>
        <w:ind w:left="180" w:right="180"/>
        <w:spacing w:before="20" w:after="20" w:line="240"/>
      </w:pPr>
      <w:r>
        <w:rPr>
          <w:color w:val="263238"/>
          <w:sz w:val="19"/>
          <w:szCs w:val="19"/>
          <w:rFonts w:ascii="Consolas" w:hAnsi="Consolas"/>
        </w:rPr>
        <w:t xml:space="preserve">Nếu test cần gọi Mongoose hoặc cổng thanh toán, hãy cô lập dependency bằng Jest mock và kiểm tra lời gọi/giá trị trả về. Với các helper thuần hiện tại, không tạo mock thừa; nêu rõ vì sao không cần.</w:t>
      </w:r>
    </w:p>
    <w:p>
      <w:pPr>
        <w:spacing w:before="0" w:after="120" w:line="280" w:lineRule="auto"/>
      </w:pPr>
      <w:r>
        <w:rPr>
          <w:rFonts w:ascii="Aptos" w:hAnsi="Aptos"/>
        </w:rPr>
        <w:t xml:space="preserve">Trong bộ 9 test hiện tại không cần mock: test gọi helper thuần, không truy cập database hoặc dịch vụ ngoài.</w:t>
      </w:r>
    </w:p>
    <w:p>
      <w:pPr>
        <w:pStyle w:val="Heading1"/>
        <w:spacing w:before="240" w:after="100" w:line="280" w:lineRule="auto"/>
      </w:pPr>
      <w:r>
        <w:rPr>
          <w:rFonts w:ascii="Aptos" w:hAnsi="Aptos"/>
        </w:rPr>
        <w:t xml:space="preserve">4. Test Cases</w:t>
      </w:r>
    </w:p>
    <w:tbl>
      <w:tblPr>
        <w:tblW w:w="0" w:type="auto"/>
        <w:tblBorders>
          <w:top w:val="single" w:sz="4" w:color="D6DEE8"/>
          <w:left w:val="single" w:sz="4" w:color="D6DEE8"/>
          <w:bottom w:val="single" w:sz="4" w:color="D6DEE8"/>
          <w:right w:val="single" w:sz="4" w:color="D6DEE8"/>
          <w:insideH w:val="single" w:sz="4" w:color="D6DEE8"/>
          <w:insideV w:val="single" w:sz="4" w:color="D6DEE8"/>
        </w:tblBorders>
        <w:tblCellMar>
          <w:top w:w="80" w:type="dxa"/>
          <w:start w:w="90" w:type="dxa"/>
          <w:bottom w:w="80" w:type="dxa"/>
          <w:end w:w="90" w:type="dxa"/>
        </w:tblCellMar>
      </w:tblPr>
      <w:tblGrid>
        <w:gridCol w:w="1050"/>
        <w:gridCol w:w="4200"/>
        <w:gridCol w:w="4050"/>
      </w:tblGrid>
      <w:tr>
        <w:tc>
          <w:tcPr>
            <w:tcW w:w="1050" w:type="dxa"/>
            <w:shd w:fill="17365D"/>
            <w:vAlign w:val="center"/>
          </w:tcPr>
          <w:p>
            <w:pPr>
              <w:spacing w:after="45" w:before="45"/>
            </w:pPr>
            <w:r>
              <w:rPr>
                <w:b/>
                <w:color w:val="FFFFFF"/>
                <w:sz w:val="18"/>
                <w:szCs w:val="18"/>
                <w:rFonts w:ascii="Aptos" w:hAnsi="Aptos"/>
              </w:rPr>
              <w:t xml:space="preserve">ID</w:t>
            </w:r>
          </w:p>
        </w:tc>
        <w:tc>
          <w:tcPr>
            <w:tcW w:w="4200" w:type="dxa"/>
            <w:shd w:fill="17365D"/>
            <w:vAlign w:val="center"/>
          </w:tcPr>
          <w:p>
            <w:pPr>
              <w:spacing w:after="45" w:before="45"/>
            </w:pPr>
            <w:r>
              <w:rPr>
                <w:b/>
                <w:color w:val="FFFFFF"/>
                <w:sz w:val="18"/>
                <w:szCs w:val="18"/>
                <w:rFonts w:ascii="Aptos" w:hAnsi="Aptos"/>
              </w:rPr>
              <w:t xml:space="preserve">Điều kiện kiểm tra</w:t>
            </w:r>
          </w:p>
        </w:tc>
        <w:tc>
          <w:tcPr>
            <w:tcW w:w="4050" w:type="dxa"/>
            <w:shd w:fill="17365D"/>
            <w:vAlign w:val="center"/>
          </w:tcPr>
          <w:p>
            <w:pPr>
              <w:spacing w:after="45" w:before="45"/>
            </w:pPr>
            <w:r>
              <w:rPr>
                <w:b/>
                <w:color w:val="FFFFFF"/>
                <w:sz w:val="18"/>
                <w:szCs w:val="18"/>
                <w:rFonts w:ascii="Aptos" w:hAnsi="Aptos"/>
              </w:rPr>
              <w:t xml:space="preserve">Kết quả mong đợi</w:t>
            </w:r>
          </w:p>
        </w:tc>
      </w:tr>
      <w:tr>
        <w:tc>
          <w:tcPr>
            <w:tcW w:w="1050" w:type="dxa"/>
            <w:shd w:fill="F5F8FC"/>
            <w:vAlign w:val="center"/>
          </w:tcPr>
          <w:p>
            <w:pPr>
              <w:spacing w:after="45" w:before="45"/>
            </w:pPr>
            <w:r>
              <w:rPr>
                <w:color w:val="202A35"/>
                <w:sz w:val="18"/>
                <w:szCs w:val="18"/>
                <w:rFonts w:ascii="Aptos" w:hAnsi="Aptos"/>
              </w:rPr>
              <w:t xml:space="preserve">AUTH-01</w:t>
            </w:r>
          </w:p>
        </w:tc>
        <w:tc>
          <w:tcPr>
            <w:tcW w:w="4200" w:type="dxa"/>
            <w:shd w:fill="F5F8FC"/>
            <w:vAlign w:val="center"/>
          </w:tcPr>
          <w:p>
            <w:pPr>
              <w:spacing w:after="45" w:before="45"/>
            </w:pPr>
            <w:r>
              <w:rPr>
                <w:color w:val="202A35"/>
                <w:sz w:val="18"/>
                <w:szCs w:val="18"/>
                <w:rFonts w:ascii="Aptos" w:hAnsi="Aptos"/>
              </w:rPr>
              <w:t xml:space="preserve">Access token với _id/role hợp lệ</w:t>
            </w:r>
          </w:p>
        </w:tc>
        <w:tc>
          <w:tcPr>
            <w:tcW w:w="4050" w:type="dxa"/>
            <w:shd w:fill="F5F8FC"/>
            <w:vAlign w:val="center"/>
          </w:tcPr>
          <w:p>
            <w:pPr>
              <w:spacing w:after="45" w:before="45"/>
            </w:pPr>
            <w:r>
              <w:rPr>
                <w:color w:val="202A35"/>
                <w:sz w:val="18"/>
                <w:szCs w:val="18"/>
                <w:rFonts w:ascii="Aptos" w:hAnsi="Aptos"/>
              </w:rPr>
              <w:t xml:space="preserve">JWT verify được; claim đúng; hạn 1 ngày</w:t>
            </w:r>
          </w:p>
        </w:tc>
      </w:tr>
      <w:tr>
        <w:tc>
          <w:tcPr>
            <w:tcW w:w="1050" w:type="dxa"/>
            <w:shd w:fill="FFFFFF"/>
            <w:vAlign w:val="center"/>
          </w:tcPr>
          <w:p>
            <w:pPr>
              <w:spacing w:after="45" w:before="45"/>
            </w:pPr>
            <w:r>
              <w:rPr>
                <w:color w:val="202A35"/>
                <w:sz w:val="18"/>
                <w:szCs w:val="18"/>
                <w:rFonts w:ascii="Aptos" w:hAnsi="Aptos"/>
              </w:rPr>
              <w:t xml:space="preserve">AUTH-02</w:t>
            </w:r>
          </w:p>
        </w:tc>
        <w:tc>
          <w:tcPr>
            <w:tcW w:w="4200" w:type="dxa"/>
            <w:shd w:fill="FFFFFF"/>
            <w:vAlign w:val="center"/>
          </w:tcPr>
          <w:p>
            <w:pPr>
              <w:spacing w:after="45" w:before="45"/>
            </w:pPr>
            <w:r>
              <w:rPr>
                <w:color w:val="202A35"/>
                <w:sz w:val="18"/>
                <w:szCs w:val="18"/>
                <w:rFonts w:ascii="Aptos" w:hAnsi="Aptos"/>
              </w:rPr>
              <w:t xml:space="preserve">Refresh token với _id/role hợp lệ</w:t>
            </w:r>
          </w:p>
        </w:tc>
        <w:tc>
          <w:tcPr>
            <w:tcW w:w="4050" w:type="dxa"/>
            <w:shd w:fill="FFFFFF"/>
            <w:vAlign w:val="center"/>
          </w:tcPr>
          <w:p>
            <w:pPr>
              <w:spacing w:after="45" w:before="45"/>
            </w:pPr>
            <w:r>
              <w:rPr>
                <w:color w:val="202A35"/>
                <w:sz w:val="18"/>
                <w:szCs w:val="18"/>
                <w:rFonts w:ascii="Aptos" w:hAnsi="Aptos"/>
              </w:rPr>
              <w:t xml:space="preserve">JWT verify được; claim đúng; hạn 7 ngày</w:t>
            </w:r>
          </w:p>
        </w:tc>
      </w:tr>
      <w:tr>
        <w:tc>
          <w:tcPr>
            <w:tcW w:w="1050" w:type="dxa"/>
            <w:shd w:fill="F5F8FC"/>
            <w:vAlign w:val="center"/>
          </w:tcPr>
          <w:p>
            <w:pPr>
              <w:spacing w:after="45" w:before="45"/>
            </w:pPr>
            <w:r>
              <w:rPr>
                <w:color w:val="202A35"/>
                <w:sz w:val="18"/>
                <w:szCs w:val="18"/>
                <w:rFonts w:ascii="Aptos" w:hAnsi="Aptos"/>
              </w:rPr>
              <w:t xml:space="preserve">AUTH-03</w:t>
            </w:r>
          </w:p>
        </w:tc>
        <w:tc>
          <w:tcPr>
            <w:tcW w:w="4200" w:type="dxa"/>
            <w:shd w:fill="F5F8FC"/>
            <w:vAlign w:val="center"/>
          </w:tcPr>
          <w:p>
            <w:pPr>
              <w:spacing w:after="45" w:before="45"/>
            </w:pPr>
            <w:r>
              <w:rPr>
                <w:color w:val="202A35"/>
                <w:sz w:val="18"/>
                <w:szCs w:val="18"/>
                <w:rFonts w:ascii="Aptos" w:hAnsi="Aptos"/>
              </w:rPr>
              <w:t xml:space="preserve">Tạo reset token</w:t>
            </w:r>
          </w:p>
        </w:tc>
        <w:tc>
          <w:tcPr>
            <w:tcW w:w="4050" w:type="dxa"/>
            <w:shd w:fill="F5F8FC"/>
            <w:vAlign w:val="center"/>
          </w:tcPr>
          <w:p>
            <w:pPr>
              <w:spacing w:after="45" w:before="45"/>
            </w:pPr>
            <w:r>
              <w:rPr>
                <w:color w:val="202A35"/>
                <w:sz w:val="18"/>
                <w:szCs w:val="18"/>
                <w:rFonts w:ascii="Aptos" w:hAnsi="Aptos"/>
              </w:rPr>
              <w:t xml:space="preserve">64 ký tự hex; expires sau 5 phút</w:t>
            </w:r>
          </w:p>
        </w:tc>
      </w:tr>
      <w:tr>
        <w:tc>
          <w:tcPr>
            <w:tcW w:w="1050" w:type="dxa"/>
            <w:shd w:fill="FFFFFF"/>
            <w:vAlign w:val="center"/>
          </w:tcPr>
          <w:p>
            <w:pPr>
              <w:spacing w:after="45" w:before="45"/>
            </w:pPr>
            <w:r>
              <w:rPr>
                <w:color w:val="202A35"/>
                <w:sz w:val="18"/>
                <w:szCs w:val="18"/>
                <w:rFonts w:ascii="Aptos" w:hAnsi="Aptos"/>
              </w:rPr>
              <w:t xml:space="preserve">BK-01</w:t>
            </w:r>
          </w:p>
        </w:tc>
        <w:tc>
          <w:tcPr>
            <w:tcW w:w="4200" w:type="dxa"/>
            <w:shd w:fill="FFFFFF"/>
            <w:vAlign w:val="center"/>
          </w:tcPr>
          <w:p>
            <w:pPr>
              <w:spacing w:after="45" w:before="45"/>
            </w:pPr>
            <w:r>
              <w:rPr>
                <w:color w:val="202A35"/>
                <w:sz w:val="18"/>
                <w:szCs w:val="18"/>
                <w:rFonts w:ascii="Aptos" w:hAnsi="Aptos"/>
              </w:rPr>
              <w:t xml:space="preserve">8 km; miễn phí 2 km; 50.000đ/km; base 1.000.000đ; tax 50.000đ; discount 100.000đ</w:t>
            </w:r>
          </w:p>
        </w:tc>
        <w:tc>
          <w:tcPr>
            <w:tcW w:w="4050" w:type="dxa"/>
            <w:shd w:fill="FFFFFF"/>
            <w:vAlign w:val="center"/>
          </w:tcPr>
          <w:p>
            <w:pPr>
              <w:spacing w:after="45" w:before="45"/>
            </w:pPr>
            <w:r>
              <w:rPr>
                <w:color w:val="202A35"/>
                <w:sz w:val="18"/>
                <w:szCs w:val="18"/>
                <w:rFonts w:ascii="Aptos" w:hAnsi="Aptos"/>
              </w:rPr>
              <w:t xml:space="preserve">Phí đi lại 300.000đ; subtotal 1.350.000đ; total 1.250.000đ</w:t>
            </w:r>
          </w:p>
        </w:tc>
      </w:tr>
      <w:tr>
        <w:tc>
          <w:tcPr>
            <w:tcW w:w="1050" w:type="dxa"/>
            <w:shd w:fill="F5F8FC"/>
            <w:vAlign w:val="center"/>
          </w:tcPr>
          <w:p>
            <w:pPr>
              <w:spacing w:after="45" w:before="45"/>
            </w:pPr>
            <w:r>
              <w:rPr>
                <w:color w:val="202A35"/>
                <w:sz w:val="18"/>
                <w:szCs w:val="18"/>
                <w:rFonts w:ascii="Aptos" w:hAnsi="Aptos"/>
              </w:rPr>
              <w:t xml:space="preserve">BK-02</w:t>
            </w:r>
          </w:p>
        </w:tc>
        <w:tc>
          <w:tcPr>
            <w:tcW w:w="4200" w:type="dxa"/>
            <w:shd w:fill="F5F8FC"/>
            <w:vAlign w:val="center"/>
          </w:tcPr>
          <w:p>
            <w:pPr>
              <w:spacing w:after="45" w:before="45"/>
            </w:pPr>
            <w:r>
              <w:rPr>
                <w:color w:val="202A35"/>
                <w:sz w:val="18"/>
                <w:szCs w:val="18"/>
                <w:rFonts w:ascii="Aptos" w:hAnsi="Aptos"/>
              </w:rPr>
              <w:t xml:space="preserve">Tập tại gym PT, khoảng cách 10 km</w:t>
            </w:r>
          </w:p>
        </w:tc>
        <w:tc>
          <w:tcPr>
            <w:tcW w:w="4050" w:type="dxa"/>
            <w:shd w:fill="F5F8FC"/>
            <w:vAlign w:val="center"/>
          </w:tcPr>
          <w:p>
            <w:pPr>
              <w:spacing w:after="45" w:before="45"/>
            </w:pPr>
            <w:r>
              <w:rPr>
                <w:color w:val="202A35"/>
                <w:sz w:val="18"/>
                <w:szCs w:val="18"/>
                <w:rFonts w:ascii="Aptos" w:hAnsi="Aptos"/>
              </w:rPr>
              <w:t xml:space="preserve">Phí đi lại 0đ; tổng 500.000đ</w:t>
            </w:r>
          </w:p>
        </w:tc>
      </w:tr>
      <w:tr>
        <w:tc>
          <w:tcPr>
            <w:tcW w:w="1050" w:type="dxa"/>
            <w:shd w:fill="FFFFFF"/>
            <w:vAlign w:val="center"/>
          </w:tcPr>
          <w:p>
            <w:pPr>
              <w:spacing w:after="45" w:before="45"/>
            </w:pPr>
            <w:r>
              <w:rPr>
                <w:color w:val="202A35"/>
                <w:sz w:val="18"/>
                <w:szCs w:val="18"/>
                <w:rFonts w:ascii="Aptos" w:hAnsi="Aptos"/>
              </w:rPr>
              <w:t xml:space="preserve">BK-03</w:t>
            </w:r>
          </w:p>
        </w:tc>
        <w:tc>
          <w:tcPr>
            <w:tcW w:w="4200" w:type="dxa"/>
            <w:shd w:fill="FFFFFF"/>
            <w:vAlign w:val="center"/>
          </w:tcPr>
          <w:p>
            <w:pPr>
              <w:spacing w:after="45" w:before="45"/>
            </w:pPr>
            <w:r>
              <w:rPr>
                <w:color w:val="202A35"/>
                <w:sz w:val="18"/>
                <w:szCs w:val="18"/>
                <w:rFonts w:ascii="Aptos" w:hAnsi="Aptos"/>
              </w:rPr>
              <w:t xml:space="preserve">Bắt đầu 01/01/2026; chọn thứ Ba/ thứ Năm; cần 3 buổi</w:t>
            </w:r>
          </w:p>
        </w:tc>
        <w:tc>
          <w:tcPr>
            <w:tcW w:w="4050" w:type="dxa"/>
            <w:shd w:fill="FFFFFF"/>
            <w:vAlign w:val="center"/>
          </w:tcPr>
          <w:p>
            <w:pPr>
              <w:spacing w:after="45" w:before="45"/>
            </w:pPr>
            <w:r>
              <w:rPr>
                <w:color w:val="202A35"/>
                <w:sz w:val="18"/>
                <w:szCs w:val="18"/>
                <w:rFonts w:ascii="Aptos" w:hAnsi="Aptos"/>
              </w:rPr>
              <w:t xml:space="preserve">01/01, 06/01, 08/01/2026 theo thứ tự lịch</w:t>
            </w:r>
          </w:p>
        </w:tc>
      </w:tr>
      <w:tr>
        <w:tc>
          <w:tcPr>
            <w:tcW w:w="1050" w:type="dxa"/>
            <w:shd w:fill="F5F8FC"/>
            <w:vAlign w:val="center"/>
          </w:tcPr>
          <w:p>
            <w:pPr>
              <w:spacing w:after="45" w:before="45"/>
            </w:pPr>
            <w:r>
              <w:rPr>
                <w:color w:val="202A35"/>
                <w:sz w:val="18"/>
                <w:szCs w:val="18"/>
                <w:rFonts w:ascii="Aptos" w:hAnsi="Aptos"/>
              </w:rPr>
              <w:t xml:space="preserve">BK-04</w:t>
            </w:r>
          </w:p>
        </w:tc>
        <w:tc>
          <w:tcPr>
            <w:tcW w:w="4200" w:type="dxa"/>
            <w:shd w:fill="F5F8FC"/>
            <w:vAlign w:val="center"/>
          </w:tcPr>
          <w:p>
            <w:pPr>
              <w:spacing w:after="45" w:before="45"/>
            </w:pPr>
            <w:r>
              <w:rPr>
                <w:color w:val="202A35"/>
                <w:sz w:val="18"/>
                <w:szCs w:val="18"/>
                <w:rFonts w:ascii="Aptos" w:hAnsi="Aptos"/>
              </w:rPr>
              <w:t xml:space="preserve">Pattern weekday [4, 4]; cần 2 buổi</w:t>
            </w:r>
          </w:p>
        </w:tc>
        <w:tc>
          <w:tcPr>
            <w:tcW w:w="4050" w:type="dxa"/>
            <w:shd w:fill="F5F8FC"/>
            <w:vAlign w:val="center"/>
          </w:tcPr>
          <w:p>
            <w:pPr>
              <w:spacing w:after="45" w:before="45"/>
            </w:pPr>
            <w:r>
              <w:rPr>
                <w:color w:val="202A35"/>
                <w:sz w:val="18"/>
                <w:szCs w:val="18"/>
                <w:rFonts w:ascii="Aptos" w:hAnsi="Aptos"/>
              </w:rPr>
              <w:t xml:space="preserve">Không trùng ngày; kết quả 01/01 và 08/01/2026</w:t>
            </w:r>
          </w:p>
        </w:tc>
      </w:tr>
      <w:tr>
        <w:tc>
          <w:tcPr>
            <w:tcW w:w="1050" w:type="dxa"/>
            <w:shd w:fill="FFFFFF"/>
            <w:vAlign w:val="center"/>
          </w:tcPr>
          <w:p>
            <w:pPr>
              <w:spacing w:after="45" w:before="45"/>
            </w:pPr>
            <w:r>
              <w:rPr>
                <w:color w:val="202A35"/>
                <w:sz w:val="18"/>
                <w:szCs w:val="18"/>
                <w:rFonts w:ascii="Aptos" w:hAnsi="Aptos"/>
              </w:rPr>
              <w:t xml:space="preserve">PAY-01</w:t>
            </w:r>
          </w:p>
        </w:tc>
        <w:tc>
          <w:tcPr>
            <w:tcW w:w="4200" w:type="dxa"/>
            <w:shd w:fill="FFFFFF"/>
            <w:vAlign w:val="center"/>
          </w:tcPr>
          <w:p>
            <w:pPr>
              <w:spacing w:after="45" w:before="45"/>
            </w:pPr>
            <w:r>
              <w:rPr>
                <w:color w:val="202A35"/>
                <w:sz w:val="18"/>
                <w:szCs w:val="18"/>
                <w:rFonts w:ascii="Aptos" w:hAnsi="Aptos"/>
              </w:rPr>
              <w:t xml:space="preserve">1.250.000đ; tỷ lệ mặc định 20%</w:t>
            </w:r>
          </w:p>
        </w:tc>
        <w:tc>
          <w:tcPr>
            <w:tcW w:w="4050" w:type="dxa"/>
            <w:shd w:fill="FFFFFF"/>
            <w:vAlign w:val="center"/>
          </w:tcPr>
          <w:p>
            <w:pPr>
              <w:spacing w:after="45" w:before="45"/>
            </w:pPr>
            <w:r>
              <w:rPr>
                <w:color w:val="202A35"/>
                <w:sz w:val="18"/>
                <w:szCs w:val="18"/>
                <w:rFonts w:ascii="Aptos" w:hAnsi="Aptos"/>
              </w:rPr>
              <w:t xml:space="preserve">Platform 250.000đ; PT 1.000.000đ</w:t>
            </w:r>
          </w:p>
        </w:tc>
      </w:tr>
      <w:tr>
        <w:tc>
          <w:tcPr>
            <w:tcW w:w="1050" w:type="dxa"/>
            <w:shd w:fill="F5F8FC"/>
            <w:vAlign w:val="center"/>
          </w:tcPr>
          <w:p>
            <w:pPr>
              <w:spacing w:after="45" w:before="45"/>
            </w:pPr>
            <w:r>
              <w:rPr>
                <w:color w:val="202A35"/>
                <w:sz w:val="18"/>
                <w:szCs w:val="18"/>
                <w:rFonts w:ascii="Aptos" w:hAnsi="Aptos"/>
              </w:rPr>
              <w:t xml:space="preserve">PAY-02</w:t>
            </w:r>
          </w:p>
        </w:tc>
        <w:tc>
          <w:tcPr>
            <w:tcW w:w="4200" w:type="dxa"/>
            <w:shd w:fill="F5F8FC"/>
            <w:vAlign w:val="center"/>
          </w:tcPr>
          <w:p>
            <w:pPr>
              <w:spacing w:after="45" w:before="45"/>
            </w:pPr>
            <w:r>
              <w:rPr>
                <w:color w:val="202A35"/>
                <w:sz w:val="18"/>
                <w:szCs w:val="18"/>
                <w:rFonts w:ascii="Aptos" w:hAnsi="Aptos"/>
              </w:rPr>
              <w:t xml:space="preserve">101đ; tỷ lệ 15%</w:t>
            </w:r>
          </w:p>
        </w:tc>
        <w:tc>
          <w:tcPr>
            <w:tcW w:w="4050" w:type="dxa"/>
            <w:shd w:fill="F5F8FC"/>
            <w:vAlign w:val="center"/>
          </w:tcPr>
          <w:p>
            <w:pPr>
              <w:spacing w:after="45" w:before="45"/>
            </w:pPr>
            <w:r>
              <w:rPr>
                <w:color w:val="202A35"/>
                <w:sz w:val="18"/>
                <w:szCs w:val="18"/>
                <w:rFonts w:ascii="Aptos" w:hAnsi="Aptos"/>
              </w:rPr>
              <w:t xml:space="preserve">Platform làm tròn xuống 15đ; PT nhận 86đ</w:t>
            </w:r>
          </w:p>
        </w:tc>
      </w:tr>
    </w:tbl>
    <w:p>
      <w:pPr>
        <w:spacing w:after="100"/>
      </w:pPr>
    </w:p>
    <w:p>
      <w:pPr>
        <w:pStyle w:val="Heading1"/>
        <w:spacing w:before="240" w:after="100" w:line="280" w:lineRule="auto"/>
      </w:pPr>
      <w:r>
        <w:rPr>
          <w:rFonts w:ascii="Aptos" w:hAnsi="Aptos"/>
        </w:rPr>
        <w:t xml:space="preserve">5. Unit Test Implementation</w:t>
      </w:r>
    </w:p>
    <w:p>
      <w:pPr>
        <w:spacing w:before="0" w:after="120" w:line="280" w:lineRule="auto"/>
      </w:pPr>
      <w:r>
        <w:rPr>
          <w:rFonts w:ascii="Aptos" w:hAnsi="Aptos"/>
        </w:rPr>
        <w:t xml:space="preserve">Các test được chia thành tests/unit/auth.test.js, booking.test.js và payment.test.js. Jest dùng describe, test, expect; kết quả không phụ thuộc dịch vụ ngoài.</w:t>
      </w:r>
    </w:p>
    <w:p>
      <w:pPr>
        <w:pStyle w:val="Heading2"/>
        <w:spacing w:before="0" w:after="120" w:line="280" w:lineRule="auto"/>
      </w:pPr>
      <w:r>
        <w:rPr>
          <w:rFonts w:ascii="Aptos" w:hAnsi="Aptos"/>
        </w:rPr>
        <w:t xml:space="preserve">Ví dụ: xác nhận tính giá booking</w:t>
      </w:r>
    </w:p>
    <w:p>
      <w:pPr>
        <w:shd w:fill="F2F5F9"/>
        <w:ind w:left="180" w:right="180"/>
        <w:spacing w:before="20" w:after="20" w:line="240"/>
      </w:pPr>
      <w:r>
        <w:rPr>
          <w:color w:val="263238"/>
          <w:sz w:val="19"/>
          <w:szCs w:val="19"/>
          <w:rFonts w:ascii="Consolas" w:hAnsi="Consolas"/>
        </w:rPr>
        <w:t xml:space="preserve">const result = calcBookingPricing({ mode: 'atClient', base: 1_000_000, tax: 50_000, discount: 100_000, travelDistanceKm: 8, travelPolicy: { freeRadiusKm: 2, feePerKm: 50_000 } })
expect(result.travel).toBe(300_000)
expect(result.total).toBe(1_250_000)</w:t>
      </w:r>
    </w:p>
    <w:p>
      <w:pPr>
        <w:pStyle w:val="Heading2"/>
        <w:spacing w:before="0" w:after="120" w:line="280" w:lineRule="auto"/>
      </w:pPr>
      <w:r>
        <w:rPr>
          <w:rFonts w:ascii="Aptos" w:hAnsi="Aptos"/>
        </w:rPr>
        <w:t xml:space="preserve">Ví dụ: kiểm tra chia tiền</w:t>
      </w:r>
    </w:p>
    <w:p>
      <w:pPr>
        <w:shd w:fill="F2F5F9"/>
        <w:ind w:left="180" w:right="180"/>
        <w:spacing w:before="20" w:after="20" w:line="240"/>
      </w:pPr>
      <w:r>
        <w:rPr>
          <w:color w:val="263238"/>
          <w:sz w:val="19"/>
          <w:szCs w:val="19"/>
          <w:rFonts w:ascii="Consolas" w:hAnsi="Consolas"/>
        </w:rPr>
        <w:t xml:space="preserve">expect(calculatePaymentSplit(1_250_000)).toEqual({ platformFee: 250_000, ptEarning: 1_000_000 })</w:t>
      </w:r>
    </w:p>
    <w:p>
      <w:pPr>
        <w:spacing w:before="0" w:after="120" w:line="280" w:lineRule="auto"/>
      </w:pPr>
      <w:r>
        <w:rPr>
          <w:rFonts w:ascii="Aptos" w:hAnsi="Aptos"/>
        </w:rPr>
        <w:t xml:space="preserve">Unit test phát hiện lỗi ở generateDatesByPatternFromDate: cách duyệt lịch cũ có thể trả ngày sai thứ tự và bỏ sót buổi. Hàm được sửa để duyệt lần lượt từng ngày theo lịch và loại weekday trùng bằng Set. Sau sửa, các test lịch pass. Báo cáo không đưa ra log lỗi giả lập; bảng trên thể hiện hành vi mong đợi và kết quả sau sửa.</w:t>
      </w:r>
    </w:p>
    <w:p>
      <w:pPr>
        <w:pStyle w:val="Heading2"/>
        <w:spacing w:before="0" w:after="120" w:line="280" w:lineRule="auto"/>
      </w:pPr>
      <w:r>
        <w:rPr>
          <w:rFonts w:ascii="Aptos" w:hAnsi="Aptos"/>
        </w:rPr>
        <w:t xml:space="preserve">Lệnh chạy:</w:t>
      </w:r>
    </w:p>
    <w:p>
      <w:pPr>
        <w:shd w:fill="F2F5F9"/>
        <w:ind w:left="180" w:right="180"/>
        <w:spacing w:before="20" w:after="20" w:line="240"/>
      </w:pPr>
      <w:r>
        <w:rPr>
          <w:color w:val="263238"/>
          <w:sz w:val="19"/>
          <w:szCs w:val="19"/>
          <w:rFonts w:ascii="Consolas" w:hAnsi="Consolas"/>
        </w:rPr>
        <w:t xml:space="preserve">npm test -- --runInBand</w:t>
      </w:r>
    </w:p>
    <w:p>
      <w:pPr>
        <w:shd w:fill="F2F5F9"/>
        <w:ind w:left="180" w:right="180"/>
        <w:spacing w:before="20" w:after="20" w:line="240"/>
      </w:pPr>
      <w:r>
        <w:rPr>
          <w:color w:val="263238"/>
          <w:sz w:val="19"/>
          <w:szCs w:val="19"/>
          <w:rFonts w:ascii="Consolas" w:hAnsi="Consolas"/>
        </w:rPr>
        <w:t xml:space="preserve">npm test -- --runInBand --coverage</w:t>
      </w:r>
    </w:p>
    <w:p>
      <w:pPr>
        <w:spacing w:before="0" w:after="120" w:line="280" w:lineRule="auto"/>
      </w:pPr>
      <w:r>
        <w:rPr>
          <w:b/>
          <w:color w:val="147D64"/>
          <w:rFonts w:ascii="Aptos" w:hAnsi="Aptos"/>
        </w:rPr>
        <w:t xml:space="preserve">Kết quả lần chạy local đã ghi nhận: Test Suites: 3 passed, 3 total; Tests: 9 passed, 9 total.</w:t>
      </w:r>
    </w:p>
    <w:p>
      <w:pPr>
        <w:pStyle w:val="Heading1"/>
        <w:spacing w:before="240" w:after="100" w:line="280" w:lineRule="auto"/>
      </w:pPr>
      <w:r>
        <w:rPr>
          <w:rFonts w:ascii="Aptos" w:hAnsi="Aptos"/>
        </w:rPr>
        <w:t xml:space="preserve">6. Code Coverage</w:t>
      </w:r>
    </w:p>
    <w:p>
      <w:pPr>
        <w:spacing w:before="0" w:after="120" w:line="280" w:lineRule="auto"/>
      </w:pPr>
      <w:r>
        <w:rPr>
          <w:rFonts w:ascii="Aptos" w:hAnsi="Aptos"/>
        </w:rPr>
        <w:t xml:space="preserve">Số liệu trích từ coverage/lcov-report/index.html hiện có trong backend. Ngưỡng line coverage vượt 80%; các tỷ lệ khác được ghi rõ để không diễn giải nhầm coverage toàn hệ thống.</w:t>
      </w:r>
    </w:p>
    <w:tbl>
      <w:tblPr>
        <w:tblW w:w="0" w:type="auto"/>
        <w:tblBorders>
          <w:top w:val="single" w:sz="4" w:color="D6DEE8"/>
          <w:left w:val="single" w:sz="4" w:color="D6DEE8"/>
          <w:bottom w:val="single" w:sz="4" w:color="D6DEE8"/>
          <w:right w:val="single" w:sz="4" w:color="D6DEE8"/>
          <w:insideH w:val="single" w:sz="4" w:color="D6DEE8"/>
          <w:insideV w:val="single" w:sz="4" w:color="D6DEE8"/>
        </w:tblBorders>
        <w:tblCellMar>
          <w:top w:w="80" w:type="dxa"/>
          <w:start w:w="90" w:type="dxa"/>
          <w:bottom w:w="80" w:type="dxa"/>
          <w:end w:w="90" w:type="dxa"/>
        </w:tblCellMar>
      </w:tblPr>
      <w:tblGrid>
        <w:gridCol w:w="2700"/>
        <w:gridCol w:w="1800"/>
        <w:gridCol w:w="1800"/>
        <w:gridCol w:w="1800"/>
        <w:gridCol w:w="1800"/>
      </w:tblGrid>
      <w:tr>
        <w:tc>
          <w:tcPr>
            <w:tcW w:w="2700" w:type="dxa"/>
            <w:shd w:fill="17365D"/>
            <w:vAlign w:val="center"/>
          </w:tcPr>
          <w:p>
            <w:pPr>
              <w:spacing w:after="45" w:before="45"/>
            </w:pPr>
            <w:r>
              <w:rPr>
                <w:b/>
                <w:color w:val="FFFFFF"/>
                <w:sz w:val="18"/>
                <w:szCs w:val="18"/>
                <w:rFonts w:ascii="Aptos" w:hAnsi="Aptos"/>
              </w:rPr>
              <w:t xml:space="preserve">Phạm vi</w:t>
            </w:r>
          </w:p>
        </w:tc>
        <w:tc>
          <w:tcPr>
            <w:tcW w:w="1800" w:type="dxa"/>
            <w:shd w:fill="17365D"/>
            <w:vAlign w:val="center"/>
          </w:tcPr>
          <w:p>
            <w:pPr>
              <w:spacing w:after="45" w:before="45"/>
            </w:pPr>
            <w:r>
              <w:rPr>
                <w:b/>
                <w:color w:val="FFFFFF"/>
                <w:sz w:val="18"/>
                <w:szCs w:val="18"/>
                <w:rFonts w:ascii="Aptos" w:hAnsi="Aptos"/>
              </w:rPr>
              <w:t xml:space="preserve">Statements</w:t>
            </w:r>
          </w:p>
        </w:tc>
        <w:tc>
          <w:tcPr>
            <w:tcW w:w="1800" w:type="dxa"/>
            <w:shd w:fill="17365D"/>
            <w:vAlign w:val="center"/>
          </w:tcPr>
          <w:p>
            <w:pPr>
              <w:spacing w:after="45" w:before="45"/>
            </w:pPr>
            <w:r>
              <w:rPr>
                <w:b/>
                <w:color w:val="FFFFFF"/>
                <w:sz w:val="18"/>
                <w:szCs w:val="18"/>
                <w:rFonts w:ascii="Aptos" w:hAnsi="Aptos"/>
              </w:rPr>
              <w:t xml:space="preserve">Branches</w:t>
            </w:r>
          </w:p>
        </w:tc>
        <w:tc>
          <w:tcPr>
            <w:tcW w:w="1800" w:type="dxa"/>
            <w:shd w:fill="17365D"/>
            <w:vAlign w:val="center"/>
          </w:tcPr>
          <w:p>
            <w:pPr>
              <w:spacing w:after="45" w:before="45"/>
            </w:pPr>
            <w:r>
              <w:rPr>
                <w:b/>
                <w:color w:val="FFFFFF"/>
                <w:sz w:val="18"/>
                <w:szCs w:val="18"/>
                <w:rFonts w:ascii="Aptos" w:hAnsi="Aptos"/>
              </w:rPr>
              <w:t xml:space="preserve">Functions</w:t>
            </w:r>
          </w:p>
        </w:tc>
        <w:tc>
          <w:tcPr>
            <w:tcW w:w="1800" w:type="dxa"/>
            <w:shd w:fill="17365D"/>
            <w:vAlign w:val="center"/>
          </w:tcPr>
          <w:p>
            <w:pPr>
              <w:spacing w:after="45" w:before="45"/>
            </w:pPr>
            <w:r>
              <w:rPr>
                <w:b/>
                <w:color w:val="FFFFFF"/>
                <w:sz w:val="18"/>
                <w:szCs w:val="18"/>
                <w:rFonts w:ascii="Aptos" w:hAnsi="Aptos"/>
              </w:rPr>
              <w:t xml:space="preserve">Lines</w:t>
            </w:r>
          </w:p>
        </w:tc>
      </w:tr>
      <w:tr>
        <w:tc>
          <w:tcPr>
            <w:tcW w:w="2700" w:type="dxa"/>
            <w:shd w:fill="F5F8FC"/>
            <w:vAlign w:val="center"/>
          </w:tcPr>
          <w:p>
            <w:pPr>
              <w:spacing w:after="45" w:before="45"/>
            </w:pPr>
            <w:r>
              <w:rPr>
                <w:color w:val="202A35"/>
                <w:sz w:val="18"/>
                <w:szCs w:val="18"/>
                <w:rFonts w:ascii="Aptos" w:hAnsi="Aptos"/>
              </w:rPr>
              <w:t xml:space="preserve">Toàn bộ file được cấu hình</w:t>
            </w:r>
          </w:p>
        </w:tc>
        <w:tc>
          <w:tcPr>
            <w:tcW w:w="1800" w:type="dxa"/>
            <w:shd w:fill="F5F8FC"/>
            <w:vAlign w:val="center"/>
          </w:tcPr>
          <w:p>
            <w:pPr>
              <w:spacing w:after="45" w:before="45"/>
            </w:pPr>
            <w:r>
              <w:rPr>
                <w:color w:val="202A35"/>
                <w:sz w:val="18"/>
                <w:szCs w:val="18"/>
                <w:rFonts w:ascii="Aptos" w:hAnsi="Aptos"/>
              </w:rPr>
              <w:t xml:space="preserve">94.11% (32/34)</w:t>
            </w:r>
          </w:p>
        </w:tc>
        <w:tc>
          <w:tcPr>
            <w:tcW w:w="1800" w:type="dxa"/>
            <w:shd w:fill="F5F8FC"/>
            <w:vAlign w:val="center"/>
          </w:tcPr>
          <w:p>
            <w:pPr>
              <w:spacing w:after="45" w:before="45"/>
            </w:pPr>
            <w:r>
              <w:rPr>
                <w:color w:val="202A35"/>
                <w:sz w:val="18"/>
                <w:szCs w:val="18"/>
                <w:rFonts w:ascii="Aptos" w:hAnsi="Aptos"/>
              </w:rPr>
              <w:t xml:space="preserve">70% (14/20)</w:t>
            </w:r>
          </w:p>
        </w:tc>
        <w:tc>
          <w:tcPr>
            <w:tcW w:w="1800" w:type="dxa"/>
            <w:shd w:fill="F5F8FC"/>
            <w:vAlign w:val="center"/>
          </w:tcPr>
          <w:p>
            <w:pPr>
              <w:spacing w:after="45" w:before="45"/>
            </w:pPr>
            <w:r>
              <w:rPr>
                <w:color w:val="202A35"/>
                <w:sz w:val="18"/>
                <w:szCs w:val="18"/>
                <w:rFonts w:ascii="Aptos" w:hAnsi="Aptos"/>
              </w:rPr>
              <w:t xml:space="preserve">85.71% (6/7)</w:t>
            </w:r>
          </w:p>
        </w:tc>
        <w:tc>
          <w:tcPr>
            <w:tcW w:w="1800" w:type="dxa"/>
            <w:shd w:fill="F5F8FC"/>
            <w:vAlign w:val="center"/>
          </w:tcPr>
          <w:p>
            <w:pPr>
              <w:spacing w:after="45" w:before="45"/>
            </w:pPr>
            <w:r>
              <w:rPr>
                <w:color w:val="202A35"/>
                <w:sz w:val="18"/>
                <w:szCs w:val="18"/>
                <w:rFonts w:ascii="Aptos" w:hAnsi="Aptos"/>
              </w:rPr>
              <w:t xml:space="preserve">100% (31/31)</w:t>
            </w:r>
          </w:p>
        </w:tc>
      </w:tr>
      <w:tr>
        <w:tc>
          <w:tcPr>
            <w:tcW w:w="2700" w:type="dxa"/>
            <w:shd w:fill="FFFFFF"/>
            <w:vAlign w:val="center"/>
          </w:tcPr>
          <w:p>
            <w:pPr>
              <w:spacing w:after="45" w:before="45"/>
            </w:pPr>
            <w:r>
              <w:rPr>
                <w:color w:val="202A35"/>
                <w:sz w:val="18"/>
                <w:szCs w:val="18"/>
                <w:rFonts w:ascii="Aptos" w:hAnsi="Aptos"/>
              </w:rPr>
              <w:t xml:space="preserve">genarateTokens.js</w:t>
            </w:r>
          </w:p>
        </w:tc>
        <w:tc>
          <w:tcPr>
            <w:tcW w:w="1800" w:type="dxa"/>
            <w:shd w:fill="FFFFFF"/>
            <w:vAlign w:val="center"/>
          </w:tcPr>
          <w:p>
            <w:pPr>
              <w:spacing w:after="45" w:before="45"/>
            </w:pPr>
            <w:r>
              <w:rPr>
                <w:color w:val="202A35"/>
                <w:sz w:val="18"/>
                <w:szCs w:val="18"/>
                <w:rFonts w:ascii="Aptos" w:hAnsi="Aptos"/>
              </w:rPr>
              <w:t xml:space="preserve">100% (8/8)</w:t>
            </w:r>
          </w:p>
        </w:tc>
        <w:tc>
          <w:tcPr>
            <w:tcW w:w="1800" w:type="dxa"/>
            <w:shd w:fill="FFFFFF"/>
            <w:vAlign w:val="center"/>
          </w:tcPr>
          <w:p>
            <w:pPr>
              <w:spacing w:after="45" w:before="45"/>
            </w:pPr>
            <w:r>
              <w:rPr>
                <w:color w:val="202A35"/>
                <w:sz w:val="18"/>
                <w:szCs w:val="18"/>
                <w:rFonts w:ascii="Aptos" w:hAnsi="Aptos"/>
              </w:rPr>
              <w:t xml:space="preserve">100% (1/1)</w:t>
            </w:r>
          </w:p>
        </w:tc>
        <w:tc>
          <w:tcPr>
            <w:tcW w:w="1800" w:type="dxa"/>
            <w:shd w:fill="FFFFFF"/>
            <w:vAlign w:val="center"/>
          </w:tcPr>
          <w:p>
            <w:pPr>
              <w:spacing w:after="45" w:before="45"/>
            </w:pPr>
            <w:r>
              <w:rPr>
                <w:color w:val="202A35"/>
                <w:sz w:val="18"/>
                <w:szCs w:val="18"/>
                <w:rFonts w:ascii="Aptos" w:hAnsi="Aptos"/>
              </w:rPr>
              <w:t xml:space="preserve">100% (3/3)</w:t>
            </w:r>
          </w:p>
        </w:tc>
        <w:tc>
          <w:tcPr>
            <w:tcW w:w="1800" w:type="dxa"/>
            <w:shd w:fill="FFFFFF"/>
            <w:vAlign w:val="center"/>
          </w:tcPr>
          <w:p>
            <w:pPr>
              <w:spacing w:after="45" w:before="45"/>
            </w:pPr>
            <w:r>
              <w:rPr>
                <w:color w:val="202A35"/>
                <w:sz w:val="18"/>
                <w:szCs w:val="18"/>
                <w:rFonts w:ascii="Aptos" w:hAnsi="Aptos"/>
              </w:rPr>
              <w:t xml:space="preserve">100% (8/8)</w:t>
            </w:r>
          </w:p>
        </w:tc>
      </w:tr>
      <w:tr>
        <w:tc>
          <w:tcPr>
            <w:tcW w:w="2700" w:type="dxa"/>
            <w:shd w:fill="F5F8FC"/>
            <w:vAlign w:val="center"/>
          </w:tcPr>
          <w:p>
            <w:pPr>
              <w:spacing w:after="45" w:before="45"/>
            </w:pPr>
            <w:r>
              <w:rPr>
                <w:color w:val="202A35"/>
                <w:sz w:val="18"/>
                <w:szCs w:val="18"/>
                <w:rFonts w:ascii="Aptos" w:hAnsi="Aptos"/>
              </w:rPr>
              <w:t xml:space="preserve">paymentUtils.js</w:t>
            </w:r>
          </w:p>
        </w:tc>
        <w:tc>
          <w:tcPr>
            <w:tcW w:w="1800" w:type="dxa"/>
            <w:shd w:fill="F5F8FC"/>
            <w:vAlign w:val="center"/>
          </w:tcPr>
          <w:p>
            <w:pPr>
              <w:spacing w:after="45" w:before="45"/>
            </w:pPr>
            <w:r>
              <w:rPr>
                <w:color w:val="202A35"/>
                <w:sz w:val="18"/>
                <w:szCs w:val="18"/>
                <w:rFonts w:ascii="Aptos" w:hAnsi="Aptos"/>
              </w:rPr>
              <w:t xml:space="preserve">100% (3/3)</w:t>
            </w:r>
          </w:p>
        </w:tc>
        <w:tc>
          <w:tcPr>
            <w:tcW w:w="1800" w:type="dxa"/>
            <w:shd w:fill="F5F8FC"/>
            <w:vAlign w:val="center"/>
          </w:tcPr>
          <w:p>
            <w:pPr>
              <w:spacing w:after="45" w:before="45"/>
            </w:pPr>
            <w:r>
              <w:rPr>
                <w:color w:val="202A35"/>
                <w:sz w:val="18"/>
                <w:szCs w:val="18"/>
                <w:rFonts w:ascii="Aptos" w:hAnsi="Aptos"/>
              </w:rPr>
              <w:t xml:space="preserve">100% (1/1)</w:t>
            </w:r>
          </w:p>
        </w:tc>
        <w:tc>
          <w:tcPr>
            <w:tcW w:w="1800" w:type="dxa"/>
            <w:shd w:fill="F5F8FC"/>
            <w:vAlign w:val="center"/>
          </w:tcPr>
          <w:p>
            <w:pPr>
              <w:spacing w:after="45" w:before="45"/>
            </w:pPr>
            <w:r>
              <w:rPr>
                <w:color w:val="202A35"/>
                <w:sz w:val="18"/>
                <w:szCs w:val="18"/>
                <w:rFonts w:ascii="Aptos" w:hAnsi="Aptos"/>
              </w:rPr>
              <w:t xml:space="preserve">100% (1/1)</w:t>
            </w:r>
          </w:p>
        </w:tc>
        <w:tc>
          <w:tcPr>
            <w:tcW w:w="1800" w:type="dxa"/>
            <w:shd w:fill="F5F8FC"/>
            <w:vAlign w:val="center"/>
          </w:tcPr>
          <w:p>
            <w:pPr>
              <w:spacing w:after="45" w:before="45"/>
            </w:pPr>
            <w:r>
              <w:rPr>
                <w:color w:val="202A35"/>
                <w:sz w:val="18"/>
                <w:szCs w:val="18"/>
                <w:rFonts w:ascii="Aptos" w:hAnsi="Aptos"/>
              </w:rPr>
              <w:t xml:space="preserve">100% (3/3)</w:t>
            </w:r>
          </w:p>
        </w:tc>
      </w:tr>
      <w:tr>
        <w:tc>
          <w:tcPr>
            <w:tcW w:w="2700" w:type="dxa"/>
            <w:shd w:fill="FFFFFF"/>
            <w:vAlign w:val="center"/>
          </w:tcPr>
          <w:p>
            <w:pPr>
              <w:spacing w:after="45" w:before="45"/>
            </w:pPr>
            <w:r>
              <w:rPr>
                <w:color w:val="202A35"/>
                <w:sz w:val="18"/>
                <w:szCs w:val="18"/>
                <w:rFonts w:ascii="Aptos" w:hAnsi="Aptos"/>
              </w:rPr>
              <w:t xml:space="preserve">pricingUtils.js</w:t>
            </w:r>
          </w:p>
        </w:tc>
        <w:tc>
          <w:tcPr>
            <w:tcW w:w="1800" w:type="dxa"/>
            <w:shd w:fill="FFFFFF"/>
            <w:vAlign w:val="center"/>
          </w:tcPr>
          <w:p>
            <w:pPr>
              <w:spacing w:after="45" w:before="45"/>
            </w:pPr>
            <w:r>
              <w:rPr>
                <w:color w:val="202A35"/>
                <w:sz w:val="18"/>
                <w:szCs w:val="18"/>
                <w:rFonts w:ascii="Aptos" w:hAnsi="Aptos"/>
              </w:rPr>
              <w:t xml:space="preserve">100% (9/9)</w:t>
            </w:r>
          </w:p>
        </w:tc>
        <w:tc>
          <w:tcPr>
            <w:tcW w:w="1800" w:type="dxa"/>
            <w:shd w:fill="FFFFFF"/>
            <w:vAlign w:val="center"/>
          </w:tcPr>
          <w:p>
            <w:pPr>
              <w:spacing w:after="45" w:before="45"/>
            </w:pPr>
            <w:r>
              <w:rPr>
                <w:color w:val="202A35"/>
                <w:sz w:val="18"/>
                <w:szCs w:val="18"/>
                <w:rFonts w:ascii="Aptos" w:hAnsi="Aptos"/>
              </w:rPr>
              <w:t xml:space="preserve">58.33% (7/12)</w:t>
            </w:r>
          </w:p>
        </w:tc>
        <w:tc>
          <w:tcPr>
            <w:tcW w:w="1800" w:type="dxa"/>
            <w:shd w:fill="FFFFFF"/>
            <w:vAlign w:val="center"/>
          </w:tcPr>
          <w:p>
            <w:pPr>
              <w:spacing w:after="45" w:before="45"/>
            </w:pPr>
            <w:r>
              <w:rPr>
                <w:color w:val="202A35"/>
                <w:sz w:val="18"/>
                <w:szCs w:val="18"/>
                <w:rFonts w:ascii="Aptos" w:hAnsi="Aptos"/>
              </w:rPr>
              <w:t xml:space="preserve">100% (1/1)</w:t>
            </w:r>
          </w:p>
        </w:tc>
        <w:tc>
          <w:tcPr>
            <w:tcW w:w="1800" w:type="dxa"/>
            <w:shd w:fill="FFFFFF"/>
            <w:vAlign w:val="center"/>
          </w:tcPr>
          <w:p>
            <w:pPr>
              <w:spacing w:after="45" w:before="45"/>
            </w:pPr>
            <w:r>
              <w:rPr>
                <w:color w:val="202A35"/>
                <w:sz w:val="18"/>
                <w:szCs w:val="18"/>
                <w:rFonts w:ascii="Aptos" w:hAnsi="Aptos"/>
              </w:rPr>
              <w:t xml:space="preserve">100% (9/9)</w:t>
            </w:r>
          </w:p>
        </w:tc>
      </w:tr>
      <w:tr>
        <w:tc>
          <w:tcPr>
            <w:tcW w:w="2700" w:type="dxa"/>
            <w:shd w:fill="F5F8FC"/>
            <w:vAlign w:val="center"/>
          </w:tcPr>
          <w:p>
            <w:pPr>
              <w:spacing w:after="45" w:before="45"/>
            </w:pPr>
            <w:r>
              <w:rPr>
                <w:color w:val="202A35"/>
                <w:sz w:val="18"/>
                <w:szCs w:val="18"/>
                <w:rFonts w:ascii="Aptos" w:hAnsi="Aptos"/>
              </w:rPr>
              <w:t xml:space="preserve">scheduleFromBooking.js</w:t>
            </w:r>
          </w:p>
        </w:tc>
        <w:tc>
          <w:tcPr>
            <w:tcW w:w="1800" w:type="dxa"/>
            <w:shd w:fill="F5F8FC"/>
            <w:vAlign w:val="center"/>
          </w:tcPr>
          <w:p>
            <w:pPr>
              <w:spacing w:after="45" w:before="45"/>
            </w:pPr>
            <w:r>
              <w:rPr>
                <w:color w:val="202A35"/>
                <w:sz w:val="18"/>
                <w:szCs w:val="18"/>
                <w:rFonts w:ascii="Aptos" w:hAnsi="Aptos"/>
              </w:rPr>
              <w:t xml:space="preserve">85.71% (12/14)</w:t>
            </w:r>
          </w:p>
        </w:tc>
        <w:tc>
          <w:tcPr>
            <w:tcW w:w="1800" w:type="dxa"/>
            <w:shd w:fill="F5F8FC"/>
            <w:vAlign w:val="center"/>
          </w:tcPr>
          <w:p>
            <w:pPr>
              <w:spacing w:after="45" w:before="45"/>
            </w:pPr>
            <w:r>
              <w:rPr>
                <w:color w:val="202A35"/>
                <w:sz w:val="18"/>
                <w:szCs w:val="18"/>
                <w:rFonts w:ascii="Aptos" w:hAnsi="Aptos"/>
              </w:rPr>
              <w:t xml:space="preserve">83.33% (5/6)</w:t>
            </w:r>
          </w:p>
        </w:tc>
        <w:tc>
          <w:tcPr>
            <w:tcW w:w="1800" w:type="dxa"/>
            <w:shd w:fill="F5F8FC"/>
            <w:vAlign w:val="center"/>
          </w:tcPr>
          <w:p>
            <w:pPr>
              <w:spacing w:after="45" w:before="45"/>
            </w:pPr>
            <w:r>
              <w:rPr>
                <w:color w:val="202A35"/>
                <w:sz w:val="18"/>
                <w:szCs w:val="18"/>
                <w:rFonts w:ascii="Aptos" w:hAnsi="Aptos"/>
              </w:rPr>
              <w:t xml:space="preserve">50% (1/2)</w:t>
            </w:r>
          </w:p>
        </w:tc>
        <w:tc>
          <w:tcPr>
            <w:tcW w:w="1800" w:type="dxa"/>
            <w:shd w:fill="F5F8FC"/>
            <w:vAlign w:val="center"/>
          </w:tcPr>
          <w:p>
            <w:pPr>
              <w:spacing w:after="45" w:before="45"/>
            </w:pPr>
            <w:r>
              <w:rPr>
                <w:color w:val="202A35"/>
                <w:sz w:val="18"/>
                <w:szCs w:val="18"/>
                <w:rFonts w:ascii="Aptos" w:hAnsi="Aptos"/>
              </w:rPr>
              <w:t xml:space="preserve">100% (11/11)</w:t>
            </w:r>
          </w:p>
        </w:tc>
      </w:tr>
    </w:tbl>
    <w:p>
      <w:pPr>
        <w:spacing w:after="100"/>
      </w:pPr>
    </w:p>
    <w:p>
      <w:pPr>
        <w:spacing w:before="0" w:after="120" w:line="280" w:lineRule="auto"/>
      </w:pPr>
      <w:r>
        <w:rPr>
          <w:rFonts w:ascii="Aptos" w:hAnsi="Aptos"/>
        </w:rPr>
        <w:t xml:space="preserve">Mở báo cáo chi tiết tại fitlink-backend/coverage/lcov-report/index.html. Coverage là của bốn utility được chọn, không đại diện cho toàn bộ backend. Ảnh chụp màn hình chưa được đính kèm; có thể mở file HTML và chụp màn hình trang “All files” để bổ sung minh chứng khi nộp.</w:t>
      </w:r>
    </w:p>
    <w:p>
      <w:pPr>
        <w:pStyle w:val="Heading1"/>
        <w:spacing w:before="240" w:after="100" w:line="280" w:lineRule="auto"/>
      </w:pPr>
      <w:r>
        <w:rPr>
          <w:rFonts w:ascii="Aptos" w:hAnsi="Aptos"/>
        </w:rPr>
        <w:t xml:space="preserve">7. CI với GitHub Actions</w:t>
      </w:r>
    </w:p>
    <w:p>
      <w:pPr>
        <w:spacing w:before="0" w:after="120" w:line="280" w:lineRule="auto"/>
      </w:pPr>
      <w:r>
        <w:rPr>
          <w:rFonts w:ascii="Aptos" w:hAnsi="Aptos"/>
        </w:rPr>
        <w:t xml:space="preserve">Workflow: .github/workflows/test.yml. Sự kiện: push và pull_request. Job chạy trên ubuntu-latest, cài Node.js 20, npm ci rồi chạy Jest kèm coverage.</w:t>
      </w:r>
    </w:p>
    <w:p>
      <w:pPr>
        <w:shd w:fill="F2F5F9"/>
        <w:ind w:left="180" w:right="180"/>
        <w:spacing w:before="20" w:after="20" w:line="240"/>
      </w:pPr>
      <w:r>
        <w:rPr>
          <w:color w:val="263238"/>
          <w:sz w:val="19"/>
          <w:szCs w:val="19"/>
          <w:rFonts w:ascii="Consolas" w:hAnsi="Consolas"/>
        </w:rPr>
        <w:t xml:space="preserve">name: Backend unit tests
on: [push, pull_request]
steps: checkout → setup Node.js 20 → npm ci → npm test -- --ci --coverage</w:t>
      </w:r>
    </w:p>
    <w:p>
      <w:pPr>
        <w:spacing w:before="0" w:after="120" w:line="280" w:lineRule="auto"/>
      </w:pPr>
      <w:r>
        <w:rPr>
          <w:rFonts w:ascii="Aptos" w:hAnsi="Aptos"/>
        </w:rPr>
        <w:t xml:space="preserve">Trạng thái: workflow đã có trong source local. Chưa có ảnh/chứng cứ GitHub Actions PASS vì push branch chưa hoàn tất; lệnh push gặp lỗi xác thực/quyền repository. Sau khi branch được đẩy lên GitHub, mở tab Actions và chụp run màu xanh để cập nhật báo cáo.</w:t>
      </w:r>
    </w:p>
    <w:p>
      <w:pPr>
        <w:pStyle w:val="Heading1"/>
        <w:spacing w:before="240" w:after="100" w:line="280" w:lineRule="auto"/>
      </w:pPr>
      <w:r>
        <w:rPr>
          <w:rFonts w:ascii="Aptos" w:hAnsi="Aptos"/>
        </w:rPr>
        <w:t xml:space="preserve">8. Kết luận</w:t>
      </w:r>
    </w:p>
    <w:p>
      <w:pPr>
        <w:spacing w:before="0" w:after="120" w:line="280" w:lineRule="auto"/>
      </w:pPr>
      <w:r>
        <w:rPr>
          <w:rFonts w:ascii="Aptos" w:hAnsi="Aptos"/>
        </w:rPr>
        <w:t xml:space="preserve">Bộ Jest test bám vào helper thực tế của FitLink, bao phủ authentication token, booking/schedule và payment split. 9 test local pass; line coverage trong phạm vi đã chọn đạt 100%. Unit test giúp nhận diện lỗi sinh lịch trước khi tích hợp. Bước tiếp theo là push branch vào repository có quyền ghi, xác nhận workflow trên GitHub Actions, rồi bổ sung ảnh coverage/CI nếu yêu cầu nộp minh chứng.</w:t>
      </w:r>
    </w:p>
    <w:p>
      <w:pPr>
        <w:spacing w:before="0" w:after="80" w:line="280" w:lineRule="auto"/>
      </w:pPr>
      <w:r>
        <w:rPr>
          <w:color w:val="526477"/>
          <w:sz w:val="18"/>
          <w:szCs w:val="18"/>
          <w:rFonts w:ascii="Aptos" w:hAnsi="Aptos"/>
        </w:rPr>
        <w:t xml:space="preserve">Tài liệu nguồn: FITLINK_UNIT_TEST_REPORT.md · tests/README.md · tests/unit/*.test.js · .github/workflows/test.yml</w:t>
      </w:r>
    </w:p>
    <w:sectPr>
      <w:pgSz w:w="11906" w:h="16838"/>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1"/>
        <w:szCs w:val="21"/>
        <w:color w:val="202A35"/>
      </w:rPr>
    </w:rPrDefault>
    <w:pPrDefault>
      <w:pPr>
        <w:spacing w:after="120" w:line="280" w:lineRule="auto"/>
      </w:pPr>
    </w:pPrDefault>
  </w:docDefaults>
  <w:style w:type="paragraph" w:default="1" w:styleId="Normal">
    <w:name w:val="Normal"/>
  </w:style>
  <w:style w:type="paragraph" w:styleId="Title">
    <w:name w:val="Title"/>
    <w:pPr>
      <w:jc w:val="center"/>
      <w:spacing w:after="80"/>
    </w:pPr>
    <w:rPr>
      <w:b/>
      <w:color w:val="17365D"/>
      <w:sz w:val="40"/>
    </w:rPr>
  </w:style>
  <w:style w:type="paragraph" w:styleId="Subtitle">
    <w:name w:val="Subtitle"/>
    <w:pPr>
      <w:jc w:val="center"/>
    </w:pPr>
    <w:rPr>
      <w:color w:val="2471A3"/>
      <w:sz w:val="28"/>
    </w:rPr>
  </w:style>
  <w:style w:type="paragraph" w:styleId="Heading1">
    <w:name w:val="heading 1"/>
    <w:basedOn w:val="Normal"/>
    <w:pPr>
      <w:keepNext/>
      <w:spacing w:before="260" w:after="100"/>
    </w:pPr>
    <w:rPr>
      <w:b/>
      <w:color w:val="17365D"/>
      <w:sz w:val="30"/>
    </w:rPr>
  </w:style>
  <w:style w:type="paragraph" w:styleId="Heading2">
    <w:name w:val="heading 2"/>
    <w:basedOn w:val="Normal"/>
    <w:pPr>
      <w:keepNext/>
      <w:spacing w:before="160" w:after="80"/>
    </w:pPr>
    <w:rPr>
      <w:b/>
      <w:color w:val="2471A3"/>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