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t xml:space="preserve">2.2　取引費用論</w:t>
      </w:r>
    </w:p>
    <w:p>
      <w:pPr>
        <w:ind w:firstLine="210"/>
        <w:jc w:val="both"/>
      </w:pPr>
      <w:r>
        <w:t xml:space="preserve">本節では、本研究の理論的基盤となる取引費用論について、その基本的な考え方、取引の属性、ガバナンス構造、制度的環境の順に整理する。</w:t>
      </w:r>
    </w:p>
    <w:p>
      <w:pPr>
        <w:pStyle w:val="Heading3"/>
      </w:pPr>
      <w:r>
        <w:t xml:space="preserve">2.2.1　取引費用論の基本的な考え方</w:t>
      </w:r>
    </w:p>
    <w:p>
      <w:pPr>
        <w:ind w:firstLine="210"/>
        <w:jc w:val="both"/>
      </w:pPr>
      <w:r>
        <w:t xml:space="preserve">取引費用論の出発点は、Coase（1937）の問題提起にある。Coase（1937，390-391頁）は、企業が設立される主な理由を、価格メカニズムを利用するための費用、すなわち適切な価格を見いだす費用や、取引ごとに契約を交渉・締結する費用の存在に求めた。そして企業は、追加的な取引を企業内部で組織化する費用が、同じ取引を市場で行う費用と等しくなるところまで拡大するとされる（Coase，1937，394-395頁）。鈴木（2006）にもとづく武田（2013，317-318頁）の整理によれば、取引費用には、取引相手の探索、交渉、契約作成といった取引前の費用と、契約履行のモニタリングや執行といった取引後の費用が含まれる。</w:t>
      </w:r>
    </w:p>
    <w:p>
      <w:pPr>
        <w:ind w:firstLine="210"/>
        <w:jc w:val="both"/>
      </w:pPr>
      <w:r>
        <w:t xml:space="preserve">Coaseが必ずしも明確にしなかった、取引に費用が生じる理由を、Williamsonは人間行動の二つの特性、すなわち限定合理性と機会主義に求めた（武田，2013，324頁）。限定合理性とは、人間は合理的であろうと意図するものの、その合理性には限界がある（"intendedly rational, but only limitedly so"）ことを指す（Simon，1961，p.xxiv；Williamson，1985，30頁より引用）。機会主義とは、狡猾さを伴って自己の利益を追求すること（self-interest seeking with guile）である（Williamson，1985，30頁）。</w:t>
      </w:r>
    </w:p>
    <w:p>
      <w:pPr>
        <w:ind w:firstLine="210"/>
        <w:jc w:val="both"/>
      </w:pPr>
      <w:r>
        <w:t xml:space="preserve">Williamson（1985，30-32頁）によれば、不確実性のもとで限定合理性、機会主義、資産特殊性の三つが同時に存在すると、事前の計画は不完全となり、約束は守られないおそれがあり、取引相手が誰であるかが重要になる。この場合、裁判所による契約の執行には限界があるため、当事者間の私的な統治の仕組みが必要となる。そこでの課題は、限定合理性を節約しつつ、機会主義の危険から取引を保護するように取引を組織することである（Williamson，1985，32頁）。</w:t>
      </w:r>
    </w:p>
    <w:p>
      <w:pPr>
        <w:pStyle w:val="Heading3"/>
      </w:pPr>
      <w:r>
        <w:t xml:space="preserve">2.2.2　取引の属性と資産特殊性</w:t>
      </w:r>
    </w:p>
    <w:p>
      <w:pPr>
        <w:ind w:firstLine="210"/>
        <w:jc w:val="both"/>
      </w:pPr>
      <w:r>
        <w:t xml:space="preserve">Williamson（1991，281頁）は、取引を分析の基本単位とし、取引の違いを捉える主要な次元として、取引が繰り返される頻度、取引がさらされる不確実性、財やサービスの供給に伴う資産特殊性の種類と程度の三つを挙げ、なかでも資産特殊性を重視している。</w:t>
      </w:r>
    </w:p>
    <w:p>
      <w:pPr>
        <w:ind w:firstLine="210"/>
        <w:jc w:val="both"/>
      </w:pPr>
      <w:r>
        <w:t xml:space="preserve">資産特殊性とは、ある資産を、その生産的価値を損なうことなく、別の用途や別の使用者に転用できる程度を指す（Williamson，1991，281頁）。言い換えれば、特定の取引のために行われた投資が、他の用途や取引相手に転用された場合にどれだけ価値を失うかを示す概念である（Williamson，1991，282頁）。Williamson（1991，281-282頁）は資産特殊性を、①工程を隣接させて在庫や輸送の費用を節約する立地特殊性、②特殊な金型のような物的資産特殊性、③経験を通じた学習によって生じる人的資産特殊性、④ブランド資本、⑤特定の顧客の要請に応じて汎用的な設備に行われる投資である専用資産、⑥現場での適時の対応が不可欠となる時間的特殊性の六つに分類している。⑤の専用資産が示すように、汎用的な設備であっても、特定の顧客のために投資された場合には特殊性をもつ。すなわち資産特殊性は、資産が標準的なものか否かだけで決まるものではない。こうした資産特殊性、とりわけ①から⑤の形態は、取引当事者の間に双方向の依存関係を生み出し、契約上の危険を高める（Williamson，1991，282頁）。</w:t>
      </w:r>
    </w:p>
    <w:p>
      <w:pPr>
        <w:ind w:firstLine="210"/>
        <w:jc w:val="both"/>
      </w:pPr>
      <w:r>
        <w:t xml:space="preserve">不確実性については、取引をとりまく状況の変化である攪乱（disturbance）の発生頻度が高まる場合と、その影響が大きくなる場合とが区別される（Williamson，1991，291頁）。頻度については、取引が繰り返されるにつれて相手の情報が蓄積され、機会主義的な行動が抑制されるとされる（武田，2013，323頁）。</w:t>
      </w:r>
    </w:p>
    <w:p>
      <w:pPr>
        <w:ind w:firstLine="210"/>
        <w:jc w:val="both"/>
      </w:pPr>
      <w:r>
        <w:t xml:space="preserve">本研究では、資産特殊性を、配送事業者がAmazonとの取引のために行った投資が、他の荷主との取引に転用された場合にどの程度価値を失うかという観点から捉える。例えば米国のDSPは、Amazonのロゴが印刷された専用の配送車を使用し、Amazonの制服を着たドライバーがAmazonの貨物を配送しており（齊藤，2022，49頁）、ブランド資本や専用資産に近い性格をもつと考えられる。日本のADPやAmazon Flexにおける資産特殊性の種類と程度については、第5章で検討する。</w:t>
      </w:r>
    </w:p>
    <w:p>
      <w:pPr>
        <w:pStyle w:val="Heading3"/>
      </w:pPr>
      <w:r>
        <w:t xml:space="preserve">2.2.3　ガバナンス構造と識別的整合</w:t>
      </w:r>
    </w:p>
    <w:p>
      <w:pPr>
        <w:ind w:firstLine="210"/>
        <w:jc w:val="both"/>
      </w:pPr>
      <w:r>
        <w:t xml:space="preserve">取引費用論の中心的な仮説は、属性の異なる取引が、費用と能力の異なるガバナンス構造と、主として取引費用を節約するように対応づけられるというものである（Williamson，1991，277頁）。これを識別的整合（discriminating alignment）仮説という。基本的なガバナンス構造としては、市場、階層組織（企業内部）、そして両者の中間に位置するハイブリッドの三つが挙げられる。ハイブリッドには、長期契約、相互取引、規制、フランチャイズなどが含まれる（Williamson，1991，280頁）。</w:t>
      </w:r>
    </w:p>
    <w:p>
      <w:pPr>
        <w:ind w:firstLine="210"/>
        <w:jc w:val="both"/>
      </w:pPr>
      <w:r>
        <w:t xml:space="preserve">Williamson（1991，278-280頁）によれば、三つのガバナンス構造は、主に適応の仕方とインセンティブ・管理の手段において異なる。適応には、価格の変化に応じて各当事者が自律的に対応する適応（A：autonomy）と、当事者間の調整を必要とする協調的な適応（C：cooperation）の二種類がある。市場は前者に優れ、強いインセンティブをもつ一方、階層組織は後者に優れ、監視などの管理的統制を強く用いることができるが、インセンティブは弱まる。ハイブリッドは、これらすべての点で市場と階層組織の中間的な性格をもつ（Williamson，1991，280-281頁）。これを整理したものが表2-1である。</w:t>
      </w:r>
    </w:p>
    <w:p>
      <w:pPr>
        <w:spacing w:before="120"/>
        <w:jc w:val="center"/>
      </w:pPr>
      <w:r>
        <w:rPr>
          <w:rFonts w:ascii="Arial" w:eastAsia="ＭＳ ゴシック" w:hAnsi="Arial"/>
        </w:rPr>
        <w:t xml:space="preserve">表2-1　市場・ハイブリッド・階層組織の特徴</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900"/>
        <w:gridCol w:w="1900"/>
      </w:tblGrid>
      <w:tr>
        <w:tc>
          <w:tcPr>
            <w:tcW w:type="dxa" w:w="1900"/>
          </w:tcPr>
          <w:p>
            <w:pPr>
              <w:spacing w:line="300" w:lineRule="exact"/>
              <w:jc w:val="center"/>
            </w:pPr>
            <w:r>
              <w:rPr>
                <w:b/>
                <w:bCs/>
                <w:sz w:val="19"/>
                <w:szCs w:val="19"/>
              </w:rPr>
              <w:t xml:space="preserve"/>
            </w:r>
          </w:p>
        </w:tc>
        <w:tc>
          <w:tcPr>
            <w:tcW w:type="dxa" w:w="1900"/>
          </w:tcPr>
          <w:p>
            <w:pPr>
              <w:spacing w:line="300" w:lineRule="exact"/>
              <w:jc w:val="center"/>
            </w:pPr>
            <w:r>
              <w:rPr>
                <w:b/>
                <w:bCs/>
                <w:sz w:val="19"/>
                <w:szCs w:val="19"/>
              </w:rPr>
              <w:t xml:space="preserve">市場</w:t>
            </w:r>
          </w:p>
        </w:tc>
        <w:tc>
          <w:tcPr>
            <w:tcW w:type="dxa" w:w="1900"/>
          </w:tcPr>
          <w:p>
            <w:pPr>
              <w:spacing w:line="300" w:lineRule="exact"/>
              <w:jc w:val="center"/>
            </w:pPr>
            <w:r>
              <w:rPr>
                <w:b/>
                <w:bCs/>
                <w:sz w:val="19"/>
                <w:szCs w:val="19"/>
              </w:rPr>
              <w:t xml:space="preserve">ハイブリッド</w:t>
            </w:r>
          </w:p>
        </w:tc>
        <w:tc>
          <w:tcPr>
            <w:tcW w:type="dxa" w:w="1900"/>
          </w:tcPr>
          <w:p>
            <w:pPr>
              <w:spacing w:line="300" w:lineRule="exact"/>
              <w:jc w:val="center"/>
            </w:pPr>
            <w:r>
              <w:rPr>
                <w:b/>
                <w:bCs/>
                <w:sz w:val="19"/>
                <w:szCs w:val="19"/>
              </w:rPr>
              <w:t xml:space="preserve">階層組織</w:t>
            </w:r>
          </w:p>
        </w:tc>
      </w:tr>
      <w:tr>
        <w:tc>
          <w:tcPr>
            <w:tcW w:type="dxa" w:w="1900"/>
          </w:tcPr>
          <w:p>
            <w:pPr>
              <w:spacing w:line="300" w:lineRule="exact"/>
              <w:jc w:val="center"/>
            </w:pPr>
            <w:r>
              <w:rPr>
                <w:b/>
                <w:bCs/>
                <w:sz w:val="19"/>
                <w:szCs w:val="19"/>
              </w:rPr>
              <w:t xml:space="preserve">インセンティブの強さ</w:t>
            </w:r>
          </w:p>
        </w:tc>
        <w:tc>
          <w:tcPr>
            <w:tcW w:type="dxa" w:w="1900"/>
          </w:tcPr>
          <w:p>
            <w:pPr>
              <w:spacing w:line="300" w:lineRule="exact"/>
              <w:jc w:val="center"/>
            </w:pPr>
            <w:r>
              <w:rPr>
                <w:b w:val="false"/>
                <w:bCs w:val="false"/>
                <w:sz w:val="19"/>
                <w:szCs w:val="19"/>
              </w:rPr>
              <w:t xml:space="preserve">＋＋</w:t>
            </w:r>
          </w:p>
        </w:tc>
        <w:tc>
          <w:tcPr>
            <w:tcW w:type="dxa" w:w="1900"/>
          </w:tcPr>
          <w:p>
            <w:pPr>
              <w:spacing w:line="300" w:lineRule="exact"/>
              <w:jc w:val="center"/>
            </w:pPr>
            <w:r>
              <w:rPr>
                <w:b w:val="false"/>
                <w:bCs w:val="false"/>
                <w:sz w:val="19"/>
                <w:szCs w:val="19"/>
              </w:rPr>
              <w:t xml:space="preserve">＋</w:t>
            </w:r>
          </w:p>
        </w:tc>
        <w:tc>
          <w:tcPr>
            <w:tcW w:type="dxa" w:w="1900"/>
          </w:tcPr>
          <w:p>
            <w:pPr>
              <w:spacing w:line="300" w:lineRule="exact"/>
              <w:jc w:val="center"/>
            </w:pPr>
            <w:r>
              <w:rPr>
                <w:b w:val="false"/>
                <w:bCs w:val="false"/>
                <w:sz w:val="19"/>
                <w:szCs w:val="19"/>
              </w:rPr>
              <w:t xml:space="preserve">０</w:t>
            </w:r>
          </w:p>
        </w:tc>
      </w:tr>
      <w:tr>
        <w:tc>
          <w:tcPr>
            <w:tcW w:type="dxa" w:w="1900"/>
          </w:tcPr>
          <w:p>
            <w:pPr>
              <w:spacing w:line="300" w:lineRule="exact"/>
              <w:jc w:val="center"/>
            </w:pPr>
            <w:r>
              <w:rPr>
                <w:b/>
                <w:bCs/>
                <w:sz w:val="19"/>
                <w:szCs w:val="19"/>
              </w:rPr>
              <w:t xml:space="preserve">管理的統制</w:t>
            </w:r>
          </w:p>
        </w:tc>
        <w:tc>
          <w:tcPr>
            <w:tcW w:type="dxa" w:w="1900"/>
          </w:tcPr>
          <w:p>
            <w:pPr>
              <w:spacing w:line="300" w:lineRule="exact"/>
              <w:jc w:val="center"/>
            </w:pPr>
            <w:r>
              <w:rPr>
                <w:b w:val="false"/>
                <w:bCs w:val="false"/>
                <w:sz w:val="19"/>
                <w:szCs w:val="19"/>
              </w:rPr>
              <w:t xml:space="preserve">０</w:t>
            </w:r>
          </w:p>
        </w:tc>
        <w:tc>
          <w:tcPr>
            <w:tcW w:type="dxa" w:w="1900"/>
          </w:tcPr>
          <w:p>
            <w:pPr>
              <w:spacing w:line="300" w:lineRule="exact"/>
              <w:jc w:val="center"/>
            </w:pPr>
            <w:r>
              <w:rPr>
                <w:b w:val="false"/>
                <w:bCs w:val="false"/>
                <w:sz w:val="19"/>
                <w:szCs w:val="19"/>
              </w:rPr>
              <w:t xml:space="preserve">＋</w:t>
            </w:r>
          </w:p>
        </w:tc>
        <w:tc>
          <w:tcPr>
            <w:tcW w:type="dxa" w:w="1900"/>
          </w:tcPr>
          <w:p>
            <w:pPr>
              <w:spacing w:line="300" w:lineRule="exact"/>
              <w:jc w:val="center"/>
            </w:pPr>
            <w:r>
              <w:rPr>
                <w:b w:val="false"/>
                <w:bCs w:val="false"/>
                <w:sz w:val="19"/>
                <w:szCs w:val="19"/>
              </w:rPr>
              <w:t xml:space="preserve">＋＋</w:t>
            </w:r>
          </w:p>
        </w:tc>
      </w:tr>
      <w:tr>
        <w:tc>
          <w:tcPr>
            <w:tcW w:type="dxa" w:w="1900"/>
          </w:tcPr>
          <w:p>
            <w:pPr>
              <w:spacing w:line="300" w:lineRule="exact"/>
              <w:jc w:val="center"/>
            </w:pPr>
            <w:r>
              <w:rPr>
                <w:b/>
                <w:bCs/>
                <w:sz w:val="19"/>
                <w:szCs w:val="19"/>
              </w:rPr>
              <w:t xml:space="preserve">自律的適応（A）</w:t>
            </w:r>
          </w:p>
        </w:tc>
        <w:tc>
          <w:tcPr>
            <w:tcW w:type="dxa" w:w="1900"/>
          </w:tcPr>
          <w:p>
            <w:pPr>
              <w:spacing w:line="300" w:lineRule="exact"/>
              <w:jc w:val="center"/>
            </w:pPr>
            <w:r>
              <w:rPr>
                <w:b w:val="false"/>
                <w:bCs w:val="false"/>
                <w:sz w:val="19"/>
                <w:szCs w:val="19"/>
              </w:rPr>
              <w:t xml:space="preserve">＋＋</w:t>
            </w:r>
          </w:p>
        </w:tc>
        <w:tc>
          <w:tcPr>
            <w:tcW w:type="dxa" w:w="1900"/>
          </w:tcPr>
          <w:p>
            <w:pPr>
              <w:spacing w:line="300" w:lineRule="exact"/>
              <w:jc w:val="center"/>
            </w:pPr>
            <w:r>
              <w:rPr>
                <w:b w:val="false"/>
                <w:bCs w:val="false"/>
                <w:sz w:val="19"/>
                <w:szCs w:val="19"/>
              </w:rPr>
              <w:t xml:space="preserve">＋</w:t>
            </w:r>
          </w:p>
        </w:tc>
        <w:tc>
          <w:tcPr>
            <w:tcW w:type="dxa" w:w="1900"/>
          </w:tcPr>
          <w:p>
            <w:pPr>
              <w:spacing w:line="300" w:lineRule="exact"/>
              <w:jc w:val="center"/>
            </w:pPr>
            <w:r>
              <w:rPr>
                <w:b w:val="false"/>
                <w:bCs w:val="false"/>
                <w:sz w:val="19"/>
                <w:szCs w:val="19"/>
              </w:rPr>
              <w:t xml:space="preserve">０</w:t>
            </w:r>
          </w:p>
        </w:tc>
      </w:tr>
      <w:tr>
        <w:tc>
          <w:tcPr>
            <w:tcW w:type="dxa" w:w="1900"/>
          </w:tcPr>
          <w:p>
            <w:pPr>
              <w:spacing w:line="300" w:lineRule="exact"/>
              <w:jc w:val="center"/>
            </w:pPr>
            <w:r>
              <w:rPr>
                <w:b/>
                <w:bCs/>
                <w:sz w:val="19"/>
                <w:szCs w:val="19"/>
              </w:rPr>
              <w:t xml:space="preserve">協調的適応（C）</w:t>
            </w:r>
          </w:p>
        </w:tc>
        <w:tc>
          <w:tcPr>
            <w:tcW w:type="dxa" w:w="1900"/>
          </w:tcPr>
          <w:p>
            <w:pPr>
              <w:spacing w:line="300" w:lineRule="exact"/>
              <w:jc w:val="center"/>
            </w:pPr>
            <w:r>
              <w:rPr>
                <w:b w:val="false"/>
                <w:bCs w:val="false"/>
                <w:sz w:val="19"/>
                <w:szCs w:val="19"/>
              </w:rPr>
              <w:t xml:space="preserve">０</w:t>
            </w:r>
          </w:p>
        </w:tc>
        <w:tc>
          <w:tcPr>
            <w:tcW w:type="dxa" w:w="1900"/>
          </w:tcPr>
          <w:p>
            <w:pPr>
              <w:spacing w:line="300" w:lineRule="exact"/>
              <w:jc w:val="center"/>
            </w:pPr>
            <w:r>
              <w:rPr>
                <w:b w:val="false"/>
                <w:bCs w:val="false"/>
                <w:sz w:val="19"/>
                <w:szCs w:val="19"/>
              </w:rPr>
              <w:t xml:space="preserve">＋</w:t>
            </w:r>
          </w:p>
        </w:tc>
        <w:tc>
          <w:tcPr>
            <w:tcW w:type="dxa" w:w="1900"/>
          </w:tcPr>
          <w:p>
            <w:pPr>
              <w:spacing w:line="300" w:lineRule="exact"/>
              <w:jc w:val="center"/>
            </w:pPr>
            <w:r>
              <w:rPr>
                <w:b w:val="false"/>
                <w:bCs w:val="false"/>
                <w:sz w:val="19"/>
                <w:szCs w:val="19"/>
              </w:rPr>
              <w:t xml:space="preserve">＋＋</w:t>
            </w:r>
          </w:p>
        </w:tc>
      </w:tr>
      <w:tr>
        <w:tc>
          <w:tcPr>
            <w:tcW w:type="dxa" w:w="1900"/>
          </w:tcPr>
          <w:p>
            <w:pPr>
              <w:spacing w:line="300" w:lineRule="exact"/>
              <w:jc w:val="center"/>
            </w:pPr>
            <w:r>
              <w:rPr>
                <w:b/>
                <w:bCs/>
                <w:sz w:val="19"/>
                <w:szCs w:val="19"/>
              </w:rPr>
              <w:t xml:space="preserve">契約法</w:t>
            </w:r>
          </w:p>
        </w:tc>
        <w:tc>
          <w:tcPr>
            <w:tcW w:type="dxa" w:w="1900"/>
          </w:tcPr>
          <w:p>
            <w:pPr>
              <w:spacing w:line="300" w:lineRule="exact"/>
              <w:jc w:val="center"/>
            </w:pPr>
            <w:r>
              <w:rPr>
                <w:b w:val="false"/>
                <w:bCs w:val="false"/>
                <w:sz w:val="19"/>
                <w:szCs w:val="19"/>
              </w:rPr>
              <w:t xml:space="preserve">＋＋</w:t>
            </w:r>
          </w:p>
        </w:tc>
        <w:tc>
          <w:tcPr>
            <w:tcW w:type="dxa" w:w="1900"/>
          </w:tcPr>
          <w:p>
            <w:pPr>
              <w:spacing w:line="300" w:lineRule="exact"/>
              <w:jc w:val="center"/>
            </w:pPr>
            <w:r>
              <w:rPr>
                <w:b w:val="false"/>
                <w:bCs w:val="false"/>
                <w:sz w:val="19"/>
                <w:szCs w:val="19"/>
              </w:rPr>
              <w:t xml:space="preserve">＋</w:t>
            </w:r>
          </w:p>
        </w:tc>
        <w:tc>
          <w:tcPr>
            <w:tcW w:type="dxa" w:w="1900"/>
          </w:tcPr>
          <w:p>
            <w:pPr>
              <w:spacing w:line="300" w:lineRule="exact"/>
              <w:jc w:val="center"/>
            </w:pPr>
            <w:r>
              <w:rPr>
                <w:b w:val="false"/>
                <w:bCs w:val="false"/>
                <w:sz w:val="19"/>
                <w:szCs w:val="19"/>
              </w:rPr>
              <w:t xml:space="preserve">０</w:t>
            </w:r>
          </w:p>
        </w:tc>
      </w:tr>
    </w:tbl>
    <w:p>
      <w:r>
        <w:rPr>
          <w:sz w:val="18"/>
          <w:szCs w:val="18"/>
        </w:rPr>
        <w:t xml:space="preserve">（注）＋＋＝強い，＋＝中程度，０＝弱い。</w:t>
      </w:r>
    </w:p>
    <w:p>
      <w:r>
        <w:rPr>
          <w:sz w:val="18"/>
          <w:szCs w:val="18"/>
        </w:rPr>
        <w:t xml:space="preserve">出所：Williamson（1991，281頁，Table 1）をもとに筆者作成。</w:t>
      </w:r>
    </w:p>
    <w:p/>
    <w:p>
      <w:pPr>
        <w:ind w:firstLine="210"/>
        <w:jc w:val="both"/>
      </w:pPr>
      <w:r>
        <w:t xml:space="preserve">このような特徴の違いから、資産特殊性が低い取引では市場、中程度の取引ではハイブリッド、高い取引では階層組織が、それぞれ最も統治コストの低いガバナンス構造となる（Williamson，1991，284頁）。ただし、ハイブリッドは双方の合意を通じて適応する必要があるため、攪乱が頻繁に生じる場合には最も不利になりやすい（Williamson，1991，291頁）。</w:t>
      </w:r>
    </w:p>
    <w:p>
      <w:pPr>
        <w:ind w:firstLine="210"/>
        <w:jc w:val="both"/>
      </w:pPr>
      <w:r>
        <w:t xml:space="preserve">本研究にとって重要なのは、同じハイブリッドの中にも管理の程度に差があるという点である。Williamson（1991，283頁）はフランチャイズをハイブリッドの例として挙げ、フランチャイジーは階層組織より大きな自律性をもつ一方で、市場取引と比べると追加的なルールや監視のもとに置かれると説明している。さらに、同じフランチャイズでも、統制の弱いものと強いものとでは、統治コストの曲線の位置が異なるとしている（Williamson，1991，284頁）。このことは、ガバナンス構造の違いを、市場・ハイブリッド・階層組織のいずれを選ぶかという問題だけでなく、同じ形態の中での管理の程度の違いとしても捉えられることを示している。本研究が、配送の担い手との契約形態に加えて、監視・管理の程度に着目するのはこのためである。</w:t>
      </w:r>
    </w:p>
    <w:p>
      <w:pPr>
        <w:pStyle w:val="Heading3"/>
      </w:pPr>
      <w:r>
        <w:t xml:space="preserve">2.2.4　制度的環境と統治コスト</w:t>
      </w:r>
    </w:p>
    <w:p>
      <w:pPr>
        <w:ind w:firstLine="210"/>
        <w:jc w:val="both"/>
      </w:pPr>
      <w:r>
        <w:t xml:space="preserve">Williamson（1991，287頁）は、Davis &amp; North（1971）にならい、生産、交換、分配の基礎となる政治的・社会的・法的な基本ルールの集合を制度的環境と呼んでいる。そのうえで、制度的環境を、ガバナンス構造の相対的な統治コストを変化させるパラメータ（shift parameters）として位置づけている（同上）。具体的には、財産権、契約法、評判効果、不確実性の四つの変化が検討されている（同上）。また、市場・ハイブリッド・階層組織の三つを想定すると、市場から階層組織へ移行するには大きな環境変化が必要であるのに対し、市場からハイブリッドへ、あるいはハイブリッドから階層組織への移行は、より小さな変化によっても生じうるとされる（同上）。</w:t>
      </w:r>
    </w:p>
    <w:p>
      <w:pPr>
        <w:ind w:firstLine="210"/>
        <w:jc w:val="both"/>
      </w:pPr>
      <w:r>
        <w:t xml:space="preserve">さらにWilliamson（1991，293-294頁）は、日本企業の雇用、下請、銀行取引の慣行が相互に補完的な関係にあることに触れ、個々の慣行だけを他国にそのまま移植しても最適にはならないと指摘している。そのうえで、制度の分析を応用する際には、資本主義の形態ごとの文脈の違いを考慮する必要があると述べている（Williamson，1991，294頁）。</w:t>
      </w:r>
    </w:p>
    <w:p>
      <w:pPr>
        <w:ind w:firstLine="210"/>
        <w:jc w:val="both"/>
      </w:pPr>
      <w:r>
        <w:t xml:space="preserve">以上から、国ごとの制度的環境の違いは、同じ企業の同じ業務であっても、最適なガバナンス構造を変化させる可能性があるといえる。しかし、取引費用論は個々の取引にふさわしいガバナンス構造を説明する理論であり、多国籍企業が本国で構築した仕組みを他国でどの程度共通化し、どの程度現地に適応させるかという問題を主な分析対象とするものではない。この点を補うため、次節では標準化・現地適応論を検討する。</w:t>
      </w:r>
    </w:p>
    <w:sectPr>
      <w:footerReference w:type="default" r:id="rId7"/>
      <w:pgSz w:w="11906" w:h="16838" w:orient="portrait"/>
      <w:pgMar w:top="1701" w:right="1701" w:bottom="1701"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ＭＳ 明朝" w:hAnsi="Times New Roman"/>
        <w:sz w:val="21"/>
        <w:szCs w:val="21"/>
      </w:rPr>
    </w:rPrDefault>
    <w:pPrDefault>
      <w:pPr>
        <w:spacing w:line="360" w:lineRule="exac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keepNext/>
      <w:spacing w:after="120" w:before="360"/>
      <w:outlineLvl w:val="1"/>
    </w:pPr>
    <w:rPr>
      <w:rFonts w:ascii="Arial" w:eastAsia="ＭＳ ゴシック" w:hAnsi="Arial"/>
      <w:b/>
      <w:bCs/>
      <w:sz w:val="24"/>
      <w:szCs w:val="24"/>
    </w:rPr>
  </w:style>
  <w:style w:type="paragraph" w:styleId="Heading3">
    <w:name w:val="Heading 3"/>
    <w:basedOn w:val="Normal"/>
    <w:next w:val="Normal"/>
    <w:qFormat/>
    <w:pPr>
      <w:keepNext/>
      <w:spacing w:after="60" w:before="240"/>
      <w:outlineLvl w:val="2"/>
    </w:pPr>
    <w:rPr>
      <w:rFonts w:ascii="Arial" w:eastAsia="ＭＳ ゴシック"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2026-10-17T08:46:04.728Z</dcterms:created>
  <dcterms:modified xsi:type="dcterms:W3CDTF">2026-10-17T08:46:04.736Z</dcterms:modified>
</cp:coreProperties>
</file>

<file path=docProps/custom.xml><?xml version="1.0" encoding="utf-8"?>
<Properties xmlns="http://schemas.openxmlformats.org/officeDocument/2006/custom-properties" xmlns:vt="http://schemas.openxmlformats.org/officeDocument/2006/docPropsVTypes"/>
</file>