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Rule="exact" w:line="360"/>
      </w:pPr>
      <w:r>
        <w:rPr>
          <w:rFonts w:ascii="Century" w:hAnsi="Century" w:eastAsia="ＭＳ 明朝"/>
          <w:b/>
          <w:sz w:val="24"/>
        </w:rPr>
        <w:t>2.3　標準化・現地適応論</w:t>
      </w:r>
    </w:p>
    <w:p>
      <w:pPr>
        <w:spacing w:lineRule="exact" w:line="360"/>
        <w:ind w:firstLine="240"/>
      </w:pPr>
      <w:r>
        <w:rPr>
          <w:rFonts w:ascii="Century" w:hAnsi="Century" w:eastAsia="ＭＳ 明朝"/>
          <w:b w:val="0"/>
          <w:sz w:val="24"/>
        </w:rPr>
        <w:t>本節では、多国籍企業が各国の事業をどの程度統合し、どの程度各国の環境に適応させるのかをめぐる議論を、国際経営論と小売企業の国際化研究の順に整理する。</w:t>
      </w:r>
    </w:p>
    <w:p>
      <w:pPr>
        <w:keepNext/>
        <w:spacing w:lineRule="exact" w:line="360"/>
      </w:pPr>
      <w:r>
        <w:rPr>
          <w:rFonts w:ascii="Century" w:hAnsi="Century" w:eastAsia="ＭＳ 明朝"/>
          <w:b/>
          <w:sz w:val="24"/>
        </w:rPr>
        <w:t>2.3.1　グローバル統合と現地適応</w:t>
      </w:r>
    </w:p>
    <w:p>
      <w:pPr>
        <w:spacing w:lineRule="exact" w:line="360"/>
        <w:ind w:firstLine="240"/>
      </w:pPr>
      <w:r>
        <w:rPr>
          <w:rFonts w:ascii="Century" w:hAnsi="Century" w:eastAsia="ＭＳ 明朝"/>
          <w:b w:val="0"/>
          <w:sz w:val="24"/>
        </w:rPr>
        <w:t>中村（2010，p.99）によれば、1980年代後半から1990年代にかけてのグローバル経営研究では、Bartlett and Ghoshalによる「トランスナショナル企業」の経営モデルが大きな影響力をもった。このモデルは、各国市場への適応性、世界規模での効率性、そしてイノベーションと学習能力の世界的な移転という三つの長所を同時に取り込む理想的な経営モデルとして紹介されたものである（中村，2010，p.99）。</w:t>
      </w:r>
    </w:p>
    <w:p>
      <w:pPr>
        <w:spacing w:lineRule="exact" w:line="360"/>
        <w:ind w:firstLine="240"/>
      </w:pPr>
      <w:r>
        <w:rPr>
          <w:rFonts w:ascii="Century" w:hAnsi="Century" w:eastAsia="ＭＳ 明朝"/>
          <w:b w:val="0"/>
          <w:sz w:val="24"/>
        </w:rPr>
        <w:t>また中村（2010，p.100）は、Prahalad and Dozが、グローバル統合を縦軸、ローカル適応を横軸にとった2次元のマトリックス（I-Rグリッド）によって、企業をグローバル統合を重視する企業、ローカル適応を重視する企業、両者を同時に達成しようとする企業に類型化したことを紹介している。そこでの優先課題は、グローバル統合と現地適応のバランスをいかにうまくとるかにある（中村，2010，p.100）。</w:t>
      </w:r>
    </w:p>
    <w:p>
      <w:pPr>
        <w:spacing w:lineRule="exact" w:line="360"/>
        <w:ind w:firstLine="240"/>
      </w:pPr>
      <w:r>
        <w:rPr>
          <w:rFonts w:ascii="Century" w:hAnsi="Century" w:eastAsia="ＭＳ 明朝"/>
          <w:b w:val="0"/>
          <w:sz w:val="24"/>
        </w:rPr>
        <w:t>さらに中村（2010，p.100）は、I-Rグリッド上の位置づけは時間とともに移動するため、経営者は統合と適応の両面の変化に配慮し、柔軟に対応する必要があると述べている。加えて、Nohria and Ghoshalの研究を取り上げたうえで、トランスナショナル型はあらゆる環境に適応できる万能型ではなく、企業が置かれた環境によって最適な組織構造が決まることにも注意を促している（中村，2010，pp.102-103）。</w:t>
      </w:r>
    </w:p>
    <w:p>
      <w:pPr>
        <w:keepNext/>
        <w:spacing w:lineRule="exact" w:line="360"/>
      </w:pPr>
      <w:r>
        <w:rPr>
          <w:rFonts w:ascii="Century" w:hAnsi="Century" w:eastAsia="ＭＳ 明朝"/>
          <w:b/>
          <w:sz w:val="24"/>
        </w:rPr>
        <w:t>2.3.2　小売企業における標準化・適応化</w:t>
      </w:r>
    </w:p>
    <w:p>
      <w:pPr>
        <w:spacing w:lineRule="exact" w:line="360"/>
        <w:ind w:firstLine="240"/>
      </w:pPr>
      <w:r>
        <w:rPr>
          <w:rFonts w:ascii="Century" w:hAnsi="Century" w:eastAsia="ＭＳ 明朝"/>
          <w:b w:val="0"/>
          <w:sz w:val="24"/>
        </w:rPr>
        <w:t>中村（2003，p.47）は、企業の国際化に関する研究は製造企業が中心であり、小売企業についての研究の蓄積は非常に少ないと指摘している。そのうえで、小売企業は典型的なドメスティック産業に属しており、立地する国・地域の顧客嗜好や商慣行、法律制度などに徹底的に適応することが成功要因とされてきた一方で、グローバル小売企業には地場の小売企業の強みを上回る競争優位が必要であり、それが標準化であると論じている（中村，2003，p.50）。</w:t>
      </w:r>
    </w:p>
    <w:p>
      <w:pPr>
        <w:spacing w:lineRule="exact" w:line="360"/>
        <w:ind w:firstLine="240"/>
      </w:pPr>
      <w:r>
        <w:rPr>
          <w:rFonts w:ascii="Century" w:hAnsi="Century" w:eastAsia="ＭＳ 明朝"/>
          <w:b w:val="0"/>
          <w:sz w:val="24"/>
        </w:rPr>
        <w:t>標準化の対象について、中村（2003，p.51）は、商品、価格、流通チャネル、販売促進といったマーケティング・プログラムの標準化と、計画設定、統制、コミュニケーションといったマーケティング・プロセスの標準化の二つを挙げている。また、Salmon and Tordjmanの研究を取り上げ、国際的な小売企業の戦略には、母国と同一の運営方式を世界的に複製していく「グローバル戦略」と、運営方式を各国に適応させていく「マルティナショナル戦略」があることを紹介している（中村，2003，p.51）。</w:t>
      </w:r>
    </w:p>
    <w:p>
      <w:pPr>
        <w:spacing w:lineRule="exact" w:line="360"/>
        <w:ind w:firstLine="240"/>
      </w:pPr>
      <w:r>
        <w:rPr>
          <w:rFonts w:ascii="Century" w:hAnsi="Century" w:eastAsia="ＭＳ 明朝"/>
          <w:b w:val="0"/>
          <w:sz w:val="24"/>
        </w:rPr>
        <w:t>ただし、規模の経済などのメリットをもたらす標準化と、地域ごとの顧客ニーズに応える適応化とは、相矛盾する要素を含んでいる（中村，2003，p.51）。そのため中村（2003，p.52）は、今日では標準化と適応化は二者択一の問題ではなく、両者をいかにバランスよく同時に達成するかが重要な課題であり、そのバランスの取り方は業態によって異なると述べている。さらに、向山雅夫による「品揃え共通化」のモデルを取り上げ、所得水準の上昇にともない、時間の経過とともに各国間で共通化できる品揃えの部分が拡大しうることを紹介している（中村，2003，p.52）。</w:t>
      </w:r>
    </w:p>
    <w:p>
      <w:pPr>
        <w:keepNext/>
        <w:spacing w:lineRule="exact" w:line="360"/>
      </w:pPr>
      <w:r>
        <w:rPr>
          <w:rFonts w:ascii="Century" w:hAnsi="Century" w:eastAsia="ＭＳ 明朝"/>
          <w:b/>
          <w:sz w:val="24"/>
        </w:rPr>
        <w:t>2.3.3　先行研究の課題と本研究の視点</w:t>
      </w:r>
    </w:p>
    <w:p>
      <w:pPr>
        <w:spacing w:lineRule="exact" w:line="360"/>
        <w:ind w:firstLine="240"/>
      </w:pPr>
      <w:r>
        <w:rPr>
          <w:rFonts w:ascii="Century" w:hAnsi="Century" w:eastAsia="ＭＳ 明朝"/>
          <w:b w:val="0"/>
          <w:sz w:val="24"/>
        </w:rPr>
        <w:t>以上のように、標準化・現地適応論は、多国籍企業が何を統一し、何を各国に適応させるのかを整理する枠組みを提供している。また、統合と適応の位置づけが時間とともに変化すること、そして最適な形態が企業の置かれた環境によって異なることも示されている。</w:t>
      </w:r>
    </w:p>
    <w:p>
      <w:pPr>
        <w:spacing w:lineRule="exact" w:line="360"/>
        <w:ind w:firstLine="240"/>
      </w:pPr>
      <w:r>
        <w:rPr>
          <w:rFonts w:ascii="Century" w:hAnsi="Century" w:eastAsia="ＭＳ 明朝"/>
          <w:b w:val="0"/>
          <w:sz w:val="24"/>
        </w:rPr>
        <w:t>しかし、本節で取り上げた議論は、主に商品や品揃え、マーケティング・プログラムを対象としている。中村（2003，p.48）も、川端基夫が挙げた小売国際化研究の問題点の一つとして、メーカー、卸、流通センターといった流通の川上部分への関心の低さを紹介している。物流、とりわけラストマイル配送の体制がどのように共通化され、あるいは現地適応されるのかについては、十分に検討されてきたとはいえない。さらに、標準化・現地適応論は、何が統一され何が適応されているのかを整理するうえでは有効であるが、配送の担い手をどのような契約形態で組織し、どの程度管理するのかという判断の論理を説明するものではない。この点は、2.2で検討した取引費用論によって補うことができる。次節では、両者を組み合わせた本研究の分析枠組みを提示する。</w:t>
      </w:r>
    </w:p>
    <w:p>
      <w:pPr>
        <w:keepNext/>
        <w:spacing w:lineRule="exact" w:line="360"/>
      </w:pPr>
      <w:r>
        <w:rPr>
          <w:rFonts w:ascii="Century" w:hAnsi="Century" w:eastAsia="ＭＳ 明朝"/>
          <w:b/>
          <w:sz w:val="24"/>
        </w:rPr>
        <w:t>2.4　本研究の分析枠組み</w:t>
      </w:r>
    </w:p>
    <w:p>
      <w:pPr>
        <w:spacing w:lineRule="exact" w:line="360"/>
        <w:ind w:firstLine="240"/>
      </w:pPr>
      <w:r>
        <w:rPr>
          <w:rFonts w:ascii="Century" w:hAnsi="Century" w:eastAsia="ＭＳ 明朝"/>
          <w:b w:val="0"/>
          <w:sz w:val="24"/>
        </w:rPr>
        <w:t>本節では、2.2および2.3の検討を踏まえ、取引費用論と標準化・現地適応論を組み合わせた本研究の分析枠組みを提示する。</w:t>
      </w:r>
    </w:p>
    <w:p>
      <w:pPr>
        <w:keepNext/>
        <w:spacing w:lineRule="exact" w:line="360"/>
      </w:pPr>
      <w:r>
        <w:rPr>
          <w:rFonts w:ascii="Century" w:hAnsi="Century" w:eastAsia="ＭＳ 明朝"/>
          <w:b/>
          <w:sz w:val="24"/>
        </w:rPr>
        <w:t>2.4.1　二つの理論の役割</w:t>
      </w:r>
    </w:p>
    <w:p>
      <w:pPr>
        <w:spacing w:lineRule="exact" w:line="360"/>
        <w:ind w:firstLine="240"/>
      </w:pPr>
      <w:r>
        <w:rPr>
          <w:rFonts w:ascii="Century" w:hAnsi="Century" w:eastAsia="ＭＳ 明朝"/>
          <w:b w:val="0"/>
          <w:sz w:val="24"/>
        </w:rPr>
        <w:t>取引費用論は、属性の異なる取引が、統治コストを節約するようにガバナンス構造と対応づけられることを示す（Williamson，1991，p.277）。また、制度的環境を、ガバナンス構造の相対的な統治コストを変化させるパラメータとして位置づけている（Williamson，1991，p.287）。一方、標準化・現地適応論は、多国籍企業にとってグローバル統合と現地適応のバランスをいかにとるかが課題となること（中村，2010，p.100）、そしてそのバランスが業態や企業の置かれた環境によって異なることを示している（中村，2003，p.52；中村，2010，pp.102-103）。</w:t>
      </w:r>
    </w:p>
    <w:p>
      <w:pPr>
        <w:spacing w:lineRule="exact" w:line="360"/>
        <w:ind w:firstLine="240"/>
      </w:pPr>
      <w:r>
        <w:rPr>
          <w:rFonts w:ascii="Century" w:hAnsi="Century" w:eastAsia="ＭＳ 明朝"/>
          <w:b w:val="0"/>
          <w:sz w:val="24"/>
        </w:rPr>
        <w:t>本研究では、前者を、日米で「なぜ」異なる配送方式が選ばれたのかを説明する理論として、後者を、日米で「何が」共通化され「何が」現地適応されているのかを整理する理論として用いる。</w:t>
      </w:r>
    </w:p>
    <w:p>
      <w:pPr>
        <w:keepNext/>
        <w:spacing w:lineRule="exact" w:line="360"/>
      </w:pPr>
      <w:r>
        <w:rPr>
          <w:rFonts w:ascii="Century" w:hAnsi="Century" w:eastAsia="ＭＳ 明朝"/>
          <w:b/>
          <w:sz w:val="24"/>
        </w:rPr>
        <w:t>2.4.2　分析の枠組み</w:t>
      </w:r>
    </w:p>
    <w:p>
      <w:pPr>
        <w:spacing w:lineRule="exact" w:line="360"/>
        <w:ind w:firstLine="240"/>
      </w:pPr>
      <w:r>
        <w:rPr>
          <w:rFonts w:ascii="Century" w:hAnsi="Century" w:eastAsia="ＭＳ 明朝"/>
          <w:b w:val="0"/>
          <w:sz w:val="24"/>
        </w:rPr>
        <w:t>本研究の分析枠組みを図2-1に示す。第一に、1.3で定義した日米の物流環境の違いを、ガバナンス構造の統治コストを変化させる条件として捉える。第二に、物流環境の違いが、Amazonと配送の担い手との取引の属性、すなわち資産特殊性、不確実性、頻度に違いをもたらすと考える。第三に、取引の属性に応じて、配送の担い手との契約形態と管理の程度、すなわちガバナンス構造が選択されると考える。その際、Williamson（1991，pp.283-284）がフランチャイズを例に示したように、同じハイブリッドの中にも管理の程度に差があることに着目する。第四に、こうして生じたガバナンス構造の日米差を、標準化・現地適応論の視点から、共通化された要素と現地適応された要素として整理する。</w:t>
      </w:r>
    </w:p>
    <w:p>
      <w:pPr>
        <w:keepNext/>
        <w:spacing w:lineRule="exact" w:line="360"/>
        <w:jc w:val="center"/>
      </w:pPr>
      <w:r>
        <w:rPr>
          <w:rFonts w:ascii="Century" w:hAnsi="Century" w:eastAsia="ＭＳ 明朝"/>
          <w:b/>
          <w:sz w:val="21"/>
        </w:rPr>
        <w:t>図2-1　本研究の分析枠組み</w:t>
      </w:r>
    </w:p>
    <w:tbl>
      <w:tblPr>
        <w:tblW w:type="auto" w:w="0"/>
        <w:jc w:val="center"/>
        <w:tblLayout w:type="fixed"/>
        <w:tblLook w:firstColumn="1" w:firstRow="1" w:lastColumn="0" w:lastRow="0" w:noHBand="0" w:noVBand="1" w:val="04A0"/>
      </w:tblPr>
      <w:tblGrid>
        <w:gridCol w:w="1587"/>
        <w:gridCol w:w="5329"/>
        <w:gridCol w:w="1020"/>
      </w:tblGrid>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物流環境</w:t>
              <w:br/>
              <w:t>（宅配市場の構造、担い手・労働力、制度・規制、業界慣行、地理的条件）</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第3章</w:t>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nil"/>
              <w:left w:val="nil"/>
              <w:bottom w:val="nil"/>
              <w:right w:val="nil"/>
            </w:tcBorders>
          </w:tcPr>
          <w:p>
            <w:pPr>
              <w:keepNext/>
              <w:spacing w:lineRule="exact" w:line="280"/>
              <w:jc w:val="center"/>
            </w:pPr>
            <w:r>
              <w:rPr>
                <w:rFonts w:ascii="Century" w:hAnsi="Century" w:eastAsia="ＭＳ 明朝"/>
                <w:b w:val="0"/>
                <w:sz w:val="19"/>
              </w:rPr>
              <w:t>↓　統治コストを変化させる条件</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t>取引費用論</w:t>
              <w:br/>
              <w:t>（2.2）</w:t>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取引の属性</w:t>
              <w:br/>
              <w:t>（資産特殊性・不確実性・頻度）</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第5章</w:t>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nil"/>
              <w:left w:val="nil"/>
              <w:bottom w:val="nil"/>
              <w:right w:val="nil"/>
            </w:tcBorders>
          </w:tcPr>
          <w:p>
            <w:pPr>
              <w:keepNext/>
              <w:spacing w:lineRule="exact" w:line="280"/>
              <w:jc w:val="center"/>
            </w:pPr>
            <w:r>
              <w:rPr>
                <w:rFonts w:ascii="Century" w:hAnsi="Century" w:eastAsia="ＭＳ 明朝"/>
                <w:b w:val="0"/>
                <w:sz w:val="19"/>
              </w:rPr>
              <w:t>↓　識別的整合</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t>取引費用論</w:t>
              <w:br/>
              <w:t>（2.2）</w:t>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ガバナンス構造</w:t>
              <w:br/>
              <w:t>（契約形態・管理の程度）</w:t>
              <w:br/>
              <w:t>DSP／ADP／Amazon Flex／日本DSP</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第4章</w:t>
              <w:br/>
              <w:t>第5章</w:t>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nil"/>
              <w:left w:val="nil"/>
              <w:bottom w:val="nil"/>
              <w:right w:val="nil"/>
            </w:tcBorders>
          </w:tcPr>
          <w:p>
            <w:pPr>
              <w:keepNext/>
              <w:spacing w:lineRule="exact" w:line="280"/>
              <w:jc w:val="center"/>
            </w:pPr>
            <w:r>
              <w:rPr>
                <w:rFonts w:ascii="Century" w:hAnsi="Century" w:eastAsia="ＭＳ 明朝"/>
                <w:b w:val="0"/>
                <w:sz w:val="19"/>
              </w:rPr>
              <w:t>↓</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t>標準化・</w:t>
              <w:br/>
              <w:t>現地適応論</w:t>
              <w:br/>
              <w:t>（2.3）</w:t>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共通化される要素／現地適応される要素</w:t>
              <w:br/>
              <w:t>（時間的変化：日本DSPの導入）</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第6章</w:t>
            </w:r>
          </w:p>
        </w:tc>
      </w:tr>
    </w:tbl>
    <w:p>
      <w:pPr>
        <w:spacing w:lineRule="exact" w:line="280"/>
      </w:pPr>
      <w:r>
        <w:rPr>
          <w:rFonts w:ascii="Century" w:hAnsi="Century" w:eastAsia="ＭＳ 明朝"/>
          <w:b w:val="0"/>
          <w:sz w:val="18"/>
        </w:rPr>
        <w:t>出所：筆者作成。</w:t>
      </w:r>
    </w:p>
    <w:p>
      <w:pPr>
        <w:keepNext/>
        <w:spacing w:lineRule="exact" w:line="360"/>
      </w:pPr>
      <w:r>
        <w:rPr>
          <w:rFonts w:ascii="Century" w:hAnsi="Century" w:eastAsia="ＭＳ 明朝"/>
          <w:b/>
          <w:sz w:val="24"/>
        </w:rPr>
        <w:t>2.4.3　時間的変化の捉え方</w:t>
      </w:r>
    </w:p>
    <w:p>
      <w:pPr>
        <w:spacing w:lineRule="exact" w:line="360"/>
        <w:ind w:firstLine="240"/>
      </w:pPr>
      <w:r>
        <w:rPr>
          <w:rFonts w:ascii="Century" w:hAnsi="Century" w:eastAsia="ＭＳ 明朝"/>
          <w:b w:val="0"/>
          <w:sz w:val="24"/>
        </w:rPr>
        <w:t>本研究は、上記の関係を固定的なものとは捉えない。Williamson（1991，p.287）は、隣り合うガバナンス構造への移行は比較的小さな環境の変化によっても生じうるとしている。また中村（2010，p.100）は、I-Rグリッド上の位置づけが時間とともに移動することを指摘している。これらを踏まえ、本研究では、2023年の日本DSPの導入を、物流環境の変化にともなうガバナンス構造の段階的な移行、すなわち現地適応のあり方の変化として検討する。</w:t>
      </w:r>
    </w:p>
    <w:p>
      <w:pPr>
        <w:keepNext/>
        <w:spacing w:lineRule="exact" w:line="360"/>
      </w:pPr>
      <w:r>
        <w:rPr>
          <w:rFonts w:ascii="Century" w:hAnsi="Century" w:eastAsia="ＭＳ 明朝"/>
          <w:b/>
          <w:sz w:val="24"/>
        </w:rPr>
        <w:t>2.4.4　分析の対象と比較の観点</w:t>
      </w:r>
    </w:p>
    <w:p>
      <w:pPr>
        <w:spacing w:lineRule="exact" w:line="360"/>
        <w:ind w:firstLine="240"/>
      </w:pPr>
      <w:r>
        <w:rPr>
          <w:rFonts w:ascii="Century" w:hAnsi="Century" w:eastAsia="ＭＳ 明朝"/>
          <w:b w:val="0"/>
          <w:sz w:val="24"/>
        </w:rPr>
        <w:t>分析の対象は、米国のDSPとAmazon Flex、日本のADP、Amazon Flexおよび日本DSPである。これらを、取引の属性（資産特殊性、不確実性、頻度）と、ガバナンス構造（契約形態、および配送ルートの割り当て、監視、評価、契約の打ち切りといった管理の程度）の二つの観点から比較する。具体的には、第3章で日米の物流環境を、第4章で各配送方式の担い手、契約形態、管理方式を整理し、第5章で取引費用論にもとづく比較分析を、第6章で共通化と現地適応に関する考察を行う。</w:t>
      </w:r>
    </w:p>
    <w:sectPr w:rsidR="00FC693F" w:rsidRPr="0006063C" w:rsidSect="00034616">
      <w:pgSz w:w="11906" w:h="16838"/>
      <w:pgMar w:top="198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ＭＳ 明朝"/>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