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6D90F" w14:textId="1BBA7B8C" w:rsidR="000A3261" w:rsidRPr="00BD2D76" w:rsidRDefault="00000000">
      <w:pPr>
        <w:jc w:val="center"/>
        <w:rPr>
          <w:rFonts w:eastAsiaTheme="minorEastAsia"/>
          <w:sz w:val="30"/>
          <w:szCs w:val="30"/>
          <w:lang w:eastAsia="ja-JP"/>
        </w:rPr>
      </w:pPr>
      <w:r w:rsidRPr="00BD2D76">
        <w:rPr>
          <w:sz w:val="30"/>
          <w:szCs w:val="30"/>
          <w:lang w:eastAsia="ja-JP"/>
        </w:rPr>
        <w:t>第1章「序論」と第2章2.1「先行研究」・2.2「取引費用論」レジュメ</w:t>
      </w:r>
      <w:r w:rsidRPr="00BD2D76">
        <w:rPr>
          <w:sz w:val="30"/>
          <w:szCs w:val="30"/>
          <w:lang w:eastAsia="ja-JP"/>
        </w:rPr>
      </w:r>
      <w:r w:rsidRPr="00BD2D76">
        <w:rPr>
          <w:sz w:val="30"/>
          <w:szCs w:val="30"/>
          <w:lang w:eastAsia="ja-JP"/>
        </w:rPr>
      </w:r>
      <w:r w:rsidRPr="00BD2D76">
        <w:rPr>
          <w:sz w:val="30"/>
          <w:szCs w:val="30"/>
          <w:lang w:eastAsia="ja-JP"/>
        </w:rPr>
      </w:r>
      <w:r w:rsidRPr="00BD2D76">
        <w:rPr>
          <w:sz w:val="30"/>
          <w:szCs w:val="30"/>
          <w:lang w:eastAsia="ja-JP"/>
        </w:rPr>
      </w:r>
      <w:r w:rsidRPr="00BD2D76">
        <w:rPr>
          <w:sz w:val="30"/>
          <w:szCs w:val="30"/>
          <w:lang w:eastAsia="ja-JP"/>
        </w:rPr>
      </w:r>
      <w:r w:rsidRPr="00BD2D76">
        <w:rPr>
          <w:sz w:val="30"/>
          <w:szCs w:val="30"/>
          <w:lang w:eastAsia="ja-JP"/>
        </w:rPr>
      </w:r>
      <w:r w:rsidR="00601F1F" w:rsidRPr="00BD2D76">
        <w:rPr>
          <w:rFonts w:hint="eastAsia"/>
          <w:sz w:val="30"/>
          <w:szCs w:val="30"/>
          <w:lang w:eastAsia="ja-JP"/>
        </w:rPr>
      </w:r>
    </w:p>
    <w:p w14:paraId="7A7F934D" w14:textId="3788A392" w:rsidR="00601F1F" w:rsidRDefault="00601F1F">
      <w:pPr>
        <w:jc w:val="center"/>
        <w:rPr>
          <w:rFonts w:eastAsia="Yu Mincho"/>
          <w:lang w:eastAsia="ja-JP"/>
        </w:rPr>
      </w:pPr>
      <w:r>
        <w:rPr>
          <w:rFonts w:eastAsiaTheme="minorEastAsia" w:hint="eastAsia"/>
          <w:lang w:eastAsia="ja-JP"/>
        </w:rPr>
        <w:t xml:space="preserve"> </w:t>
      </w:r>
      <w:r>
        <w:rPr>
          <w:rFonts w:eastAsia="Yu Mincho" w:hint="eastAsia"/>
          <w:lang w:eastAsia="ja-JP"/>
        </w:rPr>
        <w:t xml:space="preserve">                                                </w:t>
      </w:r>
      <w:r>
        <w:rPr>
          <w:rFonts w:eastAsia="Yu Mincho" w:hint="eastAsia"/>
          <w:lang w:eastAsia="ja-JP"/>
        </w:rPr>
        <w:t>名前：シンハクケイ</w:t>
      </w:r>
    </w:p>
    <w:p w14:paraId="6B9E388C" w14:textId="465256BF" w:rsidR="00601F1F" w:rsidRPr="00601F1F" w:rsidRDefault="00601F1F" w:rsidP="00601F1F">
      <w:pPr>
        <w:ind w:firstLineChars="2000" w:firstLine="4800"/>
        <w:rPr>
          <w:rFonts w:eastAsia="Yu Mincho"/>
          <w:lang w:eastAsia="ja-JP"/>
        </w:rPr>
      </w:pPr>
      <w:r>
        <w:rPr>
          <w:rFonts w:eastAsia="Yu Mincho" w:hint="eastAsia"/>
          <w:lang w:eastAsia="ja-JP"/>
        </w:rPr>
        <w:t>学籍番号：</w:t>
      </w:r>
      <w:r>
        <w:rPr>
          <w:rFonts w:eastAsia="Yu Mincho" w:hint="eastAsia"/>
          <w:lang w:eastAsia="ja-JP"/>
        </w:rPr>
        <w:t>G5M0020205</w:t>
      </w:r>
    </w:p>
    <w:p w14:paraId="6F50385F" w14:textId="77777777" w:rsidR="00601F1F" w:rsidRDefault="00601F1F">
      <w:pPr>
        <w:ind w:firstLine="240"/>
        <w:jc w:val="both"/>
        <w:rPr>
          <w:lang w:eastAsia="ja-JP"/>
        </w:rPr>
      </w:pPr>
    </w:p>
    <w:p w14:paraId="61476D80" w14:textId="0419DD6C" w:rsidR="000A3261" w:rsidRDefault="00000000">
      <w:pPr>
        <w:ind w:firstLine="240"/>
        <w:jc w:val="both"/>
        <w:rPr>
          <w:lang w:eastAsia="ja-JP"/>
        </w:rPr>
      </w:pPr>
      <w:r>
        <w:rPr>
          <w:lang w:eastAsia="ja-JP"/>
        </w:rPr>
        <w:t>本日は、中間発表以降に進めた内容についてご報告いたします。内容は三つです。一つ目は、中間発表でいただいたコメントを踏まえて修正した第1章「序論」、二つ目は、第2章の2.1「先行研究」、三つ目は、第2章の理論部分のうち、2.2「取引費用論」です。</w:t>
      </w:r>
      <w:r>
        <w:rPr>
          <w:lang w:eastAsia="ja-JP"/>
        </w:rPr>
      </w:r>
      <w:r>
        <w:rPr>
          <w:lang w:eastAsia="ja-JP"/>
        </w:rPr>
      </w:r>
      <w:r>
        <w:rPr>
          <w:lang w:eastAsia="ja-JP"/>
        </w:rPr>
      </w:r>
      <w:r>
        <w:rPr>
          <w:lang w:eastAsia="ja-JP"/>
        </w:rPr>
      </w:r>
      <w:r>
        <w:rPr>
          <w:lang w:eastAsia="ja-JP"/>
        </w:rPr>
      </w:r>
      <w:r>
        <w:rPr>
          <w:lang w:eastAsia="ja-JP"/>
        </w:rPr>
      </w:r>
    </w:p>
    <w:p w14:paraId="0C40BA38" w14:textId="48A501D2" w:rsidR="000A3261" w:rsidRDefault="00000000">
      <w:pPr>
        <w:pStyle w:val="2"/>
        <w:rPr>
          <w:lang w:eastAsia="ja-JP"/>
        </w:rPr>
      </w:pPr>
      <w:r>
        <w:rPr>
          <w:lang w:eastAsia="ja-JP"/>
        </w:rPr>
        <w:t>1</w:t>
      </w:r>
      <w:r>
        <w:rPr>
          <w:lang w:eastAsia="ja-JP"/>
        </w:rPr>
        <w:t>．第</w:t>
      </w:r>
      <w:r>
        <w:rPr>
          <w:lang w:eastAsia="ja-JP"/>
        </w:rPr>
        <w:t>1</w:t>
      </w:r>
      <w:r>
        <w:rPr>
          <w:lang w:eastAsia="ja-JP"/>
        </w:rPr>
        <w:t>章「序論」</w:t>
      </w:r>
    </w:p>
    <w:p w14:paraId="2A34AD58" w14:textId="52284044" w:rsidR="000A3261" w:rsidRPr="00601F1F" w:rsidRDefault="00000000">
      <w:pPr>
        <w:pStyle w:val="3"/>
        <w:rPr>
          <w:color w:val="auto"/>
          <w:lang w:eastAsia="ja-JP"/>
        </w:rPr>
      </w:pPr>
      <w:r w:rsidRPr="00601F1F">
        <w:rPr>
          <w:color w:val="auto"/>
          <w:lang w:eastAsia="ja-JP"/>
        </w:rPr>
        <w:t>1-1</w:t>
      </w:r>
      <w:r w:rsidRPr="00601F1F">
        <w:rPr>
          <w:color w:val="auto"/>
          <w:lang w:eastAsia="ja-JP"/>
        </w:rPr>
        <w:t xml:space="preserve">　研究の背景</w:t>
      </w:r>
    </w:p>
    <w:p w14:paraId="41EAC8E2" w14:textId="77777777" w:rsidR="000A3261" w:rsidRPr="00601F1F" w:rsidRDefault="00000000">
      <w:pPr>
        <w:ind w:firstLine="240"/>
        <w:jc w:val="both"/>
        <w:rPr>
          <w:lang w:eastAsia="ja-JP"/>
        </w:rPr>
      </w:pPr>
      <w:r w:rsidRPr="00601F1F">
        <w:rPr>
          <w:lang w:eastAsia="ja-JP"/>
        </w:rPr>
        <w:t>まず研究の背景です。</w:t>
      </w:r>
      <w:r w:rsidRPr="00601F1F">
        <w:rPr>
          <w:lang w:eastAsia="ja-JP"/>
        </w:rPr>
        <w:t>EC</w:t>
      </w:r>
      <w:r w:rsidRPr="00601F1F">
        <w:rPr>
          <w:lang w:eastAsia="ja-JP"/>
        </w:rPr>
        <w:t>の拡大が続く中で、商品を顧客に届ける最終区間であるラストマイル配送は、顧客満足に直結する一方、最もコストが高く労働集約的な工程とされています。</w:t>
      </w:r>
    </w:p>
    <w:p w14:paraId="67295D9E" w14:textId="77777777" w:rsidR="000A3261" w:rsidRPr="00601F1F" w:rsidRDefault="00000000">
      <w:pPr>
        <w:ind w:firstLine="240"/>
        <w:jc w:val="both"/>
        <w:rPr>
          <w:lang w:eastAsia="ja-JP"/>
        </w:rPr>
      </w:pPr>
      <w:r w:rsidRPr="00601F1F">
        <w:rPr>
          <w:lang w:eastAsia="ja-JP"/>
        </w:rPr>
        <w:t>こうした中で</w:t>
      </w:r>
      <w:r w:rsidRPr="00601F1F">
        <w:rPr>
          <w:lang w:eastAsia="ja-JP"/>
        </w:rPr>
        <w:t>Amazon</w:t>
      </w:r>
      <w:r w:rsidRPr="00601F1F">
        <w:rPr>
          <w:lang w:eastAsia="ja-JP"/>
        </w:rPr>
        <w:t>は、日米いずれにおいても大手宅配便事業者への依存から脱却し、自らコントロールできる配送を拡大してきました。米国では</w:t>
      </w:r>
      <w:r w:rsidRPr="00601F1F">
        <w:rPr>
          <w:lang w:eastAsia="ja-JP"/>
        </w:rPr>
        <w:t>2013</w:t>
      </w:r>
      <w:r w:rsidRPr="00601F1F">
        <w:rPr>
          <w:lang w:eastAsia="ja-JP"/>
        </w:rPr>
        <w:t>年の大規模な遅配を契機に</w:t>
      </w:r>
      <w:r w:rsidRPr="00601F1F">
        <w:rPr>
          <w:lang w:eastAsia="ja-JP"/>
        </w:rPr>
        <w:t>Amazon Flex</w:t>
      </w:r>
      <w:r w:rsidRPr="00601F1F">
        <w:rPr>
          <w:lang w:eastAsia="ja-JP"/>
        </w:rPr>
        <w:t>と</w:t>
      </w:r>
      <w:r w:rsidRPr="00601F1F">
        <w:rPr>
          <w:lang w:eastAsia="ja-JP"/>
        </w:rPr>
        <w:t>DSP</w:t>
      </w:r>
      <w:r w:rsidRPr="00601F1F">
        <w:rPr>
          <w:lang w:eastAsia="ja-JP"/>
        </w:rPr>
        <w:t>を、日本では</w:t>
      </w:r>
      <w:r w:rsidRPr="00601F1F">
        <w:rPr>
          <w:lang w:eastAsia="ja-JP"/>
        </w:rPr>
        <w:t>2017</w:t>
      </w:r>
      <w:r w:rsidRPr="00601F1F">
        <w:rPr>
          <w:lang w:eastAsia="ja-JP"/>
        </w:rPr>
        <w:t>年の宅配クライシスを契機に</w:t>
      </w:r>
      <w:r w:rsidRPr="00601F1F">
        <w:rPr>
          <w:lang w:eastAsia="ja-JP"/>
        </w:rPr>
        <w:t>ADP</w:t>
      </w:r>
      <w:r w:rsidRPr="00601F1F">
        <w:rPr>
          <w:lang w:eastAsia="ja-JP"/>
        </w:rPr>
        <w:t>や</w:t>
      </w:r>
      <w:r w:rsidRPr="00601F1F">
        <w:rPr>
          <w:lang w:eastAsia="ja-JP"/>
        </w:rPr>
        <w:t>Amazon Flex</w:t>
      </w:r>
      <w:r w:rsidRPr="00601F1F">
        <w:rPr>
          <w:lang w:eastAsia="ja-JP"/>
        </w:rPr>
        <w:t>による配送を拡大しました。</w:t>
      </w:r>
    </w:p>
    <w:p w14:paraId="38F9563C" w14:textId="6D365794" w:rsidR="000A3261" w:rsidRPr="00601F1F" w:rsidRDefault="00000000">
      <w:pPr>
        <w:pStyle w:val="3"/>
        <w:rPr>
          <w:color w:val="auto"/>
          <w:lang w:eastAsia="ja-JP"/>
        </w:rPr>
      </w:pPr>
      <w:r w:rsidRPr="00601F1F">
        <w:rPr>
          <w:color w:val="auto"/>
          <w:lang w:eastAsia="ja-JP"/>
        </w:rPr>
        <w:t>1-2</w:t>
      </w:r>
      <w:r w:rsidRPr="00601F1F">
        <w:rPr>
          <w:color w:val="auto"/>
          <w:lang w:eastAsia="ja-JP"/>
        </w:rPr>
        <w:t xml:space="preserve">　問題意識</w:t>
      </w:r>
    </w:p>
    <w:p w14:paraId="506DFB7C" w14:textId="77777777" w:rsidR="000A3261" w:rsidRPr="00601F1F" w:rsidRDefault="00000000">
      <w:pPr>
        <w:ind w:firstLine="240"/>
        <w:jc w:val="both"/>
        <w:rPr>
          <w:lang w:eastAsia="ja-JP"/>
        </w:rPr>
      </w:pPr>
      <w:r w:rsidRPr="00601F1F">
        <w:rPr>
          <w:lang w:eastAsia="ja-JP"/>
        </w:rPr>
        <w:t>このように「脱宅配便」という方針は日米で共通していますが、具体的な仕組みには違いがあります。</w:t>
      </w:r>
    </w:p>
    <w:p w14:paraId="2655AD06" w14:textId="77777777" w:rsidR="000A3261" w:rsidRPr="00601F1F" w:rsidRDefault="00000000">
      <w:pPr>
        <w:ind w:firstLine="240"/>
        <w:jc w:val="both"/>
        <w:rPr>
          <w:lang w:eastAsia="ja-JP"/>
        </w:rPr>
      </w:pPr>
      <w:r w:rsidRPr="00601F1F">
        <w:rPr>
          <w:lang w:eastAsia="ja-JP"/>
        </w:rPr>
        <w:t>第一に、担い手が異なります。米国では</w:t>
      </w:r>
      <w:r w:rsidRPr="00601F1F">
        <w:rPr>
          <w:lang w:eastAsia="ja-JP"/>
        </w:rPr>
        <w:t>Amazon</w:t>
      </w:r>
      <w:r w:rsidRPr="00601F1F">
        <w:rPr>
          <w:lang w:eastAsia="ja-JP"/>
        </w:rPr>
        <w:t>の貨物を専門に運ぶ運送会社を</w:t>
      </w:r>
      <w:r w:rsidRPr="00601F1F">
        <w:rPr>
          <w:lang w:eastAsia="ja-JP"/>
        </w:rPr>
        <w:t>DSP</w:t>
      </w:r>
      <w:r w:rsidRPr="00601F1F">
        <w:rPr>
          <w:lang w:eastAsia="ja-JP"/>
        </w:rPr>
        <w:t>として新たに起業させているのに対し、日本では既存の地域運送事業者である</w:t>
      </w:r>
      <w:r w:rsidRPr="00601F1F">
        <w:rPr>
          <w:lang w:eastAsia="ja-JP"/>
        </w:rPr>
        <w:t>ADP</w:t>
      </w:r>
      <w:r w:rsidRPr="00601F1F">
        <w:rPr>
          <w:lang w:eastAsia="ja-JP"/>
        </w:rPr>
        <w:t>に委託し、実際の配送は下請けの軽貨物運送事業者が担っています。</w:t>
      </w:r>
    </w:p>
    <w:p w14:paraId="3FDB8503" w14:textId="77777777" w:rsidR="000A3261" w:rsidRPr="00601F1F" w:rsidRDefault="00000000">
      <w:pPr>
        <w:ind w:firstLine="240"/>
        <w:jc w:val="both"/>
        <w:rPr>
          <w:lang w:eastAsia="ja-JP"/>
        </w:rPr>
      </w:pPr>
      <w:r w:rsidRPr="00601F1F">
        <w:rPr>
          <w:lang w:eastAsia="ja-JP"/>
        </w:rPr>
        <w:t>第二に、管理の程度が異なります。米国ではアルゴリズムによるルートの割り当て、車載機器やアプリによる監視、評価にもとづく契約の打ち切りまで行われているのに対し、日本の</w:t>
      </w:r>
      <w:r w:rsidRPr="00601F1F">
        <w:rPr>
          <w:lang w:eastAsia="ja-JP"/>
        </w:rPr>
        <w:t>ADP</w:t>
      </w:r>
      <w:r w:rsidRPr="00601F1F">
        <w:rPr>
          <w:lang w:eastAsia="ja-JP"/>
        </w:rPr>
        <w:t>にはこうした監視や統制は行われていないとされています。</w:t>
      </w:r>
    </w:p>
    <w:p w14:paraId="638AA904" w14:textId="77777777" w:rsidR="000A3261" w:rsidRPr="00601F1F" w:rsidRDefault="00000000">
      <w:pPr>
        <w:ind w:firstLine="240"/>
        <w:jc w:val="both"/>
        <w:rPr>
          <w:lang w:eastAsia="ja-JP"/>
        </w:rPr>
      </w:pPr>
      <w:r w:rsidRPr="00601F1F">
        <w:rPr>
          <w:lang w:eastAsia="ja-JP"/>
        </w:rPr>
        <w:t>第三に、同じ</w:t>
      </w:r>
      <w:r w:rsidRPr="00601F1F">
        <w:rPr>
          <w:lang w:eastAsia="ja-JP"/>
        </w:rPr>
        <w:t>Amazon Flex</w:t>
      </w:r>
      <w:r w:rsidRPr="00601F1F">
        <w:rPr>
          <w:lang w:eastAsia="ja-JP"/>
        </w:rPr>
        <w:t>でも、米国は自家用車をもつ個人、日本は届出を行った軽貨物運送事業者が対象です。</w:t>
      </w:r>
    </w:p>
    <w:p w14:paraId="5982F1FE" w14:textId="77777777" w:rsidR="000A3261" w:rsidRPr="00601F1F" w:rsidRDefault="00000000">
      <w:pPr>
        <w:ind w:firstLine="240"/>
        <w:jc w:val="both"/>
        <w:rPr>
          <w:lang w:eastAsia="ja-JP"/>
        </w:rPr>
      </w:pPr>
      <w:r w:rsidRPr="00601F1F">
        <w:rPr>
          <w:lang w:eastAsia="ja-JP"/>
        </w:rPr>
        <w:t>ただし、この違いは固定的ではなく、日本でも</w:t>
      </w:r>
      <w:r w:rsidRPr="00601F1F">
        <w:rPr>
          <w:lang w:eastAsia="ja-JP"/>
        </w:rPr>
        <w:t>2023</w:t>
      </w:r>
      <w:r w:rsidRPr="00601F1F">
        <w:rPr>
          <w:lang w:eastAsia="ja-JP"/>
        </w:rPr>
        <w:t>年に米国と同様の</w:t>
      </w:r>
      <w:r w:rsidRPr="00601F1F">
        <w:rPr>
          <w:lang w:eastAsia="ja-JP"/>
        </w:rPr>
        <w:t>DSP</w:t>
      </w:r>
      <w:r w:rsidRPr="00601F1F">
        <w:rPr>
          <w:lang w:eastAsia="ja-JP"/>
        </w:rPr>
        <w:t>プログラムが導入されました。そこで本研究では、日米の違いを二分法ではなく「程度の違い」として、しかも「時間とともに変化しうるもの」として捉えます。</w:t>
      </w:r>
    </w:p>
    <w:p w14:paraId="0F8A7A90" w14:textId="77777777" w:rsidR="000A3261" w:rsidRPr="00601F1F" w:rsidRDefault="00000000">
      <w:pPr>
        <w:ind w:firstLine="240"/>
        <w:jc w:val="both"/>
        <w:rPr>
          <w:lang w:eastAsia="ja-JP"/>
        </w:rPr>
      </w:pPr>
      <w:r w:rsidRPr="00601F1F">
        <w:rPr>
          <w:lang w:eastAsia="ja-JP"/>
        </w:rPr>
        <w:t>同じ企業が同じ方針のもとで、なぜ日米で異なる仕組みを採用したのか。そして、なぜ日本では近年になって米国型の仕組みが導入されたのか。これが本研究の問題</w:t>
      </w:r>
      <w:r w:rsidRPr="00601F1F">
        <w:rPr>
          <w:lang w:eastAsia="ja-JP"/>
        </w:rPr>
        <w:lastRenderedPageBreak/>
        <w:t>意識です。</w:t>
      </w:r>
    </w:p>
    <w:p w14:paraId="4E8C9F42" w14:textId="58CAB1AA" w:rsidR="000A3261" w:rsidRPr="00601F1F" w:rsidRDefault="00000000">
      <w:pPr>
        <w:pStyle w:val="3"/>
        <w:rPr>
          <w:color w:val="auto"/>
          <w:lang w:eastAsia="ja-JP"/>
        </w:rPr>
      </w:pPr>
      <w:r w:rsidRPr="00601F1F">
        <w:rPr>
          <w:color w:val="auto"/>
          <w:lang w:eastAsia="ja-JP"/>
        </w:rPr>
        <w:t>1-3</w:t>
      </w:r>
      <w:r w:rsidRPr="00601F1F">
        <w:rPr>
          <w:color w:val="auto"/>
          <w:lang w:eastAsia="ja-JP"/>
        </w:rPr>
        <w:t xml:space="preserve">　研究課題と仮説</w:t>
      </w:r>
    </w:p>
    <w:p w14:paraId="03C6829E" w14:textId="77777777" w:rsidR="000A3261" w:rsidRPr="00601F1F" w:rsidRDefault="00000000">
      <w:pPr>
        <w:ind w:firstLine="240"/>
        <w:jc w:val="both"/>
        <w:rPr>
          <w:lang w:eastAsia="ja-JP"/>
        </w:rPr>
      </w:pPr>
      <w:r w:rsidRPr="00601F1F">
        <w:rPr>
          <w:lang w:eastAsia="ja-JP"/>
        </w:rPr>
        <w:t>研究課題は三つです。</w:t>
      </w:r>
      <w:r w:rsidRPr="00601F1F">
        <w:rPr>
          <w:lang w:eastAsia="ja-JP"/>
        </w:rPr>
        <w:t>RQ1</w:t>
      </w:r>
      <w:r w:rsidRPr="00601F1F">
        <w:rPr>
          <w:lang w:eastAsia="ja-JP"/>
        </w:rPr>
        <w:t>は、日米の配送体制の担い手、契約形態、管理方式とその変化。</w:t>
      </w:r>
      <w:r w:rsidRPr="00601F1F">
        <w:rPr>
          <w:lang w:eastAsia="ja-JP"/>
        </w:rPr>
        <w:t>RQ2</w:t>
      </w:r>
      <w:r w:rsidRPr="00601F1F">
        <w:rPr>
          <w:lang w:eastAsia="ja-JP"/>
        </w:rPr>
        <w:t>は、その違いを取引費用論からどう説明できるか。</w:t>
      </w:r>
      <w:r w:rsidRPr="00601F1F">
        <w:rPr>
          <w:lang w:eastAsia="ja-JP"/>
        </w:rPr>
        <w:t>RQ3</w:t>
      </w:r>
      <w:r w:rsidRPr="00601F1F">
        <w:rPr>
          <w:lang w:eastAsia="ja-JP"/>
        </w:rPr>
        <w:t>は、物流環境の違いが共通化と現地適応にどう影響しているか、です。</w:t>
      </w:r>
    </w:p>
    <w:p w14:paraId="718DA07E" w14:textId="77777777" w:rsidR="000A3261" w:rsidRPr="00601F1F" w:rsidRDefault="00000000">
      <w:pPr>
        <w:ind w:firstLine="240"/>
        <w:jc w:val="both"/>
        <w:rPr>
          <w:lang w:eastAsia="ja-JP"/>
        </w:rPr>
      </w:pPr>
      <w:r w:rsidRPr="00601F1F">
        <w:rPr>
          <w:lang w:eastAsia="ja-JP"/>
        </w:rPr>
        <w:t>仮説は、物流環境の違いが取引の属性の違いを生み、</w:t>
      </w:r>
      <w:r w:rsidRPr="00601F1F">
        <w:rPr>
          <w:lang w:eastAsia="ja-JP"/>
        </w:rPr>
        <w:t>Amazon</w:t>
      </w:r>
      <w:r w:rsidRPr="00601F1F">
        <w:rPr>
          <w:lang w:eastAsia="ja-JP"/>
        </w:rPr>
        <w:t>は方針や配送アプリなどは共通化しつつ、担い手、契約形態、管理方式は各国の既存の事業者や制度を活用する形で現地適応させてきた、というものです。</w:t>
      </w:r>
    </w:p>
    <w:p w14:paraId="6152EB58" w14:textId="7E86CA8F" w:rsidR="000A3261" w:rsidRPr="00601F1F" w:rsidRDefault="00000000">
      <w:pPr>
        <w:pStyle w:val="3"/>
        <w:rPr>
          <w:color w:val="auto"/>
          <w:lang w:eastAsia="ja-JP"/>
        </w:rPr>
      </w:pPr>
      <w:r w:rsidRPr="00601F1F">
        <w:rPr>
          <w:color w:val="auto"/>
          <w:lang w:eastAsia="ja-JP"/>
        </w:rPr>
        <w:t>1-4</w:t>
      </w:r>
      <w:r w:rsidRPr="00601F1F">
        <w:rPr>
          <w:color w:val="auto"/>
          <w:lang w:eastAsia="ja-JP"/>
        </w:rPr>
        <w:t xml:space="preserve">　研究の意義</w:t>
      </w:r>
    </w:p>
    <w:p w14:paraId="451B8CA0" w14:textId="77777777" w:rsidR="000A3261" w:rsidRPr="00601F1F" w:rsidRDefault="00000000">
      <w:pPr>
        <w:ind w:firstLine="240"/>
        <w:jc w:val="both"/>
        <w:rPr>
          <w:lang w:eastAsia="ja-JP"/>
        </w:rPr>
      </w:pPr>
      <w:r w:rsidRPr="00601F1F">
        <w:rPr>
          <w:lang w:eastAsia="ja-JP"/>
        </w:rPr>
        <w:t>中間発表では、序章で研究の意義を明確にするようご指摘をいただきましたので、</w:t>
      </w:r>
      <w:r w:rsidRPr="00601F1F">
        <w:rPr>
          <w:lang w:eastAsia="ja-JP"/>
        </w:rPr>
        <w:t>1.6</w:t>
      </w:r>
      <w:r w:rsidRPr="00601F1F">
        <w:rPr>
          <w:lang w:eastAsia="ja-JP"/>
        </w:rPr>
        <w:t>として新たに整理しました。</w:t>
      </w:r>
    </w:p>
    <w:p w14:paraId="4CEEA10E" w14:textId="77777777" w:rsidR="000A3261" w:rsidRPr="00601F1F" w:rsidRDefault="00000000">
      <w:pPr>
        <w:ind w:firstLine="240"/>
        <w:jc w:val="both"/>
        <w:rPr>
          <w:lang w:eastAsia="ja-JP"/>
        </w:rPr>
      </w:pPr>
      <w:r w:rsidRPr="00601F1F">
        <w:rPr>
          <w:lang w:eastAsia="ja-JP"/>
        </w:rPr>
        <w:t>学術的意義は三点です。第一に、齊藤（</w:t>
      </w:r>
      <w:r w:rsidRPr="00601F1F">
        <w:rPr>
          <w:lang w:eastAsia="ja-JP"/>
        </w:rPr>
        <w:t>2022</w:t>
      </w:r>
      <w:r w:rsidRPr="00601F1F">
        <w:rPr>
          <w:lang w:eastAsia="ja-JP"/>
        </w:rPr>
        <w:t>）は日米の実態を詳しく比較していますが、違いがどのような論理で生じたのかについては理論的に説明する余地が残されています。本研究はこれを取引費用論から説明します。第二に、取引費用論と標準化・現地適応論を組み合わせた分析枠組みを提示します。第三に、日米の違いを時間とともに変化するものとして、動態的に捉えます。</w:t>
      </w:r>
    </w:p>
    <w:p w14:paraId="79A56223" w14:textId="77777777" w:rsidR="000A3261" w:rsidRDefault="00000000">
      <w:pPr>
        <w:ind w:firstLine="240"/>
        <w:jc w:val="both"/>
        <w:rPr>
          <w:lang w:eastAsia="ja-JP"/>
        </w:rPr>
      </w:pPr>
      <w:r w:rsidRPr="00601F1F">
        <w:rPr>
          <w:lang w:eastAsia="ja-JP"/>
        </w:rPr>
        <w:t>実務的意義としては、海外進出する</w:t>
      </w:r>
      <w:r w:rsidRPr="00601F1F">
        <w:rPr>
          <w:lang w:eastAsia="ja-JP"/>
        </w:rPr>
        <w:t>EC</w:t>
      </w:r>
      <w:r w:rsidRPr="00601F1F">
        <w:rPr>
          <w:lang w:eastAsia="ja-JP"/>
        </w:rPr>
        <w:t>企業と、日本のラストマイル配送への示唆</w:t>
      </w:r>
      <w:r>
        <w:rPr>
          <w:lang w:eastAsia="ja-JP"/>
        </w:rPr>
        <w:t>を挙げています。</w:t>
      </w:r>
    </w:p>
    <w:p w14:paraId="58B2C090" w14:textId="14E8CB99" w:rsidR="000A3261" w:rsidRDefault="00000000">
      <w:pPr>
        <w:pStyle w:val="2"/>
        <w:rPr>
          <w:lang w:eastAsia="ja-JP"/>
        </w:rPr>
      </w:pPr>
      <w:r>
        <w:rPr>
          <w:lang w:eastAsia="ja-JP"/>
        </w:rPr>
        <w:t>2．第2章 2.1「先行研究」</w:t>
      </w:r>
    </w:p>
    <w:p w14:paraId="5C924B39" w14:textId="41D77989" w:rsidR="000A3261" w:rsidRPr="00601F1F" w:rsidRDefault="00000000">
      <w:pPr>
        <w:pStyle w:val="3"/>
        <w:rPr>
          <w:color w:val="auto"/>
          <w:lang w:eastAsia="ja-JP"/>
        </w:rPr>
      </w:pPr>
      <w:r w:rsidRPr="00601F1F">
        <w:rPr>
          <w:color w:val="auto"/>
          <w:lang w:eastAsia="ja-JP"/>
        </w:rPr>
        <w:t>2-1　ラストマイル配送に関する研究</w:t>
      </w:r>
    </w:p>
    <w:p w14:paraId="735CADA9" w14:textId="77777777" w:rsidR="000A3261" w:rsidRPr="00601F1F" w:rsidRDefault="00000000">
      <w:pPr>
        <w:ind w:firstLine="240"/>
        <w:jc w:val="both"/>
        <w:rPr>
          <w:lang w:eastAsia="ja-JP"/>
        </w:rPr>
      </w:pPr>
      <w:r w:rsidRPr="00601F1F">
        <w:rPr>
          <w:lang w:eastAsia="ja-JP"/>
        </w:rPr>
        <w:t>次に、第2章の2.1「先行研究」です。</w:t>
      </w:r>
    </w:p>
    <w:p w14:paraId="735CADA9" w14:textId="77777777" w:rsidR="000A3261" w:rsidRPr="00601F1F" w:rsidRDefault="00000000">
      <w:pPr>
        <w:ind w:firstLine="240"/>
        <w:jc w:val="both"/>
        <w:rPr>
          <w:lang w:eastAsia="ja-JP"/>
        </w:rPr>
      </w:pPr>
      <w:r w:rsidRPr="00601F1F">
        <w:rPr>
          <w:lang w:eastAsia="ja-JP"/>
        </w:rPr>
        <w:t>ラストマイル配送に関する研究は、大きく二つに分けられます。一つは、丁（2023）や丁（2026）のように、顧客の視点から、配送の品質と顧客満足の関係を検討する研究です。もう一つは、林（2020）のように、宅配危機やドライバー不足など、配送を担う体制の課題を検討する研究です。ただし、EC事業者が配送の担い手を誰に求め、どのように組織し、どの程度管理するのかは、主な検討対象とはなっていません。</w:t>
      </w:r>
    </w:p>
    <w:p w14:paraId="5C924B39" w14:textId="41D77989" w:rsidR="000A3261" w:rsidRPr="00601F1F" w:rsidRDefault="00000000">
      <w:pPr>
        <w:pStyle w:val="3"/>
        <w:rPr>
          <w:color w:val="auto"/>
          <w:lang w:eastAsia="ja-JP"/>
        </w:rPr>
      </w:pPr>
      <w:r w:rsidRPr="00601F1F">
        <w:rPr>
          <w:color w:val="auto"/>
          <w:lang w:eastAsia="ja-JP"/>
        </w:rPr>
        <w:t>2-2　Amazonの配送体制に関する研究</w:t>
      </w:r>
    </w:p>
    <w:p w14:paraId="735CADA9" w14:textId="77777777" w:rsidR="000A3261" w:rsidRPr="00601F1F" w:rsidRDefault="00000000">
      <w:pPr>
        <w:ind w:firstLine="240"/>
        <w:jc w:val="both"/>
        <w:rPr>
          <w:lang w:eastAsia="ja-JP"/>
        </w:rPr>
      </w:pPr>
      <w:r w:rsidRPr="00601F1F">
        <w:rPr>
          <w:lang w:eastAsia="ja-JP"/>
        </w:rPr>
        <w:t>Amazonの配送体制については、齊藤による一連の研究があります。齊藤（2021）は米国のAmazonが脱宅配便を進めた過程を、齊藤（2022）は日米の配送体制の違いを、齊藤（2023）は日本の近年の動向と、ADPやAmazon Flexなど配送主体ごとの費用構造の違いを明らかにしています。</w:t>
      </w:r>
    </w:p>
    <w:p w14:paraId="5C924B39" w14:textId="41D77989" w:rsidR="000A3261" w:rsidRPr="00601F1F" w:rsidRDefault="00000000">
      <w:pPr>
        <w:pStyle w:val="3"/>
        <w:rPr>
          <w:color w:val="auto"/>
          <w:lang w:eastAsia="ja-JP"/>
        </w:rPr>
      </w:pPr>
      <w:r w:rsidRPr="00601F1F">
        <w:rPr>
          <w:color w:val="auto"/>
          <w:lang w:eastAsia="ja-JP"/>
        </w:rPr>
        <w:t>2-3　先行研究の課題</w:t>
      </w:r>
    </w:p>
    <w:p w14:paraId="735CADA9" w14:textId="77777777" w:rsidR="000A3261" w:rsidRPr="00601F1F" w:rsidRDefault="00000000">
      <w:pPr>
        <w:ind w:firstLine="240"/>
        <w:jc w:val="both"/>
        <w:rPr>
          <w:lang w:eastAsia="ja-JP"/>
        </w:rPr>
      </w:pPr>
      <w:r w:rsidRPr="00601F1F">
        <w:rPr>
          <w:lang w:eastAsia="ja-JP"/>
        </w:rPr>
        <w:t>これらの研究によって日米の実態は詳しく明らかにされてきましたが、課題が三つ残されています。第一に、日米の違いがなぜ生じたのかについての理論的な説明です。第二に、各配送主体を、契約形態や管理の程度といった共通の尺度で比較する枠組みです。第三に、2023年の日本DSPの導入など、その後の変化の反映です。本研究は、これらの課題に、取引費用論と標準化・現地適応論を用いて応えます。</w:t>
      </w:r>
    </w:p>
    <w:p w14:paraId="58B2C090" w14:textId="14E8CB99" w:rsidR="000A3261" w:rsidRDefault="00000000">
      <w:pPr>
        <w:pStyle w:val="2"/>
        <w:rPr>
          <w:lang w:eastAsia="ja-JP"/>
        </w:rPr>
      </w:pPr>
      <w:r>
        <w:rPr>
          <w:lang w:eastAsia="ja-JP"/>
        </w:rPr>
        <w:t>3．第2章 2.2「取引費用論」</w:t>
      </w:r>
      <w:r>
        <w:rPr>
          <w:lang w:eastAsia="ja-JP"/>
        </w:rPr>
      </w:r>
      <w:r>
        <w:rPr>
          <w:lang w:eastAsia="ja-JP"/>
        </w:rPr>
      </w:r>
      <w:r>
        <w:rPr>
          <w:lang w:eastAsia="ja-JP"/>
        </w:rPr>
      </w:r>
      <w:r>
        <w:rPr>
          <w:lang w:eastAsia="ja-JP"/>
        </w:rPr>
      </w:r>
      <w:r>
        <w:rPr>
          <w:lang w:eastAsia="ja-JP"/>
        </w:rPr>
      </w:r>
    </w:p>
    <w:p w14:paraId="5C924B39" w14:textId="41D77989" w:rsidR="000A3261" w:rsidRPr="00601F1F" w:rsidRDefault="00000000">
      <w:pPr>
        <w:pStyle w:val="3"/>
        <w:rPr>
          <w:color w:val="auto"/>
          <w:lang w:eastAsia="ja-JP"/>
        </w:rPr>
      </w:pPr>
      <w:r w:rsidRPr="00601F1F">
        <w:rPr>
          <w:color w:val="auto"/>
          <w:lang w:eastAsia="ja-JP"/>
        </w:rPr>
        <w:t>3-1　基本的な考え方</w:t>
      </w:r>
      <w:r w:rsidRPr="00601F1F">
        <w:rPr>
          <w:color w:val="auto"/>
          <w:lang w:eastAsia="ja-JP"/>
        </w:rPr>
      </w:r>
    </w:p>
    <w:p w14:paraId="735CADA9" w14:textId="77777777" w:rsidR="000A3261" w:rsidRPr="00601F1F" w:rsidRDefault="00000000">
      <w:pPr>
        <w:ind w:firstLine="240"/>
        <w:jc w:val="both"/>
        <w:rPr>
          <w:lang w:eastAsia="ja-JP"/>
        </w:rPr>
      </w:pPr>
      <w:r w:rsidRPr="00601F1F">
        <w:rPr>
          <w:lang w:eastAsia="ja-JP"/>
        </w:rPr>
        <w:t>続いて、2.2「取引費用論」です。</w:t>
      </w:r>
      <w:r w:rsidRPr="00601F1F">
        <w:rPr>
          <w:lang w:eastAsia="ja-JP"/>
        </w:rPr>
      </w:r>
      <w:r w:rsidRPr="00601F1F">
        <w:rPr>
          <w:lang w:eastAsia="ja-JP"/>
        </w:rPr>
      </w:r>
      <w:r w:rsidRPr="00601F1F">
        <w:rPr>
          <w:lang w:eastAsia="ja-JP"/>
        </w:rPr>
      </w:r>
      <w:r w:rsidRPr="00601F1F">
        <w:rPr>
          <w:lang w:eastAsia="ja-JP"/>
        </w:rPr>
      </w:r>
    </w:p>
    <w:p w14:paraId="457F1212" w14:textId="77777777" w:rsidR="000A3261" w:rsidRPr="00601F1F" w:rsidRDefault="00000000">
      <w:pPr>
        <w:ind w:firstLine="240"/>
        <w:jc w:val="both"/>
        <w:rPr>
          <w:lang w:eastAsia="ja-JP"/>
        </w:rPr>
      </w:pPr>
      <w:r w:rsidRPr="00601F1F">
        <w:rPr>
          <w:lang w:eastAsia="ja-JP"/>
        </w:rPr>
        <w:t>取引費用論の出発点は</w:t>
      </w:r>
      <w:r w:rsidRPr="00601F1F">
        <w:rPr>
          <w:lang w:eastAsia="ja-JP"/>
        </w:rPr>
        <w:t>Coase</w:t>
      </w:r>
      <w:r w:rsidRPr="00601F1F">
        <w:rPr>
          <w:lang w:eastAsia="ja-JP"/>
        </w:rPr>
        <w:t>（</w:t>
      </w:r>
      <w:r w:rsidRPr="00601F1F">
        <w:rPr>
          <w:lang w:eastAsia="ja-JP"/>
        </w:rPr>
        <w:t>1937</w:t>
      </w:r>
      <w:r w:rsidRPr="00601F1F">
        <w:rPr>
          <w:lang w:eastAsia="ja-JP"/>
        </w:rPr>
        <w:t>）で、企業が存在する理由を、市場を利用するための費用、つまり取引費用に求めました。</w:t>
      </w:r>
      <w:r w:rsidRPr="00601F1F">
        <w:rPr>
          <w:lang w:eastAsia="ja-JP"/>
        </w:rPr>
        <w:t>Williamson</w:t>
      </w:r>
      <w:r w:rsidRPr="00601F1F">
        <w:rPr>
          <w:lang w:eastAsia="ja-JP"/>
        </w:rPr>
        <w:t>は、この費用が生じる理由を、人間の限定合理性と機会主義に求めました。そして、限定合理性、機会主義、資産特殊性の三つが同時に存在すると、契約だけでは取引を守れないため、取引を管理する仕組み、つまりガバナンスが必要になるとしています。</w:t>
      </w:r>
    </w:p>
    <w:p w14:paraId="36E5291C" w14:textId="40C31B40" w:rsidR="000A3261" w:rsidRPr="00601F1F" w:rsidRDefault="00000000">
      <w:pPr>
        <w:pStyle w:val="3"/>
        <w:rPr>
          <w:color w:val="auto"/>
          <w:lang w:eastAsia="ja-JP"/>
        </w:rPr>
      </w:pPr>
      <w:r w:rsidRPr="00601F1F">
        <w:rPr>
          <w:color w:val="auto"/>
          <w:lang w:eastAsia="ja-JP"/>
        </w:rPr>
        <w:t>3-2　資産特殊性の定義</w:t>
      </w:r>
      <w:r w:rsidRPr="00601F1F">
        <w:rPr>
          <w:color w:val="auto"/>
          <w:lang w:eastAsia="ja-JP"/>
        </w:rPr>
      </w:r>
    </w:p>
    <w:p w14:paraId="1066F895" w14:textId="77777777" w:rsidR="000A3261" w:rsidRPr="00601F1F" w:rsidRDefault="00000000">
      <w:pPr>
        <w:ind w:firstLine="240"/>
        <w:jc w:val="both"/>
        <w:rPr>
          <w:lang w:eastAsia="ja-JP"/>
        </w:rPr>
      </w:pPr>
      <w:r w:rsidRPr="00601F1F">
        <w:rPr>
          <w:lang w:eastAsia="ja-JP"/>
        </w:rPr>
        <w:t>中間発表では、資産特殊性の定義を再検討するようご指摘をいただきました。そこで、</w:t>
      </w:r>
      <w:r w:rsidRPr="00601F1F">
        <w:rPr>
          <w:lang w:eastAsia="ja-JP"/>
        </w:rPr>
        <w:t>Williamson</w:t>
      </w:r>
      <w:r w:rsidRPr="00601F1F">
        <w:rPr>
          <w:lang w:eastAsia="ja-JP"/>
        </w:rPr>
        <w:t>（</w:t>
      </w:r>
      <w:r w:rsidRPr="00601F1F">
        <w:rPr>
          <w:lang w:eastAsia="ja-JP"/>
        </w:rPr>
        <w:t>1991</w:t>
      </w:r>
      <w:r w:rsidRPr="00601F1F">
        <w:rPr>
          <w:lang w:eastAsia="ja-JP"/>
        </w:rPr>
        <w:t>）の定義に立ち返り、資産特殊性を「ある資産を、その生産的価値を損なうことなく、別の用途や別の使用者に転用できる程度」と定義しま</w:t>
      </w:r>
      <w:r w:rsidRPr="00601F1F">
        <w:rPr>
          <w:lang w:eastAsia="ja-JP"/>
        </w:rPr>
        <w:lastRenderedPageBreak/>
        <w:t>した。</w:t>
      </w:r>
    </w:p>
    <w:p w14:paraId="595B24B3" w14:textId="77777777" w:rsidR="000A3261" w:rsidRPr="00601F1F" w:rsidRDefault="00000000">
      <w:pPr>
        <w:ind w:firstLine="240"/>
        <w:jc w:val="both"/>
        <w:rPr>
          <w:lang w:eastAsia="ja-JP"/>
        </w:rPr>
      </w:pPr>
      <w:r w:rsidRPr="00601F1F">
        <w:rPr>
          <w:lang w:eastAsia="ja-JP"/>
        </w:rPr>
        <w:t>ポイントは、資産が汎用的か特殊かという性質だけでは決まらないという点です。</w:t>
      </w:r>
      <w:r w:rsidRPr="00601F1F">
        <w:rPr>
          <w:lang w:eastAsia="ja-JP"/>
        </w:rPr>
        <w:t>Williamson</w:t>
      </w:r>
      <w:r w:rsidRPr="00601F1F">
        <w:rPr>
          <w:lang w:eastAsia="ja-JP"/>
        </w:rPr>
        <w:t>の六類型の一つである「専用資産」は、汎用的な設備でも、特定の顧客のために投資されたものを指します。</w:t>
      </w:r>
    </w:p>
    <w:p w14:paraId="189BC630" w14:textId="77777777" w:rsidR="000A3261" w:rsidRPr="00601F1F" w:rsidRDefault="00000000">
      <w:pPr>
        <w:ind w:firstLine="240"/>
        <w:jc w:val="both"/>
        <w:rPr>
          <w:lang w:eastAsia="ja-JP"/>
        </w:rPr>
      </w:pPr>
      <w:r w:rsidRPr="00601F1F">
        <w:rPr>
          <w:lang w:eastAsia="ja-JP"/>
        </w:rPr>
        <w:t>本研究では、配送事業者が</w:t>
      </w:r>
      <w:r w:rsidRPr="00601F1F">
        <w:rPr>
          <w:lang w:eastAsia="ja-JP"/>
        </w:rPr>
        <w:t>Amazon</w:t>
      </w:r>
      <w:r w:rsidRPr="00601F1F">
        <w:rPr>
          <w:lang w:eastAsia="ja-JP"/>
        </w:rPr>
        <w:t>のために行った投資が、他の荷主との取引でどれだけ価値を失うかという観点から捉えます。例えば米国の</w:t>
      </w:r>
      <w:r w:rsidRPr="00601F1F">
        <w:rPr>
          <w:lang w:eastAsia="ja-JP"/>
        </w:rPr>
        <w:t>DSP</w:t>
      </w:r>
      <w:r w:rsidRPr="00601F1F">
        <w:rPr>
          <w:lang w:eastAsia="ja-JP"/>
        </w:rPr>
        <w:t>は、</w:t>
      </w:r>
      <w:r w:rsidRPr="00601F1F">
        <w:rPr>
          <w:lang w:eastAsia="ja-JP"/>
        </w:rPr>
        <w:t>Amazon</w:t>
      </w:r>
      <w:r w:rsidRPr="00601F1F">
        <w:rPr>
          <w:lang w:eastAsia="ja-JP"/>
        </w:rPr>
        <w:t>のロゴ入り専用車両と制服を用いており、ブランド資本や専用資産に近い性格をもつと考えられます。日本については第</w:t>
      </w:r>
      <w:r w:rsidRPr="00601F1F">
        <w:rPr>
          <w:lang w:eastAsia="ja-JP"/>
        </w:rPr>
        <w:t>5</w:t>
      </w:r>
      <w:r w:rsidRPr="00601F1F">
        <w:rPr>
          <w:lang w:eastAsia="ja-JP"/>
        </w:rPr>
        <w:t>章で検討します。</w:t>
      </w:r>
    </w:p>
    <w:p w14:paraId="2B0EED24" w14:textId="758FAE79" w:rsidR="000A3261" w:rsidRPr="00601F1F" w:rsidRDefault="00000000">
      <w:pPr>
        <w:pStyle w:val="3"/>
        <w:rPr>
          <w:color w:val="auto"/>
          <w:lang w:eastAsia="ja-JP"/>
        </w:rPr>
      </w:pPr>
      <w:r w:rsidRPr="00601F1F">
        <w:rPr>
          <w:color w:val="auto"/>
          <w:lang w:eastAsia="ja-JP"/>
        </w:rPr>
        <w:t>3-3　ガバナンス構造</w:t>
      </w:r>
      <w:r w:rsidRPr="00601F1F">
        <w:rPr>
          <w:color w:val="auto"/>
          <w:lang w:eastAsia="ja-JP"/>
        </w:rPr>
      </w:r>
    </w:p>
    <w:p w14:paraId="76AC3F6A" w14:textId="77777777" w:rsidR="000A3261" w:rsidRPr="00601F1F" w:rsidRDefault="00000000">
      <w:pPr>
        <w:ind w:firstLine="240"/>
        <w:jc w:val="both"/>
        <w:rPr>
          <w:lang w:eastAsia="ja-JP"/>
        </w:rPr>
      </w:pPr>
      <w:r w:rsidRPr="00601F1F">
        <w:rPr>
          <w:lang w:eastAsia="ja-JP"/>
        </w:rPr>
        <w:t>取引費用論では、取引の属性に応じて、取引費用を節約できるガバナンス構造が選ばれると考えます。ガバナンス構造には市場、ハイブリッド、階層組織の三つがあり、その特徴を表</w:t>
      </w:r>
      <w:r w:rsidRPr="00601F1F">
        <w:rPr>
          <w:lang w:eastAsia="ja-JP"/>
        </w:rPr>
        <w:t>2-1</w:t>
      </w:r>
      <w:r w:rsidRPr="00601F1F">
        <w:rPr>
          <w:lang w:eastAsia="ja-JP"/>
        </w:rPr>
        <w:t>に整理しました。資産特殊性が低ければ市場、中程度ならハイブリッド、高ければ階層組織が適するとされます。</w:t>
      </w:r>
    </w:p>
    <w:p w14:paraId="4909AE55" w14:textId="77777777" w:rsidR="000A3261" w:rsidRPr="00601F1F" w:rsidRDefault="00000000">
      <w:pPr>
        <w:ind w:firstLine="240"/>
        <w:jc w:val="both"/>
        <w:rPr>
          <w:lang w:eastAsia="ja-JP"/>
        </w:rPr>
      </w:pPr>
      <w:r w:rsidRPr="00601F1F">
        <w:rPr>
          <w:lang w:eastAsia="ja-JP"/>
        </w:rPr>
        <w:t>本研究にとって特に重要なのは、同じハイブリッドの中にも管理の程度に差があるという点です。</w:t>
      </w:r>
      <w:r w:rsidRPr="00601F1F">
        <w:rPr>
          <w:lang w:eastAsia="ja-JP"/>
        </w:rPr>
        <w:t>Williamson</w:t>
      </w:r>
      <w:r w:rsidRPr="00601F1F">
        <w:rPr>
          <w:lang w:eastAsia="ja-JP"/>
        </w:rPr>
        <w:t>はフランチャイズをハイブリッドの例として挙げ、同じフランチャイズでも統制の強いものと弱いものがあるとしています。</w:t>
      </w:r>
    </w:p>
    <w:p w14:paraId="1371D137" w14:textId="77777777" w:rsidR="000A3261" w:rsidRPr="00601F1F" w:rsidRDefault="00000000">
      <w:pPr>
        <w:ind w:firstLine="240"/>
        <w:jc w:val="both"/>
        <w:rPr>
          <w:lang w:eastAsia="ja-JP"/>
        </w:rPr>
      </w:pPr>
      <w:r w:rsidRPr="00601F1F">
        <w:rPr>
          <w:lang w:eastAsia="ja-JP"/>
        </w:rPr>
        <w:t>米国の</w:t>
      </w:r>
      <w:r w:rsidRPr="00601F1F">
        <w:rPr>
          <w:lang w:eastAsia="ja-JP"/>
        </w:rPr>
        <w:t>DSP</w:t>
      </w:r>
      <w:r w:rsidRPr="00601F1F">
        <w:rPr>
          <w:lang w:eastAsia="ja-JP"/>
        </w:rPr>
        <w:t>も日本の</w:t>
      </w:r>
      <w:r w:rsidRPr="00601F1F">
        <w:rPr>
          <w:lang w:eastAsia="ja-JP"/>
        </w:rPr>
        <w:t>ADP</w:t>
      </w:r>
      <w:r w:rsidRPr="00601F1F">
        <w:rPr>
          <w:lang w:eastAsia="ja-JP"/>
        </w:rPr>
        <w:t>も、</w:t>
      </w:r>
      <w:r w:rsidRPr="00601F1F">
        <w:rPr>
          <w:lang w:eastAsia="ja-JP"/>
        </w:rPr>
        <w:t>Amazon</w:t>
      </w:r>
      <w:r w:rsidRPr="00601F1F">
        <w:rPr>
          <w:lang w:eastAsia="ja-JP"/>
        </w:rPr>
        <w:t>の社員でも一回限りの取引相手でもないという意味でハイブリッドに位置づけられ、両者の違いは管理の程度の違いとして捉えられると考えています。</w:t>
      </w:r>
    </w:p>
    <w:p w14:paraId="1073F8C2" w14:textId="242558D7" w:rsidR="000A3261" w:rsidRPr="00601F1F" w:rsidRDefault="00000000">
      <w:pPr>
        <w:pStyle w:val="3"/>
        <w:rPr>
          <w:color w:val="auto"/>
          <w:lang w:eastAsia="ja-JP"/>
        </w:rPr>
      </w:pPr>
      <w:r w:rsidRPr="00601F1F">
        <w:rPr>
          <w:color w:val="auto"/>
          <w:lang w:eastAsia="ja-JP"/>
        </w:rPr>
        <w:t>3-4　制度的環境</w:t>
      </w:r>
      <w:r w:rsidRPr="00601F1F">
        <w:rPr>
          <w:color w:val="auto"/>
          <w:lang w:eastAsia="ja-JP"/>
        </w:rPr>
      </w:r>
    </w:p>
    <w:p w14:paraId="4C1AF2C8" w14:textId="77777777" w:rsidR="000A3261" w:rsidRPr="00601F1F" w:rsidRDefault="00000000">
      <w:pPr>
        <w:ind w:firstLine="240"/>
        <w:jc w:val="both"/>
        <w:rPr>
          <w:lang w:eastAsia="ja-JP"/>
        </w:rPr>
      </w:pPr>
      <w:r w:rsidRPr="00601F1F">
        <w:rPr>
          <w:lang w:eastAsia="ja-JP"/>
        </w:rPr>
        <w:t>最後に、</w:t>
      </w:r>
      <w:r w:rsidRPr="00601F1F">
        <w:rPr>
          <w:lang w:eastAsia="ja-JP"/>
        </w:rPr>
        <w:t>Williamson</w:t>
      </w:r>
      <w:r w:rsidRPr="00601F1F">
        <w:rPr>
          <w:lang w:eastAsia="ja-JP"/>
        </w:rPr>
        <w:t>（</w:t>
      </w:r>
      <w:r w:rsidRPr="00601F1F">
        <w:rPr>
          <w:lang w:eastAsia="ja-JP"/>
        </w:rPr>
        <w:t>1991</w:t>
      </w:r>
      <w:r w:rsidRPr="00601F1F">
        <w:rPr>
          <w:lang w:eastAsia="ja-JP"/>
        </w:rPr>
        <w:t>）は、法律や規則などの制度的環境を、統治コストを変化させるパラメータと位置づけ、隣り合う形態への移行は比較的小さな変化でも起こりうるとしています。これは、日本での</w:t>
      </w:r>
      <w:r w:rsidRPr="00601F1F">
        <w:rPr>
          <w:lang w:eastAsia="ja-JP"/>
        </w:rPr>
        <w:t>2023</w:t>
      </w:r>
      <w:r w:rsidRPr="00601F1F">
        <w:rPr>
          <w:lang w:eastAsia="ja-JP"/>
        </w:rPr>
        <w:t>年の</w:t>
      </w:r>
      <w:r w:rsidRPr="00601F1F">
        <w:rPr>
          <w:lang w:eastAsia="ja-JP"/>
        </w:rPr>
        <w:t>DSP</w:t>
      </w:r>
      <w:r w:rsidRPr="00601F1F">
        <w:rPr>
          <w:lang w:eastAsia="ja-JP"/>
        </w:rPr>
        <w:t>導入を、環境変化にともなう段階的な移行として捉える手がかりになると考えています。</w:t>
      </w:r>
    </w:p>
    <w:p w14:paraId="40E0C75C" w14:textId="77777777" w:rsidR="000A3261" w:rsidRPr="00601F1F" w:rsidRDefault="00000000">
      <w:pPr>
        <w:ind w:firstLine="240"/>
        <w:jc w:val="both"/>
        <w:rPr>
          <w:lang w:eastAsia="ja-JP"/>
        </w:rPr>
      </w:pPr>
      <w:r w:rsidRPr="00601F1F">
        <w:rPr>
          <w:lang w:eastAsia="ja-JP"/>
        </w:rPr>
        <w:t>ただし、取引費用論は、多国籍企業が本国の仕組みを他国でどの程度共通化し、どの程度現地に適応させるかを主な対象とはしていません。そのため次の</w:t>
      </w:r>
      <w:r w:rsidRPr="00601F1F">
        <w:rPr>
          <w:lang w:eastAsia="ja-JP"/>
        </w:rPr>
        <w:t>2.3</w:t>
      </w:r>
      <w:r w:rsidRPr="00601F1F">
        <w:rPr>
          <w:lang w:eastAsia="ja-JP"/>
        </w:rPr>
        <w:t>で、標準化・現地適応論を検討する予定です。</w:t>
      </w:r>
    </w:p>
    <w:p w14:paraId="0A4CF30F" w14:textId="47CDE47B" w:rsidR="000A3261" w:rsidRPr="00601F1F" w:rsidRDefault="00000000">
      <w:pPr>
        <w:pStyle w:val="2"/>
        <w:rPr>
          <w:lang w:eastAsia="ja-JP"/>
        </w:rPr>
      </w:pPr>
      <w:r w:rsidRPr="00601F1F">
        <w:rPr>
          <w:lang w:eastAsia="ja-JP"/>
        </w:rPr>
        <w:t>4．今後の予定</w:t>
      </w:r>
      <w:r w:rsidRPr="00601F1F">
        <w:rPr>
          <w:lang w:eastAsia="ja-JP"/>
        </w:rPr>
      </w:r>
    </w:p>
    <w:p w14:paraId="75987757" w14:textId="1AA626C6" w:rsidR="000A3261" w:rsidRDefault="00000000" w:rsidP="00601F1F">
      <w:pPr>
        <w:ind w:firstLine="240"/>
        <w:jc w:val="both"/>
        <w:rPr>
          <w:lang w:eastAsia="ja-JP"/>
        </w:rPr>
      </w:pPr>
      <w:r w:rsidRPr="00601F1F">
        <w:rPr>
          <w:lang w:eastAsia="ja-JP"/>
        </w:rPr>
        <w:t>今後は、第2章の残りである2.3の標準化・現地適応論と2.4の分析枠組みを執筆します。</w:t>
      </w:r>
      <w:r w:rsidRPr="00601F1F">
        <w:rPr>
          <w:lang w:eastAsia="ja-JP"/>
        </w:rPr>
      </w:r>
      <w:r w:rsidRPr="00601F1F">
        <w:rPr>
          <w:lang w:eastAsia="ja-JP"/>
        </w:rPr>
      </w:r>
      <w:r w:rsidRPr="00601F1F">
        <w:rPr>
          <w:lang w:eastAsia="ja-JP"/>
        </w:rPr>
      </w:r>
      <w:r w:rsidRPr="00601F1F">
        <w:rPr>
          <w:lang w:eastAsia="ja-JP"/>
        </w:rPr>
      </w:r>
      <w:r w:rsidRPr="00601F1F">
        <w:rPr>
          <w:lang w:eastAsia="ja-JP"/>
        </w:rPr>
      </w:r>
      <w:r w:rsidRPr="00601F1F">
        <w:rPr>
          <w:lang w:eastAsia="ja-JP"/>
        </w:rPr>
      </w:r>
      <w:r w:rsidRPr="00601F1F">
        <w:rPr>
          <w:lang w:eastAsia="ja-JP"/>
        </w:rPr>
      </w:r>
      <w:r w:rsidRPr="00601F1F">
        <w:rPr>
          <w:lang w:eastAsia="ja-JP"/>
        </w:rPr>
        <w:t>また、中間発表でご指摘いただいた日米物流の歴史的変遷と、違いが生じた原因については、第</w:t>
      </w:r>
      <w:r w:rsidRPr="00601F1F">
        <w:rPr>
          <w:lang w:eastAsia="ja-JP"/>
        </w:rPr>
        <w:t>3</w:t>
      </w:r>
      <w:r w:rsidRPr="00601F1F">
        <w:rPr>
          <w:lang w:eastAsia="ja-JP"/>
        </w:rPr>
        <w:t>章で宅配市場の歴史的展開や制度、担い手の状況から整理する予定です。</w:t>
      </w:r>
    </w:p>
    <w:sectPr w:rsidR="000A3261">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DDE2" w14:textId="77777777" w:rsidR="00B33827" w:rsidRDefault="00B33827">
      <w:pPr>
        <w:spacing w:line="240" w:lineRule="auto"/>
      </w:pPr>
      <w:r>
        <w:separator/>
      </w:r>
    </w:p>
  </w:endnote>
  <w:endnote w:type="continuationSeparator" w:id="0">
    <w:p w14:paraId="7BBC1EFB" w14:textId="77777777" w:rsidR="00B33827" w:rsidRDefault="00B338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Yu Mincho">
    <w:panose1 w:val="02020400000000000000"/>
    <w:charset w:val="80"/>
    <w:family w:val="roman"/>
    <w:pitch w:val="variable"/>
    <w:sig w:usb0="800002E7" w:usb1="2AC7FCFF" w:usb2="00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20C0D" w14:textId="77777777" w:rsidR="000A3261" w:rsidRDefault="00000000">
    <w:pPr>
      <w:jc w:val="center"/>
    </w:pPr>
    <w:r>
      <w:fldChar w:fldCharType="begin"/>
    </w:r>
    <w:r>
      <w:instrText>PAGE</w:instrText>
    </w:r>
    <w:r>
      <w:fldChar w:fldCharType="separate"/>
    </w:r>
    <w:r w:rsidR="00C3331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EE47B" w14:textId="77777777" w:rsidR="00B33827" w:rsidRDefault="00B33827">
      <w:pPr>
        <w:spacing w:line="240" w:lineRule="auto"/>
      </w:pPr>
      <w:r>
        <w:separator/>
      </w:r>
    </w:p>
  </w:footnote>
  <w:footnote w:type="continuationSeparator" w:id="0">
    <w:p w14:paraId="19E9E5CF" w14:textId="77777777" w:rsidR="00B33827" w:rsidRDefault="00B3382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F62930"/>
    <w:multiLevelType w:val="hybridMultilevel"/>
    <w:tmpl w:val="F99EA594"/>
    <w:lvl w:ilvl="0" w:tplc="A33A6590">
      <w:start w:val="1"/>
      <w:numFmt w:val="bullet"/>
      <w:lvlText w:val="●"/>
      <w:lvlJc w:val="left"/>
      <w:pPr>
        <w:ind w:left="720" w:hanging="360"/>
      </w:pPr>
    </w:lvl>
    <w:lvl w:ilvl="1" w:tplc="A398A2B0">
      <w:start w:val="1"/>
      <w:numFmt w:val="bullet"/>
      <w:lvlText w:val="○"/>
      <w:lvlJc w:val="left"/>
      <w:pPr>
        <w:ind w:left="1440" w:hanging="360"/>
      </w:pPr>
    </w:lvl>
    <w:lvl w:ilvl="2" w:tplc="D688DF50">
      <w:start w:val="1"/>
      <w:numFmt w:val="bullet"/>
      <w:lvlText w:val="■"/>
      <w:lvlJc w:val="left"/>
      <w:pPr>
        <w:ind w:left="2160" w:hanging="360"/>
      </w:pPr>
    </w:lvl>
    <w:lvl w:ilvl="3" w:tplc="7D882AC8">
      <w:start w:val="1"/>
      <w:numFmt w:val="bullet"/>
      <w:lvlText w:val="●"/>
      <w:lvlJc w:val="left"/>
      <w:pPr>
        <w:ind w:left="2880" w:hanging="360"/>
      </w:pPr>
    </w:lvl>
    <w:lvl w:ilvl="4" w:tplc="7FB6E578">
      <w:start w:val="1"/>
      <w:numFmt w:val="bullet"/>
      <w:lvlText w:val="○"/>
      <w:lvlJc w:val="left"/>
      <w:pPr>
        <w:ind w:left="3600" w:hanging="360"/>
      </w:pPr>
    </w:lvl>
    <w:lvl w:ilvl="5" w:tplc="B7444656">
      <w:start w:val="1"/>
      <w:numFmt w:val="bullet"/>
      <w:lvlText w:val="■"/>
      <w:lvlJc w:val="left"/>
      <w:pPr>
        <w:ind w:left="4320" w:hanging="360"/>
      </w:pPr>
    </w:lvl>
    <w:lvl w:ilvl="6" w:tplc="C6C895D0">
      <w:start w:val="1"/>
      <w:numFmt w:val="bullet"/>
      <w:lvlText w:val="●"/>
      <w:lvlJc w:val="left"/>
      <w:pPr>
        <w:ind w:left="5040" w:hanging="360"/>
      </w:pPr>
    </w:lvl>
    <w:lvl w:ilvl="7" w:tplc="CA36F90C">
      <w:start w:val="1"/>
      <w:numFmt w:val="bullet"/>
      <w:lvlText w:val="●"/>
      <w:lvlJc w:val="left"/>
      <w:pPr>
        <w:ind w:left="5760" w:hanging="360"/>
      </w:pPr>
    </w:lvl>
    <w:lvl w:ilvl="8" w:tplc="D174F05C">
      <w:start w:val="1"/>
      <w:numFmt w:val="bullet"/>
      <w:lvlText w:val="●"/>
      <w:lvlJc w:val="left"/>
      <w:pPr>
        <w:ind w:left="6480" w:hanging="360"/>
      </w:pPr>
    </w:lvl>
  </w:abstractNum>
  <w:num w:numId="1" w16cid:durableId="15869205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261"/>
    <w:rsid w:val="000A3261"/>
    <w:rsid w:val="00147095"/>
    <w:rsid w:val="005B4D64"/>
    <w:rsid w:val="00601F1F"/>
    <w:rsid w:val="00972D29"/>
    <w:rsid w:val="00B33827"/>
    <w:rsid w:val="00BB2A07"/>
    <w:rsid w:val="00BD2D76"/>
    <w:rsid w:val="00C333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20BEC"/>
  <w15:docId w15:val="{AB5D39CD-E22B-4AE8-8C53-F34924A44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sz w:val="24"/>
        <w:szCs w:val="24"/>
        <w:lang w:val="en-US" w:eastAsia="zh-CN" w:bidi="ar-SA"/>
      </w:rPr>
    </w:rPrDefault>
    <w:pPrDefault>
      <w:pPr>
        <w:spacing w:line="4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after="120"/>
      <w:jc w:val="center"/>
      <w:outlineLvl w:val="0"/>
    </w:pPr>
    <w:rPr>
      <w:rFonts w:ascii="Arial" w:eastAsia="MS Gothic" w:hAnsi="Arial"/>
      <w:b/>
      <w:bCs/>
      <w:sz w:val="32"/>
      <w:szCs w:val="32"/>
    </w:rPr>
  </w:style>
  <w:style w:type="paragraph" w:styleId="2">
    <w:name w:val="heading 2"/>
    <w:uiPriority w:val="9"/>
    <w:unhideWhenUsed/>
    <w:qFormat/>
    <w:pPr>
      <w:keepNext/>
      <w:spacing w:before="360" w:after="120"/>
      <w:outlineLvl w:val="1"/>
    </w:pPr>
    <w:rPr>
      <w:rFonts w:ascii="Arial" w:eastAsia="MS Gothic" w:hAnsi="Arial"/>
      <w:b/>
      <w:bCs/>
      <w:sz w:val="26"/>
      <w:szCs w:val="26"/>
    </w:rPr>
  </w:style>
  <w:style w:type="paragraph" w:styleId="3">
    <w:name w:val="heading 3"/>
    <w:uiPriority w:val="9"/>
    <w:unhideWhenUsed/>
    <w:qFormat/>
    <w:pPr>
      <w:keepNext/>
      <w:spacing w:before="240" w:after="60"/>
      <w:outlineLvl w:val="2"/>
    </w:pPr>
    <w:rPr>
      <w:rFonts w:ascii="Arial" w:eastAsia="MS Gothic" w:hAnsi="Arial"/>
      <w:b/>
      <w:bCs/>
      <w:color w:val="1F4E79"/>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972D29"/>
    <w:pPr>
      <w:tabs>
        <w:tab w:val="center" w:pos="4153"/>
        <w:tab w:val="right" w:pos="8306"/>
      </w:tabs>
      <w:snapToGrid w:val="0"/>
      <w:spacing w:line="240" w:lineRule="atLeast"/>
      <w:jc w:val="center"/>
    </w:pPr>
    <w:rPr>
      <w:sz w:val="18"/>
      <w:szCs w:val="18"/>
    </w:rPr>
  </w:style>
  <w:style w:type="character" w:customStyle="1" w:styleId="ad">
    <w:name w:val="页眉 字符"/>
    <w:basedOn w:val="a0"/>
    <w:link w:val="ac"/>
    <w:uiPriority w:val="99"/>
    <w:rsid w:val="00972D29"/>
    <w:rPr>
      <w:sz w:val="18"/>
      <w:szCs w:val="18"/>
    </w:rPr>
  </w:style>
  <w:style w:type="paragraph" w:styleId="ae">
    <w:name w:val="footer"/>
    <w:basedOn w:val="a"/>
    <w:link w:val="af"/>
    <w:uiPriority w:val="99"/>
    <w:unhideWhenUsed/>
    <w:rsid w:val="00972D29"/>
    <w:pPr>
      <w:tabs>
        <w:tab w:val="center" w:pos="4153"/>
        <w:tab w:val="right" w:pos="8306"/>
      </w:tabs>
      <w:snapToGrid w:val="0"/>
      <w:spacing w:line="240" w:lineRule="atLeast"/>
    </w:pPr>
    <w:rPr>
      <w:sz w:val="18"/>
      <w:szCs w:val="18"/>
    </w:rPr>
  </w:style>
  <w:style w:type="character" w:customStyle="1" w:styleId="af">
    <w:name w:val="页脚 字符"/>
    <w:basedOn w:val="a0"/>
    <w:link w:val="ae"/>
    <w:uiPriority w:val="99"/>
    <w:rsid w:val="00972D2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424</Words>
  <Characters>2419</Characters>
  <Application>Microsoft Office Word</Application>
  <DocSecurity>0</DocSecurity>
  <Lines>20</Lines>
  <Paragraphs>5</Paragraphs>
  <ScaleCrop>false</ScaleCrop>
  <Company/>
  <LinksUpToDate>false</LinksUpToDate>
  <CharactersWithSpaces>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baiqing xin</cp:lastModifiedBy>
  <cp:revision>9</cp:revision>
  <dcterms:created xsi:type="dcterms:W3CDTF">2026-10-17T16:40:00Z</dcterms:created>
  <dcterms:modified xsi:type="dcterms:W3CDTF">2026-10-18T09:29:00Z</dcterms:modified>
</cp:coreProperties>
</file>