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Rule="exact" w:line="360"/>
        <w:ind w:firstLine="0" w:left="0"/>
        <w:jc w:val="center"/>
      </w:pPr>
      <w:r>
        <w:rPr>
          <w:rFonts w:ascii="Century" w:hAnsi="Century" w:eastAsia="ＭＳ 明朝"/>
          <w:b/>
          <w:sz w:val="28"/>
        </w:rPr>
        <w:t>アマゾンのラストマイル配送における共通化と現地適応</w:t>
      </w:r>
    </w:p>
    <w:p>
      <w:pPr>
        <w:spacing w:lineRule="exact" w:line="360"/>
        <w:ind w:firstLine="0" w:left="0"/>
        <w:jc w:val="center"/>
      </w:pPr>
      <w:r>
        <w:rPr>
          <w:rFonts w:ascii="Century" w:hAnsi="Century" w:eastAsia="ＭＳ 明朝"/>
          <w:b/>
          <w:sz w:val="28"/>
        </w:rPr>
        <w:t>―日米比較を通じて―</w:t>
      </w:r>
    </w:p>
    <w:p>
      <w:pPr>
        <w:spacing w:lineRule="exact" w:line="360"/>
        <w:ind w:firstLine="0" w:left="0"/>
      </w:pPr>
    </w:p>
    <w:p>
      <w:pPr>
        <w:spacing w:lineRule="exact" w:line="360"/>
        <w:ind w:firstLine="0" w:left="0"/>
        <w:jc w:val="center"/>
      </w:pPr>
      <w:r>
        <w:rPr>
          <w:rFonts w:ascii="Century" w:hAnsi="Century" w:eastAsia="ＭＳ 明朝"/>
          <w:b/>
          <w:sz w:val="28"/>
        </w:rPr>
        <w:t>目次</w:t>
      </w:r>
    </w:p>
    <w:p>
      <w:pPr>
        <w:spacing w:lineRule="exact" w:line="360"/>
        <w:ind w:firstLine="0" w:left="0"/>
      </w:pPr>
    </w:p>
    <w:p>
      <w:pPr>
        <w:spacing w:lineRule="exact" w:line="360"/>
        <w:ind w:firstLine="0" w:left="0"/>
      </w:pPr>
      <w:r>
        <w:rPr>
          <w:rFonts w:ascii="Century" w:hAnsi="Century" w:eastAsia="ＭＳ 明朝"/>
          <w:b/>
          <w:sz w:val="24"/>
        </w:rPr>
        <w:t>第1章　序論</w:t>
      </w:r>
    </w:p>
    <w:p>
      <w:pPr>
        <w:spacing w:lineRule="exact" w:line="360"/>
        <w:ind w:firstLine="0" w:left="240"/>
      </w:pPr>
      <w:r>
        <w:rPr>
          <w:rFonts w:ascii="Century" w:hAnsi="Century" w:eastAsia="ＭＳ 明朝"/>
          <w:b w:val="0"/>
          <w:sz w:val="24"/>
        </w:rPr>
        <w:t>1.1　研究の背景</w:t>
      </w:r>
    </w:p>
    <w:p>
      <w:pPr>
        <w:spacing w:lineRule="exact" w:line="360"/>
        <w:ind w:firstLine="0" w:left="480"/>
      </w:pPr>
      <w:r>
        <w:rPr>
          <w:rFonts w:ascii="Century" w:hAnsi="Century" w:eastAsia="ＭＳ 明朝"/>
          <w:b w:val="0"/>
          <w:sz w:val="24"/>
        </w:rPr>
        <w:t>1.1.1　EC市場の拡大とフルフィルメントの重要性</w:t>
      </w:r>
    </w:p>
    <w:p>
      <w:pPr>
        <w:spacing w:lineRule="exact" w:line="360"/>
        <w:ind w:firstLine="0" w:left="480"/>
      </w:pPr>
      <w:r>
        <w:rPr>
          <w:rFonts w:ascii="Century" w:hAnsi="Century" w:eastAsia="ＭＳ 明朝"/>
          <w:b w:val="0"/>
          <w:sz w:val="24"/>
        </w:rPr>
        <w:t>1.1.2　ラストマイル配送の位置づけ</w:t>
      </w:r>
    </w:p>
    <w:p>
      <w:pPr>
        <w:spacing w:lineRule="exact" w:line="360"/>
        <w:ind w:firstLine="0" w:left="480"/>
      </w:pPr>
      <w:r>
        <w:rPr>
          <w:rFonts w:ascii="Century" w:hAnsi="Century" w:eastAsia="ＭＳ 明朝"/>
          <w:b w:val="0"/>
          <w:sz w:val="24"/>
        </w:rPr>
        <w:t>1.1.3　Amazonによる自社配送体制の構築</w:t>
      </w:r>
    </w:p>
    <w:p>
      <w:pPr>
        <w:spacing w:lineRule="exact" w:line="360"/>
        <w:ind w:firstLine="0" w:left="240"/>
      </w:pPr>
      <w:r>
        <w:rPr>
          <w:rFonts w:ascii="Century" w:hAnsi="Century" w:eastAsia="ＭＳ 明朝"/>
          <w:b w:val="0"/>
          <w:sz w:val="24"/>
        </w:rPr>
        <w:t>1.2　問題意識</w:t>
      </w:r>
    </w:p>
    <w:p>
      <w:pPr>
        <w:spacing w:lineRule="exact" w:line="360"/>
        <w:ind w:firstLine="0" w:left="240"/>
      </w:pPr>
      <w:r>
        <w:rPr>
          <w:rFonts w:ascii="Century" w:hAnsi="Century" w:eastAsia="ＭＳ 明朝"/>
          <w:b w:val="0"/>
          <w:sz w:val="24"/>
        </w:rPr>
        <w:t>1.3　研究目的と研究課題</w:t>
      </w:r>
    </w:p>
    <w:p>
      <w:pPr>
        <w:spacing w:lineRule="exact" w:line="360"/>
        <w:ind w:firstLine="0" w:left="240"/>
      </w:pPr>
      <w:r>
        <w:rPr>
          <w:rFonts w:ascii="Century" w:hAnsi="Century" w:eastAsia="ＭＳ 明朝"/>
          <w:b w:val="0"/>
          <w:sz w:val="24"/>
        </w:rPr>
        <w:t>1.4　研究の対象と範囲</w:t>
      </w:r>
    </w:p>
    <w:p>
      <w:pPr>
        <w:spacing w:lineRule="exact" w:line="360"/>
        <w:ind w:firstLine="0" w:left="240"/>
      </w:pPr>
      <w:r>
        <w:rPr>
          <w:rFonts w:ascii="Century" w:hAnsi="Century" w:eastAsia="ＭＳ 明朝"/>
          <w:b w:val="0"/>
          <w:sz w:val="24"/>
        </w:rPr>
        <w:t>1.5　研究方法</w:t>
      </w:r>
    </w:p>
    <w:p>
      <w:pPr>
        <w:spacing w:lineRule="exact" w:line="360"/>
        <w:ind w:firstLine="0" w:left="240"/>
      </w:pPr>
      <w:r>
        <w:rPr>
          <w:rFonts w:ascii="Century" w:hAnsi="Century" w:eastAsia="ＭＳ 明朝"/>
          <w:b w:val="0"/>
          <w:sz w:val="24"/>
        </w:rPr>
        <w:t>1.6　研究の意義</w:t>
      </w:r>
    </w:p>
    <w:p>
      <w:pPr>
        <w:spacing w:lineRule="exact" w:line="360"/>
        <w:ind w:firstLine="0" w:left="240"/>
      </w:pPr>
      <w:r>
        <w:rPr>
          <w:rFonts w:ascii="Century" w:hAnsi="Century" w:eastAsia="ＭＳ 明朝"/>
          <w:b w:val="0"/>
          <w:sz w:val="24"/>
        </w:rPr>
        <w:t>1.7　論文の構成</w:t>
      </w:r>
    </w:p>
    <w:p>
      <w:pPr>
        <w:spacing w:lineRule="exact" w:line="360"/>
        <w:ind w:firstLine="0" w:left="0"/>
      </w:pPr>
      <w:r>
        <w:rPr>
          <w:rFonts w:ascii="Century" w:hAnsi="Century" w:eastAsia="ＭＳ 明朝"/>
          <w:b/>
          <w:sz w:val="24"/>
        </w:rPr>
        <w:t>第2章　先行研究と分析枠組み</w:t>
      </w:r>
    </w:p>
    <w:p>
      <w:pPr>
        <w:spacing w:lineRule="exact" w:line="360"/>
        <w:ind w:firstLine="0" w:left="240"/>
      </w:pPr>
      <w:r>
        <w:rPr>
          <w:rFonts w:ascii="Century" w:hAnsi="Century" w:eastAsia="ＭＳ 明朝"/>
          <w:b w:val="0"/>
          <w:sz w:val="24"/>
        </w:rPr>
        <w:t>2.1　ラストマイル配送とAmazonの配送体制に関する先行研究</w:t>
      </w:r>
    </w:p>
    <w:p>
      <w:pPr>
        <w:spacing w:lineRule="exact" w:line="360"/>
        <w:ind w:firstLine="0" w:left="480"/>
      </w:pPr>
      <w:r>
        <w:rPr>
          <w:rFonts w:ascii="Century" w:hAnsi="Century" w:eastAsia="ＭＳ 明朝"/>
          <w:b w:val="0"/>
          <w:sz w:val="24"/>
        </w:rPr>
        <w:t>2.1.1　ラストマイル配送に関する研究</w:t>
      </w:r>
    </w:p>
    <w:p>
      <w:pPr>
        <w:spacing w:lineRule="exact" w:line="360"/>
        <w:ind w:firstLine="0" w:left="480"/>
      </w:pPr>
      <w:r>
        <w:rPr>
          <w:rFonts w:ascii="Century" w:hAnsi="Century" w:eastAsia="ＭＳ 明朝"/>
          <w:b w:val="0"/>
          <w:sz w:val="24"/>
        </w:rPr>
        <w:t>2.1.2　Amazonの配送体制に関する研究</w:t>
      </w:r>
    </w:p>
    <w:p>
      <w:pPr>
        <w:spacing w:lineRule="exact" w:line="360"/>
        <w:ind w:firstLine="0" w:left="480"/>
      </w:pPr>
      <w:r>
        <w:rPr>
          <w:rFonts w:ascii="Century" w:hAnsi="Century" w:eastAsia="ＭＳ 明朝"/>
          <w:b w:val="0"/>
          <w:sz w:val="24"/>
        </w:rPr>
        <w:t>2.1.3　先行研究の到達点と課題</w:t>
      </w:r>
    </w:p>
    <w:p>
      <w:pPr>
        <w:spacing w:lineRule="exact" w:line="360"/>
        <w:ind w:firstLine="0" w:left="240"/>
      </w:pPr>
      <w:r>
        <w:rPr>
          <w:rFonts w:ascii="Century" w:hAnsi="Century" w:eastAsia="ＭＳ 明朝"/>
          <w:b w:val="0"/>
          <w:sz w:val="24"/>
        </w:rPr>
        <w:t>2.2　取引費用論</w:t>
      </w:r>
    </w:p>
    <w:p>
      <w:pPr>
        <w:spacing w:lineRule="exact" w:line="360"/>
        <w:ind w:firstLine="0" w:left="480"/>
      </w:pPr>
      <w:r>
        <w:rPr>
          <w:rFonts w:ascii="Century" w:hAnsi="Century" w:eastAsia="ＭＳ 明朝"/>
          <w:b w:val="0"/>
          <w:sz w:val="24"/>
        </w:rPr>
        <w:t>2.2.1　取引費用論の基本的な考え方</w:t>
      </w:r>
    </w:p>
    <w:p>
      <w:pPr>
        <w:spacing w:lineRule="exact" w:line="360"/>
        <w:ind w:firstLine="0" w:left="480"/>
      </w:pPr>
      <w:r>
        <w:rPr>
          <w:rFonts w:ascii="Century" w:hAnsi="Century" w:eastAsia="ＭＳ 明朝"/>
          <w:b w:val="0"/>
          <w:sz w:val="24"/>
        </w:rPr>
        <w:t>2.2.2　取引の属性と資産特殊性</w:t>
      </w:r>
    </w:p>
    <w:p>
      <w:pPr>
        <w:spacing w:lineRule="exact" w:line="360"/>
        <w:ind w:firstLine="0" w:left="480"/>
      </w:pPr>
      <w:r>
        <w:rPr>
          <w:rFonts w:ascii="Century" w:hAnsi="Century" w:eastAsia="ＭＳ 明朝"/>
          <w:b w:val="0"/>
          <w:sz w:val="24"/>
        </w:rPr>
        <w:t>2.2.3　ガバナンス構造と識別的整合</w:t>
      </w:r>
    </w:p>
    <w:p>
      <w:pPr>
        <w:spacing w:lineRule="exact" w:line="360"/>
        <w:ind w:firstLine="0" w:left="480"/>
      </w:pPr>
      <w:r>
        <w:rPr>
          <w:rFonts w:ascii="Century" w:hAnsi="Century" w:eastAsia="ＭＳ 明朝"/>
          <w:b w:val="0"/>
          <w:sz w:val="24"/>
        </w:rPr>
        <w:t>2.2.4　制度的環境と統治コスト</w:t>
      </w:r>
    </w:p>
    <w:p>
      <w:pPr>
        <w:spacing w:lineRule="exact" w:line="360"/>
        <w:ind w:firstLine="0" w:left="240"/>
      </w:pPr>
      <w:r>
        <w:rPr>
          <w:rFonts w:ascii="Century" w:hAnsi="Century" w:eastAsia="ＭＳ 明朝"/>
          <w:b w:val="0"/>
          <w:sz w:val="24"/>
        </w:rPr>
        <w:t>2.3　標準化・現地適応論 ※</w:t>
      </w:r>
    </w:p>
    <w:p>
      <w:pPr>
        <w:spacing w:lineRule="exact" w:line="360"/>
        <w:ind w:firstLine="0" w:left="240"/>
      </w:pPr>
      <w:r>
        <w:rPr>
          <w:rFonts w:ascii="Century" w:hAnsi="Century" w:eastAsia="ＭＳ 明朝"/>
          <w:b w:val="0"/>
          <w:sz w:val="24"/>
        </w:rPr>
        <w:t>2.4　本研究の分析枠組み ※</w:t>
      </w:r>
    </w:p>
    <w:p>
      <w:pPr>
        <w:spacing w:lineRule="exact" w:line="360"/>
        <w:ind w:firstLine="0" w:left="240"/>
      </w:pPr>
      <w:r>
        <w:rPr>
          <w:rFonts w:ascii="Century" w:hAnsi="Century" w:eastAsia="ＭＳ 明朝"/>
          <w:b w:val="0"/>
          <w:sz w:val="24"/>
        </w:rPr>
        <w:t>2.5　小括 ※</w:t>
      </w:r>
    </w:p>
    <w:p>
      <w:pPr>
        <w:spacing w:lineRule="exact" w:line="360"/>
        <w:ind w:firstLine="0" w:left="0"/>
      </w:pPr>
      <w:r>
        <w:rPr>
          <w:rFonts w:ascii="Century" w:hAnsi="Century" w:eastAsia="ＭＳ 明朝"/>
          <w:b/>
          <w:sz w:val="24"/>
        </w:rPr>
        <w:t>第3章　日米における宅配市場の展開と物流環境 ※</w:t>
      </w:r>
    </w:p>
    <w:p>
      <w:pPr>
        <w:spacing w:lineRule="exact" w:line="360"/>
        <w:ind w:firstLine="0" w:left="240"/>
      </w:pPr>
      <w:r>
        <w:rPr>
          <w:rFonts w:ascii="Century" w:hAnsi="Century" w:eastAsia="ＭＳ 明朝"/>
          <w:b w:val="0"/>
          <w:sz w:val="24"/>
        </w:rPr>
        <w:t>3.1　米国における宅配市場の展開</w:t>
      </w:r>
    </w:p>
    <w:p>
      <w:pPr>
        <w:spacing w:lineRule="exact" w:line="360"/>
        <w:ind w:firstLine="0" w:left="240"/>
      </w:pPr>
      <w:r>
        <w:rPr>
          <w:rFonts w:ascii="Century" w:hAnsi="Century" w:eastAsia="ＭＳ 明朝"/>
          <w:b w:val="0"/>
          <w:sz w:val="24"/>
        </w:rPr>
        <w:t>3.2　日本における宅配市場の展開</w:t>
      </w:r>
    </w:p>
    <w:p>
      <w:pPr>
        <w:spacing w:lineRule="exact" w:line="360"/>
        <w:ind w:firstLine="0" w:left="240"/>
      </w:pPr>
      <w:r>
        <w:rPr>
          <w:rFonts w:ascii="Century" w:hAnsi="Century" w:eastAsia="ＭＳ 明朝"/>
          <w:b w:val="0"/>
          <w:sz w:val="24"/>
        </w:rPr>
        <w:t>3.3　配送の担い手と労働力</w:t>
      </w:r>
    </w:p>
    <w:p>
      <w:pPr>
        <w:spacing w:lineRule="exact" w:line="360"/>
        <w:ind w:firstLine="0" w:left="240"/>
      </w:pPr>
      <w:r>
        <w:rPr>
          <w:rFonts w:ascii="Century" w:hAnsi="Century" w:eastAsia="ＭＳ 明朝"/>
          <w:b w:val="0"/>
          <w:sz w:val="24"/>
        </w:rPr>
        <w:t>3.4　運送事業に関する制度・規制</w:t>
      </w:r>
    </w:p>
    <w:p>
      <w:pPr>
        <w:spacing w:lineRule="exact" w:line="360"/>
        <w:ind w:firstLine="0" w:left="240"/>
      </w:pPr>
      <w:r>
        <w:rPr>
          <w:rFonts w:ascii="Century" w:hAnsi="Century" w:eastAsia="ＭＳ 明朝"/>
          <w:b w:val="0"/>
          <w:sz w:val="24"/>
        </w:rPr>
        <w:t>3.5　小括：日米の物流環境の比較</w:t>
      </w:r>
    </w:p>
    <w:p>
      <w:pPr>
        <w:spacing w:lineRule="exact" w:line="360"/>
        <w:ind w:firstLine="0" w:left="0"/>
      </w:pPr>
      <w:r>
        <w:rPr>
          <w:rFonts w:ascii="Century" w:hAnsi="Century" w:eastAsia="ＭＳ 明朝"/>
          <w:b/>
          <w:sz w:val="24"/>
        </w:rPr>
        <w:t>第4章　Amazonの日米におけるラストマイル配送体制 ※</w:t>
      </w:r>
    </w:p>
    <w:p>
      <w:pPr>
        <w:spacing w:lineRule="exact" w:line="360"/>
        <w:ind w:firstLine="0" w:left="240"/>
      </w:pPr>
      <w:r>
        <w:rPr>
          <w:rFonts w:ascii="Century" w:hAnsi="Century" w:eastAsia="ＭＳ 明朝"/>
          <w:b w:val="0"/>
          <w:sz w:val="24"/>
        </w:rPr>
        <w:t>4.1　米国の配送体制：DSPとAmazon Flex</w:t>
      </w:r>
    </w:p>
    <w:p>
      <w:pPr>
        <w:spacing w:lineRule="exact" w:line="360"/>
        <w:ind w:firstLine="0" w:left="240"/>
      </w:pPr>
      <w:r>
        <w:rPr>
          <w:rFonts w:ascii="Century" w:hAnsi="Century" w:eastAsia="ＭＳ 明朝"/>
          <w:b w:val="0"/>
          <w:sz w:val="24"/>
        </w:rPr>
        <w:t>4.2　日本の配送体制：ADPとAmazon Flex</w:t>
      </w:r>
    </w:p>
    <w:p>
      <w:pPr>
        <w:spacing w:lineRule="exact" w:line="360"/>
        <w:ind w:firstLine="0" w:left="240"/>
      </w:pPr>
      <w:r>
        <w:rPr>
          <w:rFonts w:ascii="Century" w:hAnsi="Century" w:eastAsia="ＭＳ 明朝"/>
          <w:b w:val="0"/>
          <w:sz w:val="24"/>
        </w:rPr>
        <w:t>4.3　日本DSPの導入</w:t>
      </w:r>
    </w:p>
    <w:p>
      <w:pPr>
        <w:spacing w:lineRule="exact" w:line="360"/>
        <w:ind w:firstLine="0" w:left="240"/>
      </w:pPr>
      <w:r>
        <w:rPr>
          <w:rFonts w:ascii="Century" w:hAnsi="Century" w:eastAsia="ＭＳ 明朝"/>
          <w:b w:val="0"/>
          <w:sz w:val="24"/>
        </w:rPr>
        <w:t>4.4　小括：担い手・契約形態・管理方式の比較</w:t>
      </w:r>
    </w:p>
    <w:p>
      <w:pPr>
        <w:spacing w:lineRule="exact" w:line="360"/>
        <w:ind w:firstLine="0" w:left="0"/>
      </w:pPr>
      <w:r>
        <w:rPr>
          <w:rFonts w:ascii="Century" w:hAnsi="Century" w:eastAsia="ＭＳ 明朝"/>
          <w:b/>
          <w:sz w:val="24"/>
        </w:rPr>
        <w:t>第5章　取引費用論にもとづく日米比較分析 ※</w:t>
      </w:r>
    </w:p>
    <w:p>
      <w:pPr>
        <w:spacing w:lineRule="exact" w:line="360"/>
        <w:ind w:firstLine="0" w:left="240"/>
      </w:pPr>
      <w:r>
        <w:rPr>
          <w:rFonts w:ascii="Century" w:hAnsi="Century" w:eastAsia="ＭＳ 明朝"/>
          <w:b w:val="0"/>
          <w:sz w:val="24"/>
        </w:rPr>
        <w:t>5.1　取引の属性の比較</w:t>
      </w:r>
    </w:p>
    <w:p>
      <w:pPr>
        <w:spacing w:lineRule="exact" w:line="360"/>
        <w:ind w:firstLine="0" w:left="240"/>
      </w:pPr>
      <w:r>
        <w:rPr>
          <w:rFonts w:ascii="Century" w:hAnsi="Century" w:eastAsia="ＭＳ 明朝"/>
          <w:b w:val="0"/>
          <w:sz w:val="24"/>
        </w:rPr>
        <w:t>5.2　ガバナンス構造の比較</w:t>
      </w:r>
    </w:p>
    <w:p>
      <w:pPr>
        <w:spacing w:lineRule="exact" w:line="360"/>
        <w:ind w:firstLine="0" w:left="240"/>
      </w:pPr>
      <w:r>
        <w:rPr>
          <w:rFonts w:ascii="Century" w:hAnsi="Century" w:eastAsia="ＭＳ 明朝"/>
          <w:b w:val="0"/>
          <w:sz w:val="24"/>
        </w:rPr>
        <w:t>5.3　物流環境の違いと統治コスト</w:t>
      </w:r>
    </w:p>
    <w:p>
      <w:pPr>
        <w:spacing w:lineRule="exact" w:line="360"/>
        <w:ind w:firstLine="0" w:left="240"/>
      </w:pPr>
      <w:r>
        <w:rPr>
          <w:rFonts w:ascii="Century" w:hAnsi="Century" w:eastAsia="ＭＳ 明朝"/>
          <w:b w:val="0"/>
          <w:sz w:val="24"/>
        </w:rPr>
        <w:t>5.4　小括</w:t>
      </w:r>
    </w:p>
    <w:p>
      <w:pPr>
        <w:spacing w:lineRule="exact" w:line="360"/>
        <w:ind w:firstLine="0" w:left="0"/>
      </w:pPr>
      <w:r>
        <w:rPr>
          <w:rFonts w:ascii="Century" w:hAnsi="Century" w:eastAsia="ＭＳ 明朝"/>
          <w:b/>
          <w:sz w:val="24"/>
        </w:rPr>
        <w:t>第6章　共通化と現地適応に関する考察 ※</w:t>
      </w:r>
    </w:p>
    <w:p>
      <w:pPr>
        <w:spacing w:lineRule="exact" w:line="360"/>
        <w:ind w:firstLine="0" w:left="240"/>
      </w:pPr>
      <w:r>
        <w:rPr>
          <w:rFonts w:ascii="Century" w:hAnsi="Century" w:eastAsia="ＭＳ 明朝"/>
          <w:b w:val="0"/>
          <w:sz w:val="24"/>
        </w:rPr>
        <w:t>6.1　共通化されている要素</w:t>
      </w:r>
    </w:p>
    <w:p>
      <w:pPr>
        <w:spacing w:lineRule="exact" w:line="360"/>
        <w:ind w:firstLine="0" w:left="240"/>
      </w:pPr>
      <w:r>
        <w:rPr>
          <w:rFonts w:ascii="Century" w:hAnsi="Century" w:eastAsia="ＭＳ 明朝"/>
          <w:b w:val="0"/>
          <w:sz w:val="24"/>
        </w:rPr>
        <w:t>6.2　現地適応されている要素</w:t>
      </w:r>
    </w:p>
    <w:p>
      <w:pPr>
        <w:spacing w:lineRule="exact" w:line="360"/>
        <w:ind w:firstLine="0" w:left="240"/>
      </w:pPr>
      <w:r>
        <w:rPr>
          <w:rFonts w:ascii="Century" w:hAnsi="Century" w:eastAsia="ＭＳ 明朝"/>
          <w:b w:val="0"/>
          <w:sz w:val="24"/>
        </w:rPr>
        <w:t>6.3　日本DSP導入の位置づけ</w:t>
      </w:r>
    </w:p>
    <w:p>
      <w:pPr>
        <w:spacing w:lineRule="exact" w:line="360"/>
        <w:ind w:firstLine="0" w:left="240"/>
      </w:pPr>
      <w:r>
        <w:rPr>
          <w:rFonts w:ascii="Century" w:hAnsi="Century" w:eastAsia="ＭＳ 明朝"/>
          <w:b w:val="0"/>
          <w:sz w:val="24"/>
        </w:rPr>
        <w:t>6.4　小括</w:t>
      </w:r>
    </w:p>
    <w:p>
      <w:pPr>
        <w:spacing w:lineRule="exact" w:line="360"/>
        <w:ind w:firstLine="0" w:left="0"/>
      </w:pPr>
      <w:r>
        <w:rPr>
          <w:rFonts w:ascii="Century" w:hAnsi="Century" w:eastAsia="ＭＳ 明朝"/>
          <w:b/>
          <w:sz w:val="24"/>
        </w:rPr>
        <w:t>第7章　結論 ※</w:t>
      </w:r>
    </w:p>
    <w:p>
      <w:pPr>
        <w:spacing w:lineRule="exact" w:line="360"/>
        <w:ind w:firstLine="0" w:left="240"/>
      </w:pPr>
      <w:r>
        <w:rPr>
          <w:rFonts w:ascii="Century" w:hAnsi="Century" w:eastAsia="ＭＳ 明朝"/>
          <w:b w:val="0"/>
          <w:sz w:val="24"/>
        </w:rPr>
        <w:t>7.1　研究課題への回答</w:t>
      </w:r>
    </w:p>
    <w:p>
      <w:pPr>
        <w:spacing w:lineRule="exact" w:line="360"/>
        <w:ind w:firstLine="0" w:left="240"/>
      </w:pPr>
      <w:r>
        <w:rPr>
          <w:rFonts w:ascii="Century" w:hAnsi="Century" w:eastAsia="ＭＳ 明朝"/>
          <w:b w:val="0"/>
          <w:sz w:val="24"/>
        </w:rPr>
        <w:t>7.2　理論的・実務的示唆</w:t>
      </w:r>
    </w:p>
    <w:p>
      <w:pPr>
        <w:spacing w:lineRule="exact" w:line="360"/>
        <w:ind w:firstLine="0" w:left="240"/>
      </w:pPr>
      <w:r>
        <w:rPr>
          <w:rFonts w:ascii="Century" w:hAnsi="Century" w:eastAsia="ＭＳ 明朝"/>
          <w:b w:val="0"/>
          <w:sz w:val="24"/>
        </w:rPr>
        <w:t>7.3　本研究の限界と今後の課題</w:t>
      </w:r>
    </w:p>
    <w:p>
      <w:pPr>
        <w:spacing w:lineRule="exact" w:line="360"/>
        <w:ind w:firstLine="0" w:left="0"/>
      </w:pPr>
      <w:r>
        <w:rPr>
          <w:rFonts w:ascii="Century" w:hAnsi="Century" w:eastAsia="ＭＳ 明朝"/>
          <w:b/>
          <w:sz w:val="24"/>
        </w:rPr>
        <w:t>参考文献</w:t>
      </w:r>
    </w:p>
    <w:p>
      <w:pPr>
        <w:spacing w:lineRule="exact" w:line="360"/>
        <w:ind w:firstLine="0" w:left="0"/>
      </w:pPr>
    </w:p>
    <w:p>
      <w:pPr>
        <w:spacing w:lineRule="exact" w:line="360"/>
        <w:ind w:firstLine="0" w:left="0"/>
      </w:pPr>
      <w:r>
        <w:rPr>
          <w:rFonts w:ascii="Century" w:hAnsi="Century" w:eastAsia="ＭＳ 明朝"/>
          <w:b w:val="0"/>
          <w:sz w:val="21"/>
        </w:rPr>
        <w:t>※印は執筆予定の章・節であり、構成は暫定である。</w:t>
      </w:r>
    </w:p>
    <w:p>
      <w:r>
        <w:br w:type="page"/>
      </w:r>
    </w:p>
    <w:p w14:paraId="25AFDEF4" w14:textId="77777777" w:rsidR="00066731" w:rsidRDefault="00000000">
      <w:pPr>
        <w:keepNext/>
        <w:spacing w:lineRule="exact" w:line="360"/>
        <w:ind w:firstLine="0" w:left="0"/>
        <w:rPr>
          <w:lang w:eastAsia="ja-JP"/>
        </w:rPr>
      </w:pPr>
      <w:r>
        <w:rPr>
          <w:rFonts w:ascii="Century" w:hAnsi="Century" w:eastAsia="ＭＳ 明朝"/>
          <w:b/>
          <w:sz w:val="24"/>
          <w:lang w:eastAsia="ja-JP"/>
        </w:rPr>
        <w:t>第</w:t>
      </w:r>
      <w:r>
        <w:rPr>
          <w:rFonts w:ascii="Century" w:hAnsi="Century" w:eastAsia="ＭＳ 明朝"/>
          <w:b/>
          <w:sz w:val="24"/>
          <w:lang w:eastAsia="ja-JP"/>
        </w:rPr>
        <w:t>1</w:t>
      </w:r>
      <w:r>
        <w:rPr>
          <w:rFonts w:ascii="Century" w:hAnsi="Century" w:eastAsia="ＭＳ 明朝"/>
          <w:b/>
          <w:sz w:val="24"/>
          <w:lang w:eastAsia="ja-JP"/>
        </w:rPr>
        <w:t>章　序論</w:t>
      </w:r>
    </w:p>
    <w:p w14:paraId="3982803B" w14:textId="77777777" w:rsidR="00845734" w:rsidRPr="000004C3" w:rsidRDefault="00000000" w:rsidP="00845734">
      <w:pPr>
        <w:keepNext/>
        <w:spacing w:lineRule="exact" w:line="360"/>
        <w:ind w:firstLine="0" w:left="0"/>
        <w:rPr>
          <w:rFonts w:eastAsiaTheme="minorEastAsia"/>
          <w:sz w:val="28"/>
          <w:szCs w:val="28"/>
          <w:lang w:eastAsia="ja-JP"/>
        </w:rPr>
      </w:pPr>
      <w:r w:rsidRPr="000004C3">
        <w:rPr>
          <w:rFonts w:ascii="Century" w:hAnsi="Century" w:eastAsia="ＭＳ 明朝"/>
          <w:b/>
          <w:sz w:val="24"/>
          <w:szCs w:val="28"/>
          <w:lang w:eastAsia="ja-JP"/>
        </w:rPr>
        <w:t>1.1</w:t>
      </w:r>
      <w:r w:rsidRPr="000004C3">
        <w:rPr>
          <w:rFonts w:ascii="Century" w:hAnsi="Century" w:eastAsia="ＭＳ 明朝"/>
          <w:b/>
          <w:sz w:val="24"/>
          <w:szCs w:val="28"/>
          <w:lang w:eastAsia="ja-JP"/>
        </w:rPr>
        <w:t xml:space="preserve">　研究の背景</w:t>
      </w:r>
    </w:p>
    <w:p w14:paraId="5F93C9D5" w14:textId="313781FC" w:rsidR="00066731" w:rsidRPr="000004C3" w:rsidRDefault="00000000" w:rsidP="00845734">
      <w:pPr>
        <w:keepNext/>
        <w:spacing w:lineRule="exact" w:line="360"/>
        <w:ind w:firstLine="0" w:left="0"/>
        <w:rPr>
          <w:sz w:val="28"/>
          <w:szCs w:val="28"/>
          <w:lang w:eastAsia="ja-JP"/>
        </w:rPr>
      </w:pPr>
      <w:r w:rsidRPr="000004C3">
        <w:rPr>
          <w:rFonts w:ascii="Century" w:hAnsi="Century" w:eastAsia="ＭＳ 明朝"/>
          <w:b/>
          <w:sz w:val="24"/>
          <w:szCs w:val="28"/>
          <w:lang w:eastAsia="ja-JP"/>
        </w:rPr>
        <w:t>1.1.1</w:t>
      </w:r>
      <w:r w:rsidRPr="000004C3">
        <w:rPr>
          <w:rFonts w:ascii="Century" w:hAnsi="Century" w:eastAsia="ＭＳ 明朝"/>
          <w:b/>
          <w:sz w:val="24"/>
          <w:szCs w:val="28"/>
          <w:lang w:eastAsia="ja-JP"/>
        </w:rPr>
        <w:t xml:space="preserve">　</w:t>
      </w:r>
      <w:r w:rsidRPr="000004C3">
        <w:rPr>
          <w:rFonts w:ascii="Century" w:hAnsi="Century" w:eastAsia="ＭＳ 明朝"/>
          <w:b/>
          <w:sz w:val="24"/>
          <w:szCs w:val="28"/>
          <w:lang w:eastAsia="ja-JP"/>
        </w:rPr>
        <w:t>EC</w:t>
      </w:r>
      <w:r w:rsidRPr="000004C3">
        <w:rPr>
          <w:rFonts w:ascii="Century" w:hAnsi="Century" w:eastAsia="ＭＳ 明朝"/>
          <w:b/>
          <w:sz w:val="24"/>
          <w:szCs w:val="28"/>
          <w:lang w:eastAsia="ja-JP"/>
        </w:rPr>
        <w:t>市場の拡大とフルフィルメントの重要性</w:t>
      </w:r>
    </w:p>
    <w:p w14:paraId="3945EAEB" w14:textId="77777777" w:rsidR="00B36F8F" w:rsidRPr="000004C3" w:rsidRDefault="00B36F8F" w:rsidP="006408B5">
      <w:pPr>
        <w:spacing w:lineRule="exact" w:line="360"/>
        <w:ind w:firstLine="240"/>
        <w:jc w:val="both"/>
        <w:rPr>
          <w:sz w:val="28"/>
          <w:szCs w:val="28"/>
          <w:lang w:eastAsia="ja-JP"/>
        </w:rPr>
      </w:pPr>
      <w:r w:rsidRPr="000004C3">
        <w:rPr>
          <w:rFonts w:hint="eastAsia" w:ascii="Century" w:hAnsi="Century" w:eastAsia="ＭＳ 明朝"/>
          <w:sz w:val="24"/>
          <w:szCs w:val="28"/>
          <w:lang w:eastAsia="ja-JP"/>
        </w:rPr>
        <w:t>近年、インターネットを通じた電子商取引（以下、</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）は拡大を続けている。経済産業省（</w:t>
      </w:r>
      <w:r w:rsidRPr="000004C3">
        <w:rPr>
          <w:rFonts w:hint="eastAsia" w:ascii="Century" w:hAnsi="Century" w:eastAsia="ＭＳ 明朝"/>
          <w:sz w:val="24"/>
          <w:szCs w:val="28"/>
          <w:lang w:eastAsia="ja-JP"/>
        </w:rPr>
        <w:t>2025</w:t>
      </w:r>
      <w:r w:rsidRPr="000004C3">
        <w:rPr>
          <w:rFonts w:hint="eastAsia" w:ascii="Century" w:hAnsi="Century" w:eastAsia="ＭＳ 明朝"/>
          <w:sz w:val="24"/>
          <w:szCs w:val="28"/>
          <w:lang w:eastAsia="ja-JP"/>
        </w:rPr>
        <w:t>）によれば、</w:t>
      </w:r>
      <w:r w:rsidRPr="000004C3">
        <w:rPr>
          <w:rFonts w:hint="eastAsia" w:ascii="Century" w:hAnsi="Century" w:eastAsia="ＭＳ 明朝"/>
          <w:sz w:val="24"/>
          <w:szCs w:val="28"/>
          <w:lang w:eastAsia="ja-JP"/>
        </w:rPr>
        <w:t>2024</w:t>
      </w:r>
      <w:r w:rsidRPr="000004C3">
        <w:rPr>
          <w:rFonts w:hint="eastAsia" w:ascii="Century" w:hAnsi="Century" w:eastAsia="ＭＳ 明朝"/>
          <w:sz w:val="24"/>
          <w:szCs w:val="28"/>
          <w:lang w:eastAsia="ja-JP"/>
        </w:rPr>
        <w:t>年の日本における物販系分野の</w:t>
      </w:r>
      <w:proofErr w:type="spellStart"/>
      <w:r w:rsidRPr="000004C3">
        <w:rPr>
          <w:rFonts w:hint="eastAsia" w:ascii="Century" w:hAnsi="Century" w:eastAsia="ＭＳ 明朝"/>
          <w:sz w:val="24"/>
          <w:szCs w:val="28"/>
          <w:lang w:eastAsia="ja-JP"/>
        </w:rPr>
        <w:t>BtoC</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市場規模は</w:t>
      </w:r>
      <w:r w:rsidRPr="000004C3">
        <w:rPr>
          <w:rFonts w:hint="eastAsia" w:ascii="Century" w:hAnsi="Century" w:eastAsia="ＭＳ 明朝"/>
          <w:sz w:val="24"/>
          <w:szCs w:val="28"/>
          <w:lang w:eastAsia="ja-JP"/>
        </w:rPr>
        <w:t>15.2</w:t>
      </w:r>
      <w:r w:rsidRPr="000004C3">
        <w:rPr>
          <w:rFonts w:hint="eastAsia" w:ascii="Century" w:hAnsi="Century" w:eastAsia="ＭＳ 明朝"/>
          <w:sz w:val="24"/>
          <w:szCs w:val="28"/>
          <w:lang w:eastAsia="ja-JP"/>
        </w:rPr>
        <w:t>兆円に達し、同分野の</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9.8</w:t>
      </w:r>
      <w:r w:rsidRPr="000004C3">
        <w:rPr>
          <w:rFonts w:hint="eastAsia" w:ascii="Century" w:hAnsi="Century" w:eastAsia="ＭＳ 明朝"/>
          <w:sz w:val="24"/>
          <w:szCs w:val="28"/>
          <w:lang w:eastAsia="ja-JP"/>
        </w:rPr>
        <w:t>％（前年比</w:t>
      </w:r>
      <w:r w:rsidRPr="000004C3">
        <w:rPr>
          <w:rFonts w:hint="eastAsia" w:ascii="Century" w:hAnsi="Century" w:eastAsia="ＭＳ 明朝"/>
          <w:sz w:val="24"/>
          <w:szCs w:val="28"/>
          <w:lang w:eastAsia="ja-JP"/>
        </w:rPr>
        <w:t>0.4</w:t>
      </w:r>
      <w:r w:rsidRPr="000004C3">
        <w:rPr>
          <w:rFonts w:hint="eastAsia" w:ascii="Century" w:hAnsi="Century" w:eastAsia="ＭＳ 明朝"/>
          <w:sz w:val="24"/>
          <w:szCs w:val="28"/>
          <w:lang w:eastAsia="ja-JP"/>
        </w:rPr>
        <w:t>ポイント増）、</w:t>
      </w:r>
      <w:proofErr w:type="spellStart"/>
      <w:r w:rsidRPr="000004C3">
        <w:rPr>
          <w:rFonts w:hint="eastAsia" w:ascii="Century" w:hAnsi="Century" w:eastAsia="ＭＳ 明朝"/>
          <w:sz w:val="24"/>
          <w:szCs w:val="28"/>
          <w:lang w:eastAsia="ja-JP"/>
        </w:rPr>
        <w:t>BtoB</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43.1</w:t>
      </w:r>
      <w:r w:rsidRPr="000004C3">
        <w:rPr>
          <w:rFonts w:hint="eastAsia" w:ascii="Century" w:hAnsi="Century" w:eastAsia="ＭＳ 明朝"/>
          <w:sz w:val="24"/>
          <w:szCs w:val="28"/>
          <w:lang w:eastAsia="ja-JP"/>
        </w:rPr>
        <w:t>％（同</w:t>
      </w:r>
      <w:r w:rsidRPr="000004C3">
        <w:rPr>
          <w:rFonts w:hint="eastAsia" w:ascii="Century" w:hAnsi="Century" w:eastAsia="ＭＳ 明朝"/>
          <w:sz w:val="24"/>
          <w:szCs w:val="28"/>
          <w:lang w:eastAsia="ja-JP"/>
        </w:rPr>
        <w:t>3.1</w:t>
      </w:r>
      <w:r w:rsidRPr="000004C3">
        <w:rPr>
          <w:rFonts w:hint="eastAsia" w:ascii="Century" w:hAnsi="Century" w:eastAsia="ＭＳ 明朝"/>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spacing w:lineRule="exact" w:line="360"/>
        <w:ind w:firstLine="240"/>
        <w:jc w:val="both"/>
        <w:rPr>
          <w:sz w:val="28"/>
          <w:szCs w:val="28"/>
          <w:lang w:eastAsia="ja-JP"/>
        </w:rPr>
      </w:pPr>
      <w:r w:rsidRPr="000004C3">
        <w:rPr>
          <w:rFonts w:ascii="Century" w:hAnsi="Century" w:eastAsia="ＭＳ 明朝"/>
          <w:sz w:val="24"/>
          <w:szCs w:val="28"/>
          <w:lang w:eastAsia="ja-JP"/>
        </w:rPr>
        <w:t>ECでは、消費者が実店舗に来店して商品を持ち帰る従来の小売業とは異なり、注文を受けた商品を事業者が顧客の手元まで届ける必要がある。そのため、受注から配達までの物流業務を一体的に担うフルフィルメントが、EC企業にとって重要なオペレーションとなる。丁（2023，5頁）は、EC におけるフルフィルメントの業務範囲は、「検品、在庫管理、商品保管」などといった Inbound operations、および、「（顧客の注文に対応した） 商品のピッキング、梱包、発送、配達」などといった Outbound operations の 2 種類の業務を対象としたサービスであると整理している。また丁（2023，2頁）は、「フルフィルメントにおける優位性は，EC における顧客満足に極めて大きな影響を与えると考えられる」と述べている。そのため、フルフィルメントはEC事業の成否を左右する重要な要因であると考えられる。</w:t>
      </w:r>
    </w:p>
    <w:p w14:paraId="1F76846D" w14:textId="6AEE2003" w:rsidR="00066731" w:rsidRPr="000004C3" w:rsidRDefault="00000000" w:rsidP="006408B5">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1.1.2</w:t>
      </w:r>
      <w:r w:rsidRPr="000004C3">
        <w:rPr>
          <w:rFonts w:ascii="Century" w:hAnsi="Century" w:eastAsia="ＭＳ 明朝"/>
          <w:b/>
          <w:bCs/>
          <w:sz w:val="24"/>
          <w:szCs w:val="28"/>
          <w:lang w:eastAsia="ja-JP"/>
        </w:rPr>
        <w:t xml:space="preserve">　ラストマイル配送の位置づけ</w:t>
      </w:r>
    </w:p>
    <w:p w14:paraId="64C9092D" w14:textId="77777777" w:rsidR="00B44C3E" w:rsidRPr="000004C3" w:rsidRDefault="00013C23"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フルフィルメントの中でも、本研究が注目するのはラストマイル配送である。丁（2026，39頁）は、先行研究にもとづき、ECにおけるフルフィルメントを、生産拠点から物流倉庫へ至る「ファーストマイル」、物流拠点間の輸送を担う「ミドルマイル」、顧客へ商品を届ける「ラストマイル」の3段階に整理している。ラストマイル配送の定義は論者によって様々であるが、丁（2026，40頁）は、先行研究の定義にもとづき、ラストマイル配送を「最終発送地点から荷受人が受け取る地点までの輸送プロセス」と捉えている。本研究もこの定義に従う。</w:t>
      </w:r>
    </w:p>
    <w:p w14:paraId="0B21FAC6" w14:textId="77777777" w:rsidR="00B44C3E" w:rsidRPr="000004C3" w:rsidRDefault="00B44C3E" w:rsidP="00B44C3E">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は、次の二つの理由からEC物流において特に重要な位置を占める。第一に、ラストマイル配送は顧客と直接接する物流工程であり、その品質が顧客の評価に直結する。丁（2023，8頁）は、先行研究のレビューを通じて、「注文の追跡」「適時性／オンタイム配送」「商品の状態／配送品質」など、配送段階に関わるフルフィルメント要素が顧客満足に影響を与えることを示している。また丁（2026）は、配達員による対面サービスの品質が顧客満足に影響することを示す先行研究を整理したうえで（41頁）、配送状況の追跡などに関わる配送情報の品質が、顧客満足を介して再利用意向に影響することを明らかにしている（39頁，49頁）。</w:t>
      </w:r>
    </w:p>
    <w:p w14:paraId="1CA676C9" w14:textId="290E5860" w:rsidR="00B44C3E" w:rsidRPr="000004C3" w:rsidRDefault="00B44C3E"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ラストマイル配送はコストと効率性の面でも大きな課題を抱えている。丁（2026，39頁）は、先行研究にもとづき、ラストマイルがフルフィルメントの中で最もコストが高く非効率な段階であり、環境負荷の問題も深刻であると述べている。また丁（2023，5-6頁）も、ECでは膨大な数の商品を小ロットで「極めて多くの場所」に届けなければならず、ラストマイル問題はまさにこのことを反映していると指摘している。さらに、ECの宅配需要の急増とラストマイルにおけるドライバー不足を背景として、宅配危機が深刻化している（林，2020，9頁）。林（2020，13-14頁）は、ラストマイルは自動化や無人化が困難な最も労働集約的な工程であり、物流革新の大きな障壁となっていると指摘している。</w:t>
      </w:r>
      <w:proofErr w:type="spellStart"/>
      <w:proofErr w:type="spellEnd"/>
    </w:p>
    <w:p w14:paraId="5C6EA7A8" w14:textId="2C908FAA" w:rsidR="0008428E" w:rsidRPr="000004C3" w:rsidRDefault="0008428E" w:rsidP="00B44C3E">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1.1.3　Amazonによる自社配送体制の構築</w:t>
      </w:r>
    </w:p>
    <w:p w14:paraId="15D9DD84"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59-60頁；齊藤，2022，44頁）。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米国のAmazonは、従来、UPSやFedExといった大手宅配便事業者や郵便のUSPSにラストマイル配送を委託してきた。しかし、寡占的な市場構造のもとで大手宅配便事業者は毎年のように運賃の値上げを行い、Amazonの売上高に占める輸送コストの比率は2017年には12.2％に上昇した（齊藤，2021，53頁）。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45-46頁）。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49頁，53頁）。その結果、Amazonが出荷する貨物のうち自社でコントロールする配送の比率は、2016年末の8％から2019年7月には49％に達したとされる（齊藤，2022，46頁）。</w:t>
      </w:r>
    </w:p>
    <w:p w14:paraId="5733050D"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アマゾンジャパンも、ラストマイル配送を基本的にヤマト運輸、日本郵便、佐川急便の大手宅配便事業者に依存してきた（齊藤，2022，56頁）。しかし、2013年には佐川急便が採算性の低い大口ネット通販契約を見直し（林，2020，9-10頁）、さらに2017年には、ドライバー不足のもとでヤマト運輸が荷受量の総量規制や一部サービスの停止を行うとともに、アマゾンジャパンに対しても40％の運賃値上げを実施した（齊藤，2022，56頁）。いわゆる「宅配クライシス」である。齊藤（2022，56頁）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56-57頁）。</w:t>
      </w:r>
    </w:p>
    <w:p w14:paraId="48D00341" w14:textId="54602B81" w:rsidR="00845734" w:rsidRPr="000004C3" w:rsidRDefault="00971FAB" w:rsidP="00845734">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44-49頁；齊藤，2023，37-38頁）。2021年には、アマゾンジャパンが出荷する貨物約7億個のうち、約半数が宅配便以外で配送されていたと推計されている（齊藤，2022，57頁）。さらに2023年3月には、運送事業の経験がない人も含めて配送会社の起業を支援する、新たなデリバリーサービスパートナープログラム（以下、日本DSP）の運用を開始した（アマゾンジャパン，2023）。</w:t>
      </w:r>
    </w:p>
    <w:p w14:paraId="472F6AD9" w14:textId="77777777" w:rsidR="00845734" w:rsidRPr="000004C3" w:rsidRDefault="00000000" w:rsidP="00845734">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1.2　問題意識</w:t>
      </w:r>
    </w:p>
    <w:p w14:paraId="028EC3EE" w14:textId="77777777" w:rsidR="00845734" w:rsidRPr="000004C3" w:rsidRDefault="00845734" w:rsidP="00845734">
      <w:pPr>
        <w:spacing w:lineRule="exact" w:line="360"/>
        <w:ind w:firstLine="240"/>
        <w:jc w:val="both"/>
        <w:rPr>
          <w:rFonts w:ascii="MS Mincho" w:eastAsiaTheme="minorEastAsia" w:hAnsi="MS Mincho"/>
          <w:b/>
          <w:bCs/>
          <w:sz w:val="28"/>
          <w:szCs w:val="28"/>
          <w:lang w:eastAsia="ja-JP"/>
        </w:rPr>
      </w:pPr>
    </w:p>
    <w:p w14:paraId="0DC35899" w14:textId="6F19ADDA" w:rsidR="00845734" w:rsidRPr="000004C3" w:rsidRDefault="00845734" w:rsidP="00845734">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1.1.3で述べたように、日米いずれにおいても、Amazonは大手宅配便事業者への依存を減らし、自社配送を拡大してきたという点では共通している。しかし、齊藤（2022，44頁）が指摘するように、日米ではEC物流を取り巻く仕組みや状況が異なるため、ラストマイル配送への取り組みにもそれぞれ異なる特徴がみられる。</w:t>
      </w:r>
    </w:p>
    <w:p w14:paraId="76E02405" w14:textId="77777777"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49-50頁）。これに対して日本では、既存の地域運送事業者であるADPに配送を委託してきたが、実際の配送は、ADPの下請けである協力会社や個人の軽貨物運送事業者によって担われている（齊藤，2022，59-60頁）。</w:t>
      </w:r>
    </w:p>
    <w:p w14:paraId="0C208993" w14:textId="61543773"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51-52頁）。一方、日本のADPについて齊藤（2022，65頁）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第三に、同じ名称の仕組みであっても、その内容が異なる。齊藤（2022，61頁）は、「アメリカの場合アマゾン・フレックスは、自家用車で配送する個人のドライバーを対象にしたものであるが、日本のアマゾン・フレックスは軽貨物運送業者に直接ネット通販貨物を運ばせるものである」と述べている。日本のAmazon Flexは、貨物軽自動車運送事業の届出を行った個人事業主を対象としている（齊藤，2022，61-62頁）。これは、日本では、届出を行っていない一般の個人が有償で貨物を運送することは認められていないためである（林，2020，13頁）。</w:t>
      </w:r>
    </w:p>
    <w:p w14:paraId="60CA0607" w14:textId="30AED8A3" w:rsidR="00170FC1" w:rsidRPr="000004C3" w:rsidRDefault="00170FC1"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 xml:space="preserve">　ただし、こうした違いは固定的なものではない。日本でも2023年には、米国のDSPと同様に配送会社の起業を支援する日本DSPが導入された（林，2023，10頁；齊藤，2023，39頁）。また、ADPの中には売上高の約7割をアマゾンジャパンに依存する事業者もみられ（齊藤，2022，58-59頁）、ADPの下請けドライバーの配送ルートや配送個数がAIによって割り当てられているとの報告もある（齊藤，2023，44-45頁）。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これらが本研究の出発点となる問題意識である。齊藤（2022，44-65頁）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Century" w:hAnsi="Century" w:eastAsia="ＭＳ 明朝"/>
          <w:sz w:val="24"/>
          <w:szCs w:val="28"/>
          <w:lang w:eastAsia="ja-JP"/>
        </w:rPr>
      </w:r>
      <w:proofErr w:type="spellEnd"/>
      <w:r w:rsidRPr="000004C3">
        <w:rPr>
          <w:rFonts w:ascii="Century" w:hAnsi="Century" w:eastAsia="ＭＳ 明朝"/>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1.3</w:t>
      </w:r>
      <w:r w:rsidRPr="000004C3">
        <w:rPr>
          <w:rFonts w:ascii="Century" w:hAnsi="Century" w:eastAsia="ＭＳ 明朝"/>
          <w:b/>
          <w:bCs/>
          <w:sz w:val="24"/>
          <w:szCs w:val="28"/>
          <w:lang w:eastAsia="ja-JP"/>
        </w:rPr>
        <w:t xml:space="preserve">　研究目的と研究課題</w:t>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本研究の目的は、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t>この目的を達成するため、以下の三つの研究課題（</w:t>
      </w:r>
      <w:r w:rsidRPr="000004C3">
        <w:rPr>
          <w:rFonts w:hint="eastAsia" w:ascii="Century" w:hAnsi="Century" w:eastAsia="ＭＳ 明朝"/>
          <w:sz w:val="24"/>
          <w:szCs w:val="28"/>
          <w:lang w:eastAsia="ja-JP"/>
        </w:rPr>
        <w:t>Research Question</w:t>
      </w:r>
      <w:r w:rsidRPr="000004C3">
        <w:rPr>
          <w:rFonts w:hint="eastAsia" w:ascii="Century" w:hAnsi="Century" w:eastAsia="ＭＳ 明朝"/>
          <w:sz w:val="24"/>
          <w:szCs w:val="28"/>
          <w:lang w:eastAsia="ja-JP"/>
        </w:rPr>
        <w:t>：以下、</w:t>
      </w:r>
      <w:r w:rsidRPr="000004C3">
        <w:rPr>
          <w:rFonts w:hint="eastAsia" w:ascii="Century" w:hAnsi="Century" w:eastAsia="ＭＳ 明朝"/>
          <w:sz w:val="24"/>
          <w:szCs w:val="28"/>
          <w:lang w:eastAsia="ja-JP"/>
        </w:rPr>
        <w:t>RQ</w:t>
      </w:r>
      <w:r w:rsidRPr="000004C3">
        <w:rPr>
          <w:rFonts w:hint="eastAsia" w:ascii="Century" w:hAnsi="Century" w:eastAsia="ＭＳ 明朝"/>
          <w:sz w:val="24"/>
          <w:szCs w:val="28"/>
          <w:lang w:eastAsia="ja-JP"/>
        </w:rPr>
        <w:t>）を設定する。</w:t>
      </w:r>
    </w:p>
    <w:p w14:paraId="57EAB880"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lastRenderedPageBreak/>
        <w:t>RQ1</w:t>
      </w:r>
      <w:r w:rsidRPr="000004C3">
        <w:rPr>
          <w:rFonts w:hint="eastAsia" w:ascii="Century" w:hAnsi="Century" w:eastAsia="ＭＳ 明朝"/>
          <w:sz w:val="24"/>
          <w:szCs w:val="28"/>
          <w:lang w:eastAsia="ja-JP"/>
        </w:rPr>
        <w:t>：</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RQ2</w:t>
      </w:r>
      <w:r w:rsidRPr="000004C3">
        <w:rPr>
          <w:rFonts w:hint="eastAsia" w:ascii="Century" w:hAnsi="Century" w:eastAsia="ＭＳ 明朝"/>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RQ3</w:t>
      </w:r>
      <w:r w:rsidRPr="000004C3">
        <w:rPr>
          <w:rFonts w:hint="eastAsia" w:ascii="Century" w:hAnsi="Century" w:eastAsia="ＭＳ 明朝"/>
          <w:sz w:val="24"/>
          <w:szCs w:val="28"/>
          <w:lang w:eastAsia="ja-JP"/>
        </w:rPr>
        <w:t>：日米の物流環境の違いは、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のラストマイル配送における共通化と現地適応のあり方にどのような影響を与えているのか。また、近年の日本DSPの導入</w:t>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は、その中でどのように位置づけられるのか。</w:t>
      </w:r>
    </w:p>
    <w:p w14:paraId="3EA0FEFC" w14:textId="650764CD"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1.4</w:t>
      </w:r>
      <w:r w:rsidRPr="000004C3">
        <w:rPr>
          <w:rFonts w:ascii="Century" w:hAnsi="Century" w:eastAsia="ＭＳ 明朝"/>
          <w:b/>
          <w:bCs/>
          <w:sz w:val="24"/>
          <w:szCs w:val="28"/>
          <w:lang w:eastAsia="ja-JP"/>
        </w:rPr>
        <w:t xml:space="preserve">　研究の対象と範囲</w:t>
      </w:r>
    </w:p>
    <w:p w14:paraId="73F1064D" w14:textId="572A71D2"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本研究の分析対象は、米国の</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および日本のアマゾンジャパンが展開するラストマイル配送体制である。分析の対象とする期間は、米国で自社配送の構築が本格化する契機となった</w:t>
      </w:r>
      <w:r w:rsidRPr="000004C3">
        <w:rPr>
          <w:rFonts w:ascii="Century" w:hAnsi="Century" w:eastAsia="ＭＳ 明朝"/>
          <w:sz w:val="24"/>
          <w:szCs w:val="28"/>
          <w:lang w:eastAsia="ja-JP"/>
        </w:rPr>
        <w:t>2013</w:t>
      </w:r>
      <w:r w:rsidRPr="000004C3">
        <w:rPr>
          <w:rFonts w:ascii="Century" w:hAnsi="Century" w:eastAsia="ＭＳ 明朝"/>
          <w:sz w:val="24"/>
          <w:szCs w:val="28"/>
          <w:lang w:eastAsia="ja-JP"/>
        </w:rPr>
        <w:t>年前後から現在までとする。ただし、本研究が依拠する先行研究や公開資料の多くは</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年頃までの状況を対象としている。</w:t>
      </w:r>
    </w:p>
    <w:p w14:paraId="70FB9E12" w14:textId="487D7D5A" w:rsidR="00895B8F" w:rsidRPr="000004C3" w:rsidRDefault="00895B8F" w:rsidP="0084165C">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ラストマイル配送の担い手としては、米国の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、および日米双方で導入されている</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を主な分析対象とする。2023年に開始された日本DSPについては</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、近年の変化として第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一方、幹線輸送や物流センター内の業務、航空輸送（</w:t>
      </w:r>
      <w:r w:rsidRPr="000004C3">
        <w:rPr>
          <w:rFonts w:ascii="Century" w:hAnsi="Century" w:eastAsia="ＭＳ 明朝"/>
          <w:sz w:val="24"/>
          <w:szCs w:val="28"/>
          <w:lang w:eastAsia="ja-JP"/>
        </w:rPr>
        <w:t>Amazon Air</w:t>
      </w:r>
      <w:r w:rsidRPr="000004C3">
        <w:rPr>
          <w:rFonts w:ascii="Century" w:hAnsi="Century" w:eastAsia="ＭＳ 明朝"/>
          <w:sz w:val="24"/>
          <w:szCs w:val="28"/>
          <w:lang w:eastAsia="ja-JP"/>
        </w:rPr>
        <w:t>）などは、ラストマイル配送との関連で必要な範囲でのみ扱う。</w:t>
      </w:r>
    </w:p>
    <w:p w14:paraId="0DB72213" w14:textId="0C852014" w:rsidR="00066731" w:rsidRPr="000004C3" w:rsidRDefault="00000000" w:rsidP="0084165C">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1.5</w:t>
      </w:r>
      <w:r w:rsidRPr="000004C3">
        <w:rPr>
          <w:rFonts w:ascii="Century" w:hAnsi="Century" w:eastAsia="ＭＳ 明朝"/>
          <w:b/>
          <w:bCs/>
          <w:sz w:val="24"/>
          <w:szCs w:val="28"/>
          <w:lang w:eastAsia="ja-JP"/>
        </w:rPr>
        <w:t xml:space="preserve">　研究方法</w:t>
      </w:r>
    </w:p>
    <w:p w14:paraId="1F4304B2"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本研究の問いは、</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が日米で「なぜ」異なる配送方式を採用しているのかを問うものである。この問いに答えるためには、各国</w:t>
      </w:r>
      <w:r w:rsidRPr="000004C3">
        <w:rPr>
          <w:rFonts w:ascii="Century" w:hAnsi="Century" w:eastAsia="ＭＳ 明朝"/>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といった、配送の担い手ごとの仕組みを主な分析単位とする。</w:t>
      </w:r>
    </w:p>
    <w:p w14:paraId="553D37B4" w14:textId="58E6B549"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分析に用いる資料は、主に以下の三種類である。第一に、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のラストマイル配送や日米の宅配市場に関する学術論文や研究報告書である（齊藤，</w:t>
      </w:r>
      <w:r w:rsidRPr="000004C3">
        <w:rPr>
          <w:rFonts w:ascii="Century" w:hAnsi="Century" w:eastAsia="ＭＳ 明朝"/>
          <w:sz w:val="24"/>
          <w:szCs w:val="28"/>
          <w:lang w:eastAsia="ja-JP"/>
        </w:rPr>
        <w:t>2021</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2022</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；林，</w:t>
      </w:r>
      <w:r w:rsidRPr="000004C3">
        <w:rPr>
          <w:rFonts w:ascii="Century" w:hAnsi="Century" w:eastAsia="ＭＳ 明朝"/>
          <w:sz w:val="24"/>
          <w:szCs w:val="28"/>
          <w:lang w:eastAsia="ja-JP"/>
        </w:rPr>
        <w:t>2020</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；長谷川，</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など）。第二に、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が公表しているプレスリリースや公式ウェブサイト上の資料である（アマゾンジャパン，</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など）。第三に、経済産業省や国土交通省などによる公的な統計や資料である。</w:t>
      </w:r>
    </w:p>
    <w:p w14:paraId="5FBAA9D7" w14:textId="7C1787A9" w:rsidR="00821BE7" w:rsidRPr="000004C3" w:rsidRDefault="00821BE7" w:rsidP="00821BE7">
      <w:pPr>
        <w:spacing w:lineRule="exact" w:line="360"/>
        <w:ind w:firstLine="240"/>
        <w:jc w:val="both"/>
        <w:rPr>
          <w:rFonts w:ascii="MS Mincho" w:hAnsi="MS Mincho"/>
          <w:sz w:val="28"/>
          <w:szCs w:val="28"/>
          <w:lang w:eastAsia="ja-JP"/>
        </w:rPr>
      </w:pPr>
      <w:r w:rsidRPr="000004C3">
        <w:rPr>
          <w:rFonts w:ascii="Century" w:hAnsi="Century" w:hint="eastAsia" w:eastAsia="ＭＳ 明朝"/>
          <w:sz w:val="24"/>
          <w:szCs w:val="28"/>
          <w:lang w:eastAsia="ja-JP"/>
        </w:rPr>
        <w:t>ただし、ADPやAmazon Flexによる配送の規模など、Amazonの配送体制については公表されていない情報が多い（齊藤，2022，55頁，59頁）。そのため、本研究の分析の一部は、先行研究が引用する新聞・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1.6</w:t>
      </w:r>
      <w:r w:rsidRPr="000004C3">
        <w:rPr>
          <w:rFonts w:ascii="Century" w:hAnsi="Century" w:eastAsia="ＭＳ 明朝"/>
          <w:b/>
          <w:bCs/>
          <w:sz w:val="24"/>
          <w:szCs w:val="28"/>
          <w:lang w:eastAsia="ja-JP"/>
        </w:rPr>
        <w:t xml:space="preserve">　研究の意義</w:t>
      </w:r>
    </w:p>
    <w:p w14:paraId="11D91383" w14:textId="77777777" w:rsidR="00F6394A" w:rsidRPr="000004C3" w:rsidRDefault="00000000" w:rsidP="00F6394A">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本研究の意義は、学術的意義と実務的意義の二つに分けられる。</w:t>
      </w:r>
    </w:p>
    <w:p w14:paraId="259796FA" w14:textId="4387C6A4" w:rsidR="00F6394A" w:rsidRPr="000004C3" w:rsidRDefault="00F6394A" w:rsidP="00F6394A">
      <w:pPr>
        <w:keepNext/>
        <w:spacing w:lineRule="exact" w:line="360"/>
        <w:ind w:left="0" w:firstLine="0"/>
        <w:jc w:val="both"/>
        <w:rPr>
          <w:rFonts w:eastAsiaTheme="minorEastAsia"/>
          <w:sz w:val="28"/>
          <w:szCs w:val="28"/>
        </w:rPr>
      </w:pPr>
      <w:r w:rsidRPr="000004C3">
        <w:rPr>
          <w:rFonts w:hint="eastAsia" w:ascii="Century" w:hAnsi="Century" w:eastAsia="ＭＳ 明朝"/>
          <w:b/>
          <w:sz w:val="24"/>
          <w:szCs w:val="28"/>
          <w:lang w:eastAsia="ja-JP"/>
        </w:rPr>
        <w:t>（1）学術的意義</w:t>
      </w:r>
    </w:p>
    <w:p w14:paraId="137CF029" w14:textId="77777777" w:rsidR="00F6394A" w:rsidRPr="000004C3" w:rsidRDefault="00F6394A" w:rsidP="00F6394A">
      <w:pPr>
        <w:spacing w:lineRule="exact" w:line="360"/>
        <w:jc w:val="both"/>
        <w:rPr>
          <w:rFonts w:eastAsiaTheme="minorEastAsia"/>
          <w:sz w:val="28"/>
          <w:szCs w:val="28"/>
          <w:lang w:eastAsia="ja-JP"/>
        </w:rPr>
      </w:pPr>
      <w:r w:rsidRPr="000004C3">
        <w:rPr>
          <w:rFonts w:hint="eastAsia" w:ascii="Century" w:hAnsi="Century" w:eastAsia="ＭＳ 明朝"/>
          <w:sz w:val="24"/>
          <w:szCs w:val="28"/>
          <w:lang w:eastAsia="ja-JP"/>
        </w:rPr>
        <w:t xml:space="preserve">　第一に、日米のラストマイル配送体制の違いを記述するだけでなく、その違いが「なぜ」生じたのかを理論的に説明しようとする点である。1.2で述べたように、齊藤（2022，44-65頁）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287頁）、多国籍企業が本国の仕組みを各国でどの程度共通化し、どの程度現地に適応させるかを主な分析対象とするものではない。一方、標準化・現地適応論は、多国籍企業が各国の環境にどう対応するかを扱うが、個々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ascii="Century" w:hAnsi="Century" w:eastAsia="ＭＳ 明朝"/>
          <w:sz w:val="24"/>
          <w:szCs w:val="28"/>
          <w:lang w:eastAsia="ja-JP"/>
        </w:rPr>
        <w:t>2023年には米国のDSPと同様の日本DSPが導入された</w:t>
      </w:r>
      <w:r w:rsidRPr="000004C3">
        <w:rPr>
          <w:rFonts w:hint="eastAsia"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keepNext/>
        <w:spacing w:lineRule="exact" w:line="360"/>
        <w:ind w:left="0" w:firstLine="0"/>
        <w:jc w:val="both"/>
        <w:rPr>
          <w:rFonts w:ascii="MS Mincho" w:eastAsiaTheme="minorEastAsia" w:hAnsi="MS Mincho"/>
          <w:sz w:val="28"/>
          <w:szCs w:val="28"/>
        </w:rPr>
      </w:pPr>
      <w:r w:rsidRPr="000004C3">
        <w:rPr>
          <w:rFonts w:ascii="Century" w:hAnsi="Century" w:eastAsia="ＭＳ 明朝"/>
          <w:b/>
          <w:sz w:val="24"/>
          <w:szCs w:val="28"/>
        </w:rPr>
        <w:t>（2）実</w:t>
      </w:r>
      <w:proofErr w:type="gramStart"/>
      <w:r w:rsidRPr="000004C3">
        <w:rPr>
          <w:rFonts w:ascii="Century" w:hAnsi="Century" w:eastAsia="ＭＳ 明朝"/>
          <w:b/>
          <w:sz w:val="24"/>
          <w:szCs w:val="28"/>
        </w:rPr>
        <w:t>務</w:t>
      </w:r>
      <w:proofErr w:type="gramEnd"/>
      <w:r w:rsidRPr="000004C3">
        <w:rPr>
          <w:rFonts w:ascii="Century" w:hAnsi="Century" w:eastAsia="ＭＳ 明朝"/>
          <w:b/>
          <w:sz w:val="24"/>
          <w:szCs w:val="28"/>
        </w:rPr>
        <w:t>的意義</w:t>
      </w:r>
    </w:p>
    <w:p w14:paraId="681BDDBF" w14:textId="5FC5D795" w:rsidR="00182494" w:rsidRPr="000004C3" w:rsidRDefault="00182494" w:rsidP="00182494">
      <w:pPr>
        <w:spacing w:lineRule="exact" w:line="360"/>
        <w:ind w:firstLineChars="100" w:firstLine="240"/>
        <w:jc w:val="both"/>
        <w:rPr>
          <w:rFonts w:ascii="MS Mincho" w:hAnsi="MS Mincho"/>
          <w:sz w:val="28"/>
          <w:szCs w:val="28"/>
          <w:lang w:eastAsia="ja-JP"/>
        </w:rPr>
      </w:pPr>
      <w:r w:rsidRPr="000004C3">
        <w:rPr>
          <w:rFonts w:ascii="Century" w:hAnsi="Century" w:eastAsia="ＭＳ 明朝"/>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spacing w:lineRule="exact" w:line="360"/>
        <w:jc w:val="both"/>
        <w:rPr>
          <w:rFonts w:ascii="MS Mincho" w:hAnsi="MS Mincho"/>
          <w:sz w:val="28"/>
          <w:szCs w:val="28"/>
          <w:lang w:eastAsia="ja-JP"/>
        </w:rPr>
      </w:pPr>
      <w:r w:rsidRPr="000004C3">
        <w:rPr>
          <w:rFonts w:ascii="Century" w:hAnsi="Century" w:eastAsia="ＭＳ 明朝"/>
          <w:sz w:val="24"/>
          <w:szCs w:val="28"/>
          <w:lang w:eastAsia="ja-JP"/>
        </w:rPr>
        <w:t xml:space="preserve">　第二に、日本のラストマイル配送が直面する課題への示唆である。アマゾンジャパンが大手宅配便事業者に代わる担い手として採用してきたADPは（齊藤，2022，65頁）、協力会社や個人の軽貨物運送事業者による下請構造に支えられており（齊藤，2022，59-60頁）、こうした軽貨物運送事業者の長時間労働や低収入が課題として指摘されている（齊藤，2022，60-61頁，64頁）。また、ドライバー不足が深刻化するなかで（林，2020，9頁）、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spacing w:lineRule="exact" w:line="360"/>
        <w:jc w:val="both"/>
        <w:rPr>
          <w:rFonts w:ascii="MS Mincho" w:hAnsi="MS Mincho"/>
          <w:sz w:val="28"/>
          <w:szCs w:val="28"/>
          <w:lang w:eastAsia="ja-JP"/>
        </w:rPr>
      </w:pPr>
    </w:p>
    <w:p w14:paraId="463F2777" w14:textId="77777777" w:rsidR="00066731" w:rsidRPr="000004C3" w:rsidRDefault="00000000">
      <w:pPr>
        <w:keepNext/>
        <w:spacing w:lineRule="exact" w:line="360"/>
        <w:ind w:firstLine="0" w:left="0"/>
        <w:rPr>
          <w:sz w:val="28"/>
          <w:szCs w:val="28"/>
          <w:lang w:eastAsia="ja-JP"/>
        </w:rPr>
      </w:pPr>
      <w:r w:rsidRPr="000004C3">
        <w:rPr>
          <w:rFonts w:ascii="Century" w:hAnsi="Century" w:eastAsia="ＭＳ 明朝"/>
          <w:b/>
          <w:sz w:val="24"/>
          <w:szCs w:val="28"/>
          <w:lang w:eastAsia="ja-JP"/>
        </w:rPr>
        <w:t>1.7</w:t>
      </w:r>
      <w:r w:rsidRPr="000004C3">
        <w:rPr>
          <w:rFonts w:ascii="Century" w:hAnsi="Century" w:eastAsia="ＭＳ 明朝"/>
          <w:b/>
          <w:sz w:val="24"/>
          <w:szCs w:val="28"/>
          <w:lang w:eastAsia="ja-JP"/>
        </w:rPr>
        <w:t xml:space="preserve">　論文の構成</w:t>
      </w:r>
    </w:p>
    <w:p w14:paraId="47F659EA" w14:textId="77777777" w:rsidR="00182494" w:rsidRPr="000004C3" w:rsidRDefault="00182494" w:rsidP="00182494">
      <w:pPr>
        <w:spacing w:lineRule="exact" w:line="360"/>
        <w:ind w:firstLineChars="100" w:firstLine="240"/>
        <w:rPr>
          <w:sz w:val="28"/>
          <w:szCs w:val="28"/>
          <w:lang w:eastAsia="ja-JP"/>
        </w:rPr>
      </w:pPr>
      <w:r w:rsidRPr="000004C3">
        <w:rPr>
          <w:rFonts w:ascii="Century" w:hAnsi="Century" w:eastAsia="ＭＳ 明朝"/>
          <w:sz w:val="24"/>
          <w:szCs w:val="28"/>
          <w:lang w:eastAsia="ja-JP"/>
        </w:rPr>
        <w:t>本論文は、本章を含めて全</w:t>
      </w:r>
      <w:r w:rsidRPr="000004C3">
        <w:rPr>
          <w:rFonts w:ascii="Century" w:hAnsi="Century" w:eastAsia="ＭＳ 明朝"/>
          <w:sz w:val="24"/>
          <w:szCs w:val="28"/>
          <w:lang w:eastAsia="ja-JP"/>
        </w:rPr>
        <w:t>7</w:t>
      </w:r>
      <w:r w:rsidRPr="000004C3">
        <w:rPr>
          <w:rFonts w:ascii="Century" w:hAnsi="Century" w:eastAsia="ＭＳ 明朝"/>
          <w:sz w:val="24"/>
          <w:szCs w:val="28"/>
          <w:lang w:eastAsia="ja-JP"/>
        </w:rPr>
        <w:t>章で構成される。</w:t>
      </w:r>
    </w:p>
    <w:p w14:paraId="50E43641"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1</w:t>
      </w:r>
      <w:r w:rsidRPr="000004C3">
        <w:rPr>
          <w:rFonts w:ascii="Century" w:hAnsi="Century" w:eastAsia="ＭＳ 明朝"/>
          <w:b/>
          <w:sz w:val="24"/>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lastRenderedPageBreak/>
        <w:t xml:space="preserve">　第</w:t>
      </w:r>
      <w:r w:rsidRPr="000004C3">
        <w:rPr>
          <w:rFonts w:ascii="Century" w:hAnsi="Century" w:eastAsia="ＭＳ 明朝"/>
          <w:b/>
          <w:sz w:val="24"/>
          <w:szCs w:val="28"/>
          <w:lang w:eastAsia="ja-JP"/>
        </w:rPr>
        <w:t>2</w:t>
      </w:r>
      <w:r w:rsidRPr="000004C3">
        <w:rPr>
          <w:rFonts w:ascii="Century" w:hAnsi="Century" w:eastAsia="ＭＳ 明朝"/>
          <w:b/>
          <w:sz w:val="24"/>
          <w:szCs w:val="28"/>
          <w:lang w:eastAsia="ja-JP"/>
        </w:rPr>
        <w:t>章では、ラストマイル配送および</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3</w:t>
      </w:r>
      <w:r w:rsidRPr="000004C3">
        <w:rPr>
          <w:rFonts w:ascii="Century" w:hAnsi="Century" w:eastAsia="ＭＳ 明朝"/>
          <w:b/>
          <w:sz w:val="24"/>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4</w:t>
      </w:r>
      <w:r w:rsidRPr="000004C3">
        <w:rPr>
          <w:rFonts w:ascii="Century" w:hAnsi="Century" w:eastAsia="ＭＳ 明朝"/>
          <w:b/>
          <w:sz w:val="24"/>
          <w:szCs w:val="28"/>
          <w:lang w:eastAsia="ja-JP"/>
        </w:rPr>
        <w:t>章では、</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の日米におけるラストマイル配送体制の展開について、米国の</w:t>
      </w:r>
      <w:r w:rsidRPr="000004C3">
        <w:rPr>
          <w:rFonts w:ascii="Century" w:hAnsi="Century" w:eastAsia="ＭＳ 明朝"/>
          <w:b/>
          <w:sz w:val="24"/>
          <w:szCs w:val="28"/>
          <w:lang w:eastAsia="ja-JP"/>
        </w:rPr>
        <w:t>DSP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、日本の</w:t>
      </w:r>
      <w:r w:rsidRPr="000004C3">
        <w:rPr>
          <w:rFonts w:ascii="Century" w:hAnsi="Century" w:eastAsia="ＭＳ 明朝"/>
          <w:b/>
          <w:sz w:val="24"/>
          <w:szCs w:val="28"/>
          <w:lang w:eastAsia="ja-JP"/>
        </w:rPr>
        <w:t>ADP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、および日本DSPを対象に</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、担い手、契約形態、管理方式の観点から整理する。</w:t>
      </w:r>
    </w:p>
    <w:p w14:paraId="6F910EA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5</w:t>
      </w:r>
      <w:r w:rsidRPr="000004C3">
        <w:rPr>
          <w:rFonts w:ascii="Century" w:hAnsi="Century" w:eastAsia="ＭＳ 明朝"/>
          <w:b/>
          <w:sz w:val="24"/>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6</w:t>
      </w:r>
      <w:r w:rsidRPr="000004C3">
        <w:rPr>
          <w:rFonts w:ascii="Century" w:hAnsi="Century" w:eastAsia="ＭＳ 明朝"/>
          <w:b/>
          <w:sz w:val="24"/>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についても検討する。</w:t>
      </w:r>
    </w:p>
    <w:p w14:paraId="135A80D2"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7</w:t>
      </w:r>
      <w:r w:rsidRPr="000004C3">
        <w:rPr>
          <w:rFonts w:ascii="Century" w:hAnsi="Century" w:eastAsia="ＭＳ 明朝"/>
          <w:b/>
          <w:sz w:val="24"/>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spacing w:lineRule="exact" w:line="360"/>
        <w:rPr>
          <w:sz w:val="28"/>
          <w:szCs w:val="28"/>
          <w:lang w:eastAsia="ja-JP"/>
        </w:rPr>
      </w:pPr>
      <w:r w:rsidRPr="000004C3">
        <w:rPr>
          <w:rFonts w:ascii="Century" w:hAnsi="Century" w:eastAsia="ＭＳ 明朝"/>
          <w:sz w:val="24"/>
          <w:szCs w:val="28"/>
          <w:lang w:eastAsia="ja-JP"/>
        </w:rPr>
        <w:t xml:space="preserve">　なお、</w:t>
      </w:r>
      <w:r w:rsidRPr="000004C3">
        <w:rPr>
          <w:rFonts w:ascii="Century" w:hAnsi="Century" w:eastAsia="ＭＳ 明朝"/>
          <w:sz w:val="24"/>
          <w:szCs w:val="28"/>
          <w:lang w:eastAsia="ja-JP"/>
        </w:rPr>
        <w:t>RQ1</w:t>
      </w:r>
      <w:r w:rsidRPr="000004C3">
        <w:rPr>
          <w:rFonts w:ascii="Century" w:hAnsi="Century" w:eastAsia="ＭＳ 明朝"/>
          <w:sz w:val="24"/>
          <w:szCs w:val="28"/>
          <w:lang w:eastAsia="ja-JP"/>
        </w:rPr>
        <w:t>には主に第</w:t>
      </w:r>
      <w:r w:rsidRPr="000004C3">
        <w:rPr>
          <w:rFonts w:ascii="Century" w:hAnsi="Century" w:eastAsia="ＭＳ 明朝"/>
          <w:sz w:val="24"/>
          <w:szCs w:val="28"/>
          <w:lang w:eastAsia="ja-JP"/>
        </w:rPr>
        <w:t>4</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RQ2</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5</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RQ3</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3</w:t>
      </w:r>
      <w:r w:rsidRPr="000004C3">
        <w:rPr>
          <w:rFonts w:ascii="Century" w:hAnsi="Century" w:eastAsia="ＭＳ 明朝"/>
          <w:sz w:val="24"/>
          <w:szCs w:val="28"/>
          <w:lang w:eastAsia="ja-JP"/>
        </w:rPr>
        <w:t>章および第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章で答える。</w:t>
      </w:r>
    </w:p>
    <w:p w14:paraId="6F068359" w14:textId="77777777" w:rsidR="00066731" w:rsidRPr="000004C3" w:rsidRDefault="00066731">
      <w:pPr>
        <w:spacing w:lineRule="exact" w:line="360"/>
        <w:rPr>
          <w:sz w:val="28"/>
          <w:szCs w:val="28"/>
          <w:lang w:eastAsia="ja-JP"/>
        </w:rPr>
      </w:pPr>
    </w:p>
    <w:p w14:paraId="04D33368" w14:textId="7769B414" w:rsidR="00066731" w:rsidRPr="000004C3" w:rsidRDefault="00066731">
      <w:pPr>
        <w:spacing w:lineRule="exact" w:line="360"/>
        <w:ind w:left="420" w:hanging="420"/>
        <w:rPr>
          <w:sz w:val="28"/>
          <w:szCs w:val="28"/>
        </w:rPr>
      </w:pPr>
    </w:p>
    <w:p>
      <w:pPr>
        <w:spacing w:lineRule="exact" w:line="360"/>
      </w:pPr>
      <w:r>
        <w:rPr>
          <w:rFonts w:ascii="Century" w:hAnsi="Century" w:eastAsia="ＭＳ 明朝"/>
          <w:sz w:val="24"/>
        </w:rPr>
        <w:br w:type="page"/>
      </w:r>
    </w:p>
    <w:p>
      <w:pPr>
        <w:keepNext/>
        <w:spacing w:lineRule="exact" w:line="360"/>
        <w:ind w:firstLine="0" w:left="0"/>
      </w:pPr>
      <w:r>
        <w:rPr>
          <w:rFonts w:ascii="Century" w:hAnsi="Century" w:eastAsia="ＭＳ 明朝"/>
          <w:b/>
          <w:sz w:val="24"/>
        </w:rPr>
        <w:t>第2章　先行研究と分析枠組み</w:t>
      </w:r>
    </w:p>
    <w:p w14:paraId="3F236251" w14:textId="77777777" w:rsidR="0095074D" w:rsidRPr="008228F3" w:rsidRDefault="00000000">
      <w:pPr>
        <w:keepNext/>
        <w:spacing w:lineRule="exact" w:line="360"/>
        <w:ind w:firstLine="0" w:left="0"/>
        <w:rPr>
          <w:rFonts w:ascii="MS Mincho" w:eastAsia="MS Mincho" w:hAnsi="MS Mincho"/>
          <w:lang w:eastAsia="ja-JP"/>
        </w:rPr>
      </w:pPr>
      <w:r w:rsidRPr="008228F3">
        <w:rPr>
          <w:rFonts w:ascii="Century" w:eastAsia="ＭＳ 明朝" w:hAnsi="Century"/>
          <w:b/>
          <w:sz w:val="24"/>
          <w:lang w:eastAsia="ja-JP"/>
        </w:rPr>
        <w:t>2.1　ラストマイル配送とAmazonの配送体制に関する先行研究</w:t>
      </w:r>
    </w:p>
    <w:p w14:paraId="4B7FA128"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2.1.1　ラストマイル配送に関する研究</w:t>
      </w:r>
    </w:p>
    <w:p w14:paraId="5BBA1ED5" w14:textId="5EB741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ラストマイル配送に関する研究は、大きく二つの視点から行われてきた。第一は、顧客の視点から、配送の品質と顧客満足との関係を検討する研究である。丁（2023，8頁）は、ECのフルフィルメントに関する先行研究をレビューし、注文の追跡や適時性、商品の状態といった配送段階のフルフィルメント要素が顧客満足に影響を与えることを示している。また丁（2026，39頁）は、ラストマイル配送における情報品質が、顧客満足と再利用意向に与える影響を検討している。</w:t>
      </w:r>
    </w:p>
    <w:p w14:paraId="0E3DAAC6" w14:textId="72C37DDC"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第二は、物流事業者や産業の視点から、ラストマイル配送を担う体制の課題を検討する研究である。林（2020）は、ネット通販の急増とドライバー不足を背景とする宅配危機を論じ（9頁）、ラストマイルが自動化の困難な最も労働集約的な工程であり、物流革新の大きな障壁となっていることを指摘している（13-14頁）。</w:t>
      </w:r>
    </w:p>
    <w:p w14:paraId="6ECD15CA" w14:textId="56679475"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10頁，13頁）がAmazonによる配送事業者の組織化に触れているものの、主たる検討対象とはなっていない。</w:t>
      </w:r>
    </w:p>
    <w:p w14:paraId="4CC9D880"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2.1.2　Amazonの配送体制に関する研究</w:t>
      </w:r>
    </w:p>
    <w:p w14:paraId="7683728D" w14:textId="7DAF4AC1"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53-56頁，59-60頁）。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64-65頁）。</w:t>
      </w:r>
    </w:p>
    <w:p w14:paraId="2BCE7313" w14:textId="7ED3B5BA"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日本の近年の動向については、齊藤（2023）が、宅配便以外で運ばれる、いわゆる「隠れ宅配」の増加を指摘したうえで（36-37頁）、ADPとAmazon Flexでは費用構造が異なり、Amazonは需要の変動に対応するため、宅配便、ADP、Amazon Flexという費用構造の異なる三つの配送主体に依存していると論じている（41頁）。また林（2023，10頁）は、2024年問題が近づくなかで、2023年に配送会社の起業を支援する新たなプログラムが導入されたことを指摘している。さらに長谷川（2023，44-49頁）は、ADP、Amazon Flex、AHDPなど、ラストマイル配送の最新の動向を整理している。</w:t>
      </w:r>
    </w:p>
    <w:p w14:paraId="2A217074"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lastRenderedPageBreak/>
        <w:t>2.1.3　先行研究の到達点と課題</w:t>
      </w:r>
    </w:p>
    <w:p w14:paraId="5FE3CFBB"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以上の先行研究により、Amazonが日米で脱宅配便を進め、それぞれ異なる担い手と管理方式によって配送体制を構築してきた実態は、詳細に明らかにされてきた。なかでも齊藤（2022，44-65頁）は、日米の取り組みを比較した研究として重要である。</w:t>
      </w:r>
    </w:p>
    <w:p w14:paraId="41A51E9D" w14:textId="1AEF9576"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しかし、残された課題として次の三点が挙げられる。第一に、日米の違いがなぜ生じたのかについての理論的な説明である。齊藤（2022，44頁）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41頁）、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keepNext/>
        <w:spacing w:lineRule="exact" w:line="360"/>
        <w:ind w:firstLine="0" w:left="0"/>
        <w:rPr>
          <w:lang w:eastAsia="ja-JP"/>
        </w:rPr>
      </w:pPr>
      <w:r>
        <w:rPr>
          <w:rFonts w:ascii="Century" w:hAnsi="Century" w:eastAsia="ＭＳ 明朝"/>
          <w:b/>
          <w:sz w:val="24"/>
          <w:lang w:eastAsia="ja-JP"/>
        </w:rPr>
        <w:t>2.2</w:t>
      </w:r>
      <w:r>
        <w:rPr>
          <w:rFonts w:ascii="Century" w:hAnsi="Century" w:eastAsia="ＭＳ 明朝"/>
          <w:b/>
          <w:sz w:val="24"/>
          <w:lang w:eastAsia="ja-JP"/>
        </w:rPr>
        <w:t xml:space="preserve">　取引費用論</w:t>
      </w:r>
    </w:p>
    <w:p w14:paraId="46A61E4D" w14:textId="77777777" w:rsidR="0077602D" w:rsidRDefault="00000000">
      <w:pPr>
        <w:spacing w:lineRule="exact" w:line="360"/>
        <w:ind w:firstLine="240"/>
        <w:jc w:val="both"/>
        <w:rPr>
          <w:lang w:eastAsia="ja-JP"/>
        </w:rPr>
      </w:pPr>
      <w:r>
        <w:rPr>
          <w:rFonts w:ascii="Century" w:hAnsi="Century" w:eastAsia="ＭＳ 明朝"/>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keepNext/>
        <w:spacing w:lineRule="exact" w:line="360"/>
        <w:ind w:firstLine="0" w:left="0"/>
        <w:rPr>
          <w:lang w:eastAsia="ja-JP"/>
        </w:rPr>
      </w:pPr>
      <w:r>
        <w:rPr>
          <w:rFonts w:ascii="Century" w:hAnsi="Century" w:eastAsia="ＭＳ 明朝"/>
          <w:b/>
          <w:sz w:val="24"/>
          <w:lang w:eastAsia="ja-JP"/>
        </w:rPr>
        <w:t>2.2.1</w:t>
      </w:r>
      <w:r>
        <w:rPr>
          <w:rFonts w:ascii="Century" w:hAnsi="Century" w:eastAsia="ＭＳ 明朝"/>
          <w:b/>
          <w:sz w:val="24"/>
          <w:lang w:eastAsia="ja-JP"/>
        </w:rPr>
        <w:t xml:space="preserve">　取引費用論の基本的な考え方</w:t>
      </w:r>
    </w:p>
    <w:p w14:paraId="0E287AF0" w14:textId="77777777" w:rsidR="0077602D" w:rsidRDefault="00000000">
      <w:pPr>
        <w:spacing w:lineRule="exact" w:line="360"/>
        <w:ind w:firstLine="240"/>
        <w:jc w:val="both"/>
        <w:rPr>
          <w:lang w:eastAsia="ja-JP"/>
        </w:rPr>
      </w:pPr>
      <w:r>
        <w:rPr>
          <w:rFonts w:ascii="Century" w:hAnsi="Century" w:eastAsia="ＭＳ 明朝"/>
          <w:sz w:val="24"/>
          <w:lang w:eastAsia="ja-JP"/>
        </w:rPr>
        <w:t>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武田（2013，317-318頁）が先行研究にもとづいて行った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spacing w:lineRule="exact" w:line="360"/>
        <w:ind w:firstLine="240"/>
        <w:jc w:val="both"/>
        <w:rPr>
          <w:lang w:eastAsia="ja-JP"/>
        </w:rPr>
      </w:pPr>
      <w:r>
        <w:rPr>
          <w:rFonts w:ascii="Century" w:hAnsi="Century" w:eastAsia="ＭＳ 明朝"/>
          <w:sz w:val="24"/>
          <w:lang w:eastAsia="ja-JP"/>
        </w:rPr>
        <w:t>Coaseが必ずしも明確にしなかった、市場での取引に費用が生じる理由を、Williamsonは人間行動の二つの特性、すなわち限定合理性と機会主義に求めた（武田，2013，324頁）。Williamson（1985，30頁）は、人間は合理的であろうと意図するものの、その合理性には限界があるという限定合理性を、取引費用論の行動仮定の一つとしている。機会主義とは、狡猾さを伴って自己の利益を追求すること（self-interest seeking with guile）である（Williamson，1985，30頁）。</w:t>
      </w:r>
      <w:proofErr w:type="spellStart"/>
      <w:proofErr w:type="spellEnd"/>
    </w:p>
    <w:p w14:paraId="3DD535CE" w14:textId="77777777" w:rsidR="0077602D" w:rsidRDefault="00000000">
      <w:pPr>
        <w:spacing w:lineRule="exact" w:line="360"/>
        <w:ind w:firstLine="240"/>
        <w:jc w:val="both"/>
        <w:rPr>
          <w:lang w:eastAsia="ja-JP"/>
        </w:rPr>
      </w:pPr>
      <w:r>
        <w:rPr>
          <w:rFonts w:ascii="Century" w:hAnsi="Century" w:eastAsia="ＭＳ 明朝"/>
          <w:sz w:val="24"/>
          <w:lang w:eastAsia="ja-JP"/>
        </w:rPr>
        <w:t>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14:paraId="377DFBEC" w14:textId="77777777" w:rsidR="0077602D" w:rsidRDefault="00000000">
      <w:pPr>
        <w:keepNext/>
        <w:spacing w:lineRule="exact" w:line="360"/>
        <w:ind w:firstLine="0" w:left="0"/>
        <w:rPr>
          <w:lang w:eastAsia="ja-JP"/>
        </w:rPr>
      </w:pPr>
      <w:r>
        <w:rPr>
          <w:rFonts w:ascii="Century" w:hAnsi="Century" w:eastAsia="ＭＳ 明朝"/>
          <w:b/>
          <w:sz w:val="24"/>
          <w:lang w:eastAsia="ja-JP"/>
        </w:rPr>
        <w:t>2.2.2</w:t>
      </w:r>
      <w:r>
        <w:rPr>
          <w:rFonts w:ascii="Century" w:hAnsi="Century" w:eastAsia="ＭＳ 明朝"/>
          <w:b/>
          <w:sz w:val="24"/>
          <w:lang w:eastAsia="ja-JP"/>
        </w:rPr>
        <w:t xml:space="preserve">　取引の属性と資産特殊性</w:t>
      </w:r>
    </w:p>
    <w:p w14:paraId="77366FA3" w14:textId="77777777" w:rsidR="0077602D" w:rsidRDefault="00000000">
      <w:pPr>
        <w:spacing w:lineRule="exact" w:line="360"/>
        <w:ind w:firstLine="240"/>
        <w:jc w:val="both"/>
        <w:rPr>
          <w:lang w:eastAsia="ja-JP"/>
        </w:rPr>
      </w:pPr>
      <w:r>
        <w:rPr>
          <w:rFonts w:ascii="Century" w:hAnsi="Century" w:eastAsia="ＭＳ 明朝"/>
          <w:sz w:val="24"/>
          <w:lang w:eastAsia="ja-JP"/>
        </w:rPr>
        <w:t>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spacing w:lineRule="exact" w:line="360"/>
        <w:ind w:firstLine="240"/>
        <w:jc w:val="both"/>
        <w:rPr>
          <w:lang w:eastAsia="ja-JP"/>
        </w:rPr>
      </w:pPr>
      <w:r>
        <w:rPr>
          <w:rFonts w:ascii="Century" w:hAnsi="Century" w:eastAsia="ＭＳ 明朝"/>
          <w:sz w:val="24"/>
          <w:lang w:eastAsia="ja-JP"/>
        </w:rPr>
        <w:t>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14:paraId="1F3AAA24" w14:textId="77777777" w:rsidR="0077602D" w:rsidRDefault="00000000">
      <w:pPr>
        <w:spacing w:lineRule="exact" w:line="360"/>
        <w:ind w:firstLine="240"/>
        <w:jc w:val="both"/>
        <w:rPr>
          <w:lang w:eastAsia="ja-JP"/>
        </w:rPr>
      </w:pPr>
      <w:r>
        <w:rPr>
          <w:rFonts w:ascii="Century" w:hAnsi="Century" w:eastAsia="ＭＳ 明朝"/>
          <w:sz w:val="24"/>
          <w:lang w:eastAsia="ja-JP"/>
        </w:rPr>
        <w:t>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14:paraId="289DDCF4" w14:textId="77777777" w:rsidR="0077602D" w:rsidRDefault="00000000">
      <w:pPr>
        <w:spacing w:lineRule="exact" w:line="360"/>
        <w:ind w:firstLine="240"/>
        <w:jc w:val="both"/>
        <w:rPr>
          <w:lang w:eastAsia="ja-JP"/>
        </w:rPr>
      </w:pPr>
      <w:r>
        <w:rPr>
          <w:rFonts w:ascii="Century" w:hAnsi="Century" w:eastAsia="ＭＳ 明朝"/>
          <w:sz w:val="24"/>
          <w:lang w:eastAsia="ja-JP"/>
        </w:rPr>
        <w:t>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14:paraId="4B32471E" w14:textId="77777777" w:rsidR="0077602D" w:rsidRDefault="00000000">
      <w:pPr>
        <w:keepNext/>
        <w:spacing w:lineRule="exact" w:line="360"/>
        <w:ind w:firstLine="0" w:left="0"/>
        <w:rPr>
          <w:lang w:eastAsia="ja-JP"/>
        </w:rPr>
      </w:pPr>
      <w:r>
        <w:rPr>
          <w:rFonts w:ascii="Century" w:hAnsi="Century" w:eastAsia="ＭＳ 明朝"/>
          <w:b/>
          <w:sz w:val="24"/>
          <w:lang w:eastAsia="ja-JP"/>
        </w:rPr>
        <w:t>2.2.3</w:t>
      </w:r>
      <w:r>
        <w:rPr>
          <w:rFonts w:ascii="Century" w:hAnsi="Century" w:eastAsia="ＭＳ 明朝"/>
          <w:b/>
          <w:sz w:val="24"/>
          <w:lang w:eastAsia="ja-JP"/>
        </w:rPr>
        <w:t xml:space="preserve">　ガバナンス構造と識別的整合</w:t>
      </w:r>
    </w:p>
    <w:p w14:paraId="62DF38DE" w14:textId="77777777" w:rsidR="0077602D" w:rsidRDefault="00000000">
      <w:pPr>
        <w:spacing w:lineRule="exact" w:line="360"/>
        <w:ind w:firstLine="240"/>
        <w:jc w:val="both"/>
        <w:rPr>
          <w:lang w:eastAsia="ja-JP"/>
        </w:rPr>
      </w:pPr>
      <w:r>
        <w:rPr>
          <w:rFonts w:ascii="Century" w:hAnsi="Century" w:eastAsia="ＭＳ 明朝"/>
          <w:sz w:val="24"/>
          <w:lang w:eastAsia="ja-JP"/>
        </w:rPr>
        <w:t>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14:paraId="289576DD" w14:textId="77777777" w:rsidR="0077602D" w:rsidRDefault="00000000">
      <w:pPr>
        <w:spacing w:lineRule="exact" w:line="360"/>
        <w:ind w:firstLine="240"/>
        <w:jc w:val="both"/>
        <w:rPr>
          <w:lang w:eastAsia="ja-JP"/>
        </w:rPr>
      </w:pPr>
      <w:r>
        <w:rPr>
          <w:rFonts w:ascii="Century" w:hAnsi="Century" w:eastAsia="ＭＳ 明朝"/>
          <w:sz w:val="24"/>
          <w:lang w:eastAsia="ja-JP"/>
        </w:rPr>
        <w:t>三つのガバナンス構造は、インセンティブや管理的統制といった手段、適応能力、そして依拠する契約法において異なる（Williamson，1991，277-281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14:paraId="08FDCA70" w14:textId="77777777" w:rsidR="0077602D" w:rsidRDefault="00000000">
      <w:pPr>
        <w:keepNext/>
        <w:spacing w:before="120" w:lineRule="exact" w:line="360"/>
        <w:jc w:val="center"/>
        <w:rPr>
          <w:lang w:eastAsia="ja-JP"/>
        </w:rPr>
      </w:pPr>
      <w:r>
        <w:rPr>
          <w:rFonts w:ascii="Century" w:eastAsia="ＭＳ 明朝" w:hAnsi="Century"/>
          <w:sz w:val="24"/>
          <w:lang w:eastAsia="ja-JP"/>
        </w:rPr>
        <w:t>表</w:t>
      </w:r>
      <w:r>
        <w:rPr>
          <w:rFonts w:ascii="Century" w:eastAsia="ＭＳ 明朝" w:hAnsi="Century"/>
          <w:sz w:val="24"/>
          <w:lang w:eastAsia="ja-JP"/>
        </w:rPr>
        <w:t>2-1</w:t>
      </w:r>
      <w:r>
        <w:rPr>
          <w:rFonts w:ascii="Century" w:eastAsia="ＭＳ 明朝" w:hAnsi="Century"/>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rFonts w:ascii="Century" w:hAnsi="Century" w:eastAsia="ＭＳ 明朝"/>
                <w:b/>
                <w:bCs/>
                <w:sz w:val="19"/>
                <w:szCs w:val="19"/>
              </w:rPr>
              <w:t>属性</w:t>
            </w:r>
          </w:p>
        </w:tc>
        <w:tc>
          <w:tcPr>
            <w:tcW w:w="1650" w:type="dxa"/>
            <w:vAlign w:val="center"/>
          </w:tcPr>
          <w:p w14:paraId="4C4A8A98" w14:textId="77777777" w:rsidR="0077602D" w:rsidRDefault="00000000">
            <w:pPr>
              <w:keepNext/>
              <w:keepLines/>
              <w:spacing w:line="300" w:lineRule="exact"/>
              <w:jc w:val="center"/>
            </w:pPr>
            <w:r>
              <w:rPr>
                <w:rFonts w:ascii="Century" w:hAnsi="Century" w:eastAsia="ＭＳ 明朝"/>
                <w:b/>
                <w:bCs/>
                <w:sz w:val="19"/>
                <w:szCs w:val="19"/>
              </w:rPr>
              <w:t>市</w:t>
            </w:r>
            <w:proofErr w:type="gramStart"/>
            <w:r>
              <w:rPr>
                <w:rFonts w:ascii="Century" w:hAnsi="Century" w:eastAsia="ＭＳ 明朝"/>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rFonts w:ascii="Century" w:hAnsi="Century" w:eastAsia="ＭＳ 明朝"/>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rFonts w:ascii="Century" w:hAnsi="Century" w:eastAsia="ＭＳ 明朝"/>
                <w:b/>
                <w:bCs/>
                <w:sz w:val="19"/>
                <w:szCs w:val="19"/>
              </w:rPr>
              <w:t>階</w:t>
            </w:r>
            <w:proofErr w:type="gramStart"/>
            <w:r>
              <w:rPr>
                <w:rFonts w:ascii="Century" w:hAnsi="Century" w:eastAsia="ＭＳ 明朝"/>
                <w:b/>
                <w:bCs/>
                <w:sz w:val="19"/>
                <w:szCs w:val="19"/>
              </w:rPr>
              <w:t>層</w:t>
            </w:r>
            <w:proofErr w:type="gramEnd"/>
            <w:r>
              <w:rPr>
                <w:rFonts w:ascii="Century" w:hAnsi="Century" w:eastAsia="ＭＳ 明朝"/>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rFonts w:ascii="Century" w:hAnsi="Century" w:eastAsia="ＭＳ 明朝"/>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rFonts w:ascii="Century" w:hAnsi="Century" w:eastAsia="ＭＳ 明朝"/>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EB6410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50E8987B"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rFonts w:ascii="Century" w:hAnsi="Century" w:eastAsia="ＭＳ 明朝"/>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5455370A"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642D5897" w14:textId="77777777" w:rsidR="0077602D" w:rsidRDefault="00000000">
            <w:pPr>
              <w:keepNext/>
              <w:keepLines/>
              <w:spacing w:line="300" w:lineRule="exact"/>
              <w:jc w:val="center"/>
            </w:pPr>
            <w:r>
              <w:rPr>
                <w:rFonts w:ascii="Century" w:hAnsi="Century" w:eastAsia="ＭＳ 明朝"/>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rFonts w:ascii="Century" w:hAnsi="Century" w:eastAsia="ＭＳ 明朝"/>
                <w:b/>
                <w:bCs/>
                <w:sz w:val="19"/>
                <w:szCs w:val="19"/>
              </w:rPr>
              <w:lastRenderedPageBreak/>
              <w:t>適</w:t>
            </w:r>
            <w:proofErr w:type="gramStart"/>
            <w:r w:rsidRPr="00740743">
              <w:rPr>
                <w:rFonts w:ascii="Century" w:hAnsi="Century" w:eastAsia="ＭＳ 明朝"/>
                <w:b/>
                <w:bCs/>
                <w:sz w:val="19"/>
                <w:szCs w:val="19"/>
              </w:rPr>
              <w:t>応</w:t>
            </w:r>
            <w:proofErr w:type="gramEnd"/>
            <w:r w:rsidRPr="00740743">
              <w:rPr>
                <w:rFonts w:ascii="Century" w:hAnsi="Century" w:eastAsia="ＭＳ 明朝"/>
                <w:b/>
                <w:bCs/>
                <w:sz w:val="19"/>
                <w:szCs w:val="19"/>
              </w:rPr>
              <w:t>能力</w:t>
            </w:r>
          </w:p>
        </w:tc>
        <w:tc>
          <w:tcPr>
            <w:tcW w:w="2200" w:type="dxa"/>
            <w:vAlign w:val="center"/>
          </w:tcPr>
          <w:p w14:paraId="362EA51E" w14:textId="77777777" w:rsidR="0077602D" w:rsidRDefault="00000000">
            <w:pPr>
              <w:keepNext/>
              <w:keepLines/>
              <w:spacing w:line="300" w:lineRule="exact"/>
              <w:jc w:val="center"/>
            </w:pPr>
            <w:r>
              <w:rPr>
                <w:rFonts w:ascii="Century" w:hAnsi="Century" w:eastAsia="ＭＳ 明朝"/>
                <w:b/>
                <w:bCs/>
                <w:sz w:val="19"/>
                <w:szCs w:val="19"/>
              </w:rPr>
              <w:t>自律的適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A</w:t>
            </w:r>
            <w:r>
              <w:rPr>
                <w:rFonts w:ascii="Century" w:hAnsi="Century" w:eastAsia="ＭＳ 明朝"/>
                <w:b/>
                <w:bCs/>
                <w:sz w:val="19"/>
                <w:szCs w:val="19"/>
              </w:rPr>
              <w:t>）</w:t>
            </w:r>
          </w:p>
        </w:tc>
        <w:tc>
          <w:tcPr>
            <w:tcW w:w="1650" w:type="dxa"/>
            <w:vAlign w:val="center"/>
          </w:tcPr>
          <w:p w14:paraId="368139C7"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69264E2"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934E090"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rFonts w:ascii="Century" w:hAnsi="Century" w:eastAsia="ＭＳ 明朝"/>
                <w:b/>
                <w:bCs/>
                <w:sz w:val="19"/>
                <w:szCs w:val="19"/>
              </w:rPr>
              <w:t>協調的適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C</w:t>
            </w:r>
            <w:r>
              <w:rPr>
                <w:rFonts w:ascii="Century" w:hAnsi="Century" w:eastAsia="ＭＳ 明朝"/>
                <w:b/>
                <w:bCs/>
                <w:sz w:val="19"/>
                <w:szCs w:val="19"/>
              </w:rPr>
              <w:t>）</w:t>
            </w:r>
          </w:p>
        </w:tc>
        <w:tc>
          <w:tcPr>
            <w:tcW w:w="1650" w:type="dxa"/>
            <w:vAlign w:val="center"/>
          </w:tcPr>
          <w:p w14:paraId="0D49EAE2"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67C48C28"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7A41D33D" w14:textId="77777777" w:rsidR="0077602D" w:rsidRDefault="00000000">
            <w:pPr>
              <w:keepNext/>
              <w:keepLines/>
              <w:spacing w:line="300" w:lineRule="exact"/>
              <w:jc w:val="center"/>
            </w:pPr>
            <w:r>
              <w:rPr>
                <w:rFonts w:ascii="Century" w:hAnsi="Century" w:eastAsia="ＭＳ 明朝"/>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rFonts w:ascii="Century" w:hAnsi="Century" w:eastAsia="ＭＳ 明朝"/>
                <w:b/>
                <w:bCs/>
                <w:sz w:val="19"/>
                <w:szCs w:val="19"/>
              </w:rPr>
              <w:t>契</w:t>
            </w:r>
            <w:proofErr w:type="gramEnd"/>
            <w:r>
              <w:rPr>
                <w:rFonts w:ascii="Century" w:hAnsi="Century" w:eastAsia="ＭＳ 明朝"/>
                <w:b/>
                <w:bCs/>
                <w:sz w:val="19"/>
                <w:szCs w:val="19"/>
              </w:rPr>
              <w:t>約法</w:t>
            </w:r>
          </w:p>
        </w:tc>
        <w:tc>
          <w:tcPr>
            <w:tcW w:w="1650" w:type="dxa"/>
            <w:vAlign w:val="center"/>
          </w:tcPr>
          <w:p w14:paraId="7B83CCBC"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A52391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F6402E4" w14:textId="77777777" w:rsidR="0077602D" w:rsidRDefault="00000000">
            <w:pPr>
              <w:keepNext/>
              <w:keepLines/>
              <w:spacing w:line="300" w:lineRule="exact"/>
              <w:jc w:val="center"/>
            </w:pPr>
            <w:r>
              <w:rPr>
                <w:rFonts w:ascii="Century" w:hAnsi="Century" w:eastAsia="ＭＳ 明朝"/>
                <w:sz w:val="19"/>
                <w:szCs w:val="19"/>
              </w:rPr>
              <w:t>０</w:t>
            </w:r>
          </w:p>
        </w:tc>
      </w:tr>
    </w:tbl>
    <w:p w14:paraId="5ACA8638" w14:textId="42D30D85" w:rsidR="0077602D" w:rsidRDefault="00000000">
      <w:pPr>
        <w:spacing w:lineRule="exact" w:line="360"/>
        <w:rPr>
          <w:lang w:eastAsia="ja-JP"/>
        </w:rPr>
      </w:pPr>
      <w:r>
        <w:rPr>
          <w:rFonts w:ascii="Century" w:hAnsi="Century" w:eastAsia="ＭＳ 明朝"/>
          <w:sz w:val="18"/>
          <w:szCs w:val="18"/>
          <w:lang w:eastAsia="ja-JP"/>
        </w:rPr>
        <w:t>（注）＋＋＝強い，＋＝中程度，０＝弱い。</w:t>
      </w:r>
    </w:p>
    <w:p w14:paraId="268C0164" w14:textId="77777777" w:rsidR="0077602D" w:rsidRDefault="00000000">
      <w:pPr>
        <w:spacing w:lineRule="exact" w:line="360"/>
        <w:rPr>
          <w:lang w:eastAsia="ja-JP"/>
        </w:rPr>
      </w:pPr>
      <w:r>
        <w:rPr>
          <w:rFonts w:ascii="Century" w:hAnsi="Century" w:eastAsia="ＭＳ 明朝"/>
          <w:sz w:val="18"/>
          <w:szCs w:val="18"/>
          <w:lang w:eastAsia="ja-JP"/>
        </w:rPr>
        <w:t>出所：Williamson（1991，281頁，Table 1）をもとに筆者作成。</w:t>
      </w:r>
    </w:p>
    <w:p w14:paraId="641E1425" w14:textId="77777777" w:rsidR="0077602D" w:rsidRDefault="0077602D">
      <w:pPr>
        <w:spacing w:lineRule="exact" w:line="360"/>
        <w:rPr>
          <w:lang w:eastAsia="ja-JP"/>
        </w:rPr>
      </w:pPr>
    </w:p>
    <w:p w14:paraId="70F7BFD5" w14:textId="77777777" w:rsidR="0077602D" w:rsidRDefault="00000000">
      <w:pPr>
        <w:spacing w:lineRule="exact" w:line="360"/>
        <w:ind w:firstLine="240"/>
        <w:jc w:val="both"/>
        <w:rPr>
          <w:lang w:eastAsia="ja-JP"/>
        </w:rPr>
      </w:pPr>
      <w:r>
        <w:rPr>
          <w:rFonts w:ascii="Century" w:hAnsi="Century" w:eastAsia="ＭＳ 明朝"/>
          <w:sz w:val="24"/>
          <w:lang w:eastAsia="ja-JP"/>
        </w:rPr>
        <w:t>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14:paraId="6B8739E6" w14:textId="77777777" w:rsidR="0077602D" w:rsidRDefault="00000000">
      <w:pPr>
        <w:spacing w:lineRule="exact" w:line="360"/>
        <w:ind w:firstLine="240"/>
        <w:jc w:val="both"/>
        <w:rPr>
          <w:lang w:eastAsia="ja-JP"/>
        </w:rPr>
      </w:pPr>
      <w:r>
        <w:rPr>
          <w:rFonts w:ascii="Century" w:hAnsi="Century" w:eastAsia="ＭＳ 明朝"/>
          <w:sz w:val="24"/>
          <w:lang w:eastAsia="ja-JP"/>
        </w:rPr>
        <w:t>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keepNext/>
        <w:spacing w:lineRule="exact" w:line="360"/>
        <w:ind w:firstLine="0" w:left="0"/>
        <w:rPr>
          <w:lang w:eastAsia="ja-JP"/>
        </w:rPr>
      </w:pPr>
      <w:r>
        <w:rPr>
          <w:rFonts w:ascii="Century" w:hAnsi="Century" w:eastAsia="ＭＳ 明朝"/>
          <w:b/>
          <w:sz w:val="24"/>
          <w:lang w:eastAsia="ja-JP"/>
        </w:rPr>
        <w:t>2.2.4</w:t>
      </w:r>
      <w:r>
        <w:rPr>
          <w:rFonts w:ascii="Century" w:hAnsi="Century" w:eastAsia="ＭＳ 明朝"/>
          <w:b/>
          <w:sz w:val="24"/>
          <w:lang w:eastAsia="ja-JP"/>
        </w:rPr>
        <w:t xml:space="preserve">　制度的環境と統治コスト</w:t>
      </w:r>
    </w:p>
    <w:p w14:paraId="138560AA"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Williamson（1991，287頁）は、既存の定義を用いて、生産、交換、分配の基礎となる政治的・社会的・法的な基本ルールの集合を制度的環境と呼んでいる。そのうえで、制度的環境を、ガバナンス構造の相対的な統治コストを変化させるパラメータ（shift parameters）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さらにWilliamson（1991，293-294頁）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illiamson，1991，294頁）。</w:t>
      </w:r>
    </w:p>
    <w:p w14:paraId="3BB3F198" w14:textId="09373F11" w:rsidR="0077602D" w:rsidRDefault="00740743" w:rsidP="00740743">
      <w:pPr>
        <w:spacing w:lineRule="exact" w:line="360"/>
        <w:ind w:firstLineChars="100" w:firstLine="240"/>
        <w:jc w:val="both"/>
        <w:rPr>
          <w:lang w:eastAsia="ja-JP"/>
        </w:rPr>
      </w:pPr>
      <w:r w:rsidRPr="00740743">
        <w:rPr>
          <w:rFonts w:hint="eastAsia" w:ascii="Century" w:hAnsi="Century" w:eastAsia="ＭＳ 明朝"/>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ascii="Century" w:hAnsi="Century" w:eastAsia="ＭＳ 明朝"/>
          <w:sz w:val="24"/>
          <w:lang w:eastAsia="ja-JP"/>
        </w:rPr>
        <w:lastRenderedPageBreak/>
        <w:t>でどの程度共通化し、どの程度現地に適応させるかという問題を主な分析対象とするものではない。この点を補うため、次節では標準化・現地適応論を検討する。</w:t>
      </w:r>
    </w:p>
    <w:p>
      <w:r>
        <w:br w:type="page"/>
      </w:r>
    </w:p>
    <w:p>
      <w:pPr>
        <w:spacing w:lineRule="exact" w:line="360"/>
        <w:ind w:firstLine="0" w:left="0"/>
      </w:pPr>
      <w:r>
        <w:rPr>
          <w:rFonts w:ascii="Century" w:hAnsi="Century" w:eastAsia="ＭＳ 明朝"/>
          <w:b/>
          <w:sz w:val="24"/>
        </w:rPr>
        <w:t>参考文献</w:t>
      </w:r>
    </w:p>
    <w:p>
      <w:pPr>
        <w:spacing w:lineRule="exact" w:line="360"/>
        <w:ind w:firstLine="0" w:left="0"/>
      </w:pPr>
      <w:r>
        <w:rPr>
          <w:rFonts w:ascii="Century" w:hAnsi="Century" w:eastAsia="ＭＳ 明朝"/>
          <w:b/>
          <w:sz w:val="24"/>
        </w:rPr>
        <w:t>【日本語文献】</w:t>
      </w:r>
    </w:p>
    <w:p>
      <w:pPr>
        <w:spacing w:lineRule="exact" w:line="360"/>
        <w:ind w:hanging="480" w:left="480"/>
      </w:pPr>
      <w:r>
        <w:rPr>
          <w:rFonts w:ascii="Century" w:hAnsi="Century" w:eastAsia="ＭＳ 明朝"/>
          <w:b w:val="0"/>
          <w:sz w:val="24"/>
        </w:rPr>
        <w:t>アマゾンジャパン合同会社（2023）「Amazon、次世代の『デリバリーサービスパートナープログラム』の運用を開始」Amazon Newsroom，2023年3月30日，https://press.aboutamazon.com/jp/news/%E3%83%95%E3%83%AB%E3%83%95%E3%82%A3%E3%83%AB%E3%83%A1%E3%83%B3%E3%83%88%E3%82%BB%E3%83%B3%E3%82%BF%E3%83%BC-%E3%83%87%E3%83%AA%E3%83%90%E3%83%AA%E3%83%BC/2023/3/amazon-%E6%AC%A1%E4%B8%96%E4%BB%A3%E3%81%AE%E3%83%87%E3%83%AA%E3%83%90%E3%83%AA%E3%83%BC%E3%82%B5%E3%83%BC%E3%83%93%E3%82%B9%E3%83%91%E3%83%BC%E3%83%88%E3%83%8A%E3%83%BC%E3%83%97%E3%83%AD%E3%82%B0%E3%83%A9%E3%83%A0%E3%81%AE%E9%81%8B%E7%94%A8%E3%82%92%E9%96%8B%E5%A7%8B（2026年10月18日閲覧）。</w:t>
      </w:r>
      <w:r>
        <w:rPr>
          <w:rFonts w:ascii="Century" w:hAnsi="Century" w:eastAsia="ＭＳ 明朝"/>
          <w:b w:val="0"/>
          <w:sz w:val="24"/>
          <w:highlight w:val="yellow"/>
        </w:rPr>
      </w:r>
    </w:p>
    <w:p>
      <w:pPr>
        <w:spacing w:lineRule="exact" w:line="360"/>
        <w:ind w:hanging="480" w:left="480"/>
      </w:pPr>
      <w:r>
        <w:rPr>
          <w:rFonts w:ascii="Century" w:hAnsi="Century" w:eastAsia="ＭＳ 明朝"/>
          <w:b w:val="0"/>
          <w:sz w:val="24"/>
        </w:rPr>
        <w:t>経済産業省（2025）「令和6年度電子商取引に関する市場調査の結果を取りまとめました」ニュースリリース，2025年8月26日，https://www.meti.go.jp/press/2025/08/20250826005/20250826005.html（2026年10月18日閲覧）。</w:t>
      </w:r>
    </w:p>
    <w:p>
      <w:pPr>
        <w:spacing w:lineRule="exact" w:line="360"/>
        <w:ind w:hanging="480" w:left="480"/>
      </w:pPr>
      <w:r>
        <w:rPr>
          <w:rFonts w:ascii="Century" w:hAnsi="Century" w:eastAsia="ＭＳ 明朝"/>
          <w:b w:val="0"/>
          <w:sz w:val="24"/>
        </w:rPr>
        <w:t>齊藤実（2021）「Eコマース時代におけるアマゾンの物流戦略」『経済貿易研究：研究所年報』神奈川大学経済貿易研究所，47，39-62頁。</w:t>
      </w:r>
    </w:p>
    <w:p>
      <w:pPr>
        <w:spacing w:lineRule="exact" w:line="360"/>
        <w:ind w:hanging="480" w:left="480"/>
      </w:pPr>
      <w:r>
        <w:rPr>
          <w:rFonts w:ascii="Century" w:hAnsi="Century" w:eastAsia="ＭＳ 明朝"/>
          <w:b w:val="0"/>
          <w:sz w:val="24"/>
        </w:rPr>
        <w:t>齊藤実（2022）「第4章　アマゾンのラストマイル配送に関する日米比較」『消費者行動の変化が小型貨物輸送に及ぼす影響に関する研究』日交研シリーズA-840，公益社団法人日本交通政策研究会，44-68頁。</w:t>
      </w:r>
    </w:p>
    <w:p>
      <w:pPr>
        <w:spacing w:lineRule="exact" w:line="360"/>
        <w:ind w:hanging="480" w:left="480"/>
      </w:pPr>
      <w:r>
        <w:rPr>
          <w:rFonts w:ascii="Century" w:hAnsi="Century" w:eastAsia="ＭＳ 明朝"/>
          <w:b w:val="0"/>
          <w:sz w:val="24"/>
        </w:rPr>
        <w:t>齊藤実（2023）「第3章　ネット通販のラストマイル物流における現状と課題」『消費者行動の変化がネット通販物流に及ぼす影響に関する研究』日交研シリーズA-870，公益社団法人日本交通政策研究会，33-50頁。</w:t>
      </w:r>
    </w:p>
    <w:p>
      <w:pPr>
        <w:spacing w:lineRule="exact" w:line="360"/>
        <w:ind w:hanging="480" w:left="480"/>
      </w:pPr>
      <w:r>
        <w:rPr>
          <w:rFonts w:ascii="Century" w:hAnsi="Century" w:eastAsia="ＭＳ 明朝"/>
          <w:b w:val="0"/>
          <w:sz w:val="24"/>
        </w:rPr>
        <w:t>武田巧（2013）「取引費用低下と日本型経済諸制度」『政経論叢』明治大学政治経済研究所，81(3・4)，315-343頁。</w:t>
      </w:r>
    </w:p>
    <w:p>
      <w:pPr>
        <w:spacing w:lineRule="exact" w:line="360"/>
        <w:ind w:hanging="480" w:left="480"/>
      </w:pPr>
      <w:r>
        <w:rPr>
          <w:rFonts w:ascii="Century" w:hAnsi="Century" w:eastAsia="ＭＳ 明朝"/>
          <w:b w:val="0"/>
          <w:sz w:val="24"/>
        </w:rPr>
        <w:t>丁明（2023）「電子商取引におけるフルフィルメントが顧客満足に与える影響―文献レビュー―」『経営学研究論集』明治大学大学院，59，1-16頁。</w:t>
      </w:r>
    </w:p>
    <w:p>
      <w:pPr>
        <w:spacing w:lineRule="exact" w:line="360"/>
        <w:ind w:hanging="480" w:left="480"/>
      </w:pPr>
      <w:r>
        <w:rPr>
          <w:rFonts w:ascii="Century" w:hAnsi="Century" w:eastAsia="ＭＳ 明朝"/>
          <w:b w:val="0"/>
          <w:sz w:val="24"/>
        </w:rPr>
        <w:t>丁明（2026）「ラストマイル配送における情報品質が顧客満足と再利用意向に与える影響」『流通研究』日本商業学会，29(1)，39-52頁。</w:t>
      </w:r>
    </w:p>
    <w:p>
      <w:pPr>
        <w:spacing w:lineRule="exact" w:line="360"/>
        <w:ind w:hanging="480" w:left="480"/>
      </w:pPr>
      <w:r>
        <w:rPr>
          <w:rFonts w:ascii="Century" w:hAnsi="Century" w:eastAsia="ＭＳ 明朝"/>
          <w:b w:val="0"/>
          <w:sz w:val="24"/>
        </w:rPr>
        <w:t>長谷川雅行（2023）「ラストマイル配送における最新の動向」『物流問題研究』74，44-50頁。</w:t>
      </w:r>
    </w:p>
    <w:p>
      <w:pPr>
        <w:spacing w:lineRule="exact" w:line="360"/>
        <w:ind w:hanging="480" w:left="480"/>
      </w:pPr>
      <w:r>
        <w:rPr>
          <w:rFonts w:ascii="Century" w:hAnsi="Century" w:eastAsia="ＭＳ 明朝"/>
          <w:b w:val="0"/>
          <w:sz w:val="24"/>
        </w:rPr>
        <w:t>林克彦（2020）「宅配危機からネット通販物流革新へ」『計画行政』日本計画行政学会，43(2)，9-14頁。</w:t>
      </w:r>
    </w:p>
    <w:p>
      <w:pPr>
        <w:spacing w:lineRule="exact" w:line="360"/>
        <w:ind w:hanging="480" w:left="480"/>
      </w:pPr>
      <w:r>
        <w:rPr>
          <w:rFonts w:ascii="Century" w:hAnsi="Century" w:eastAsia="ＭＳ 明朝"/>
          <w:b w:val="0"/>
          <w:sz w:val="24"/>
        </w:rPr>
        <w:t>林克彦（2023）「第1章　ウィズコロナ期における消費者行動とネット通販物流の変化」『消費者行動の変化がネット通販物流に及ぼす影響に関する研究』日交研シリーズA-870，公益社団法人日本交通政策研究会，1-17頁。</w:t>
      </w:r>
    </w:p>
    <w:p>
      <w:pPr>
        <w:spacing w:lineRule="exact" w:line="360"/>
        <w:ind w:firstLine="0" w:left="0"/>
      </w:pPr>
    </w:p>
    <w:p>
      <w:pPr>
        <w:spacing w:lineRule="exact" w:line="360"/>
        <w:ind w:firstLine="0" w:left="0"/>
      </w:pPr>
      <w:r>
        <w:rPr>
          <w:rFonts w:ascii="Century" w:hAnsi="Century" w:eastAsia="ＭＳ 明朝"/>
          <w:b/>
          <w:sz w:val="24"/>
        </w:rPr>
        <w:t>【外国語文献】</w:t>
      </w:r>
    </w:p>
    <w:p>
      <w:pPr>
        <w:spacing w:lineRule="exact" w:line="360"/>
        <w:ind w:hanging="480" w:left="480"/>
      </w:pPr>
      <w:r>
        <w:rPr>
          <w:rFonts w:ascii="Century" w:hAnsi="Century" w:eastAsia="ＭＳ 明朝"/>
          <w:b w:val="0"/>
          <w:sz w:val="24"/>
        </w:rPr>
        <w:t>Bartlett, C. A., &amp; Ghoshal, S. (1989). Managing across borders: The transnational solution. Harvard Business School Press.</w:t>
      </w:r>
    </w:p>
    <w:p>
      <w:pPr>
        <w:spacing w:lineRule="exact" w:line="360"/>
        <w:ind w:hanging="480" w:left="480"/>
      </w:pPr>
      <w:r>
        <w:rPr>
          <w:rFonts w:ascii="Century" w:hAnsi="Century" w:eastAsia="ＭＳ 明朝"/>
          <w:b w:val="0"/>
          <w:sz w:val="24"/>
        </w:rPr>
        <w:t>Coase, R. H. (1937). The nature of the firm. Economica, 4(16), 386–405.</w:t>
      </w:r>
    </w:p>
    <w:p>
      <w:pPr>
        <w:spacing w:lineRule="exact" w:line="360"/>
        <w:ind w:hanging="480" w:left="480"/>
      </w:pPr>
      <w:r>
        <w:rPr>
          <w:rFonts w:ascii="Century" w:hAnsi="Century" w:eastAsia="ＭＳ 明朝"/>
          <w:b w:val="0"/>
          <w:sz w:val="24"/>
        </w:rPr>
        <w:t>Prahalad, C. K., &amp; Doz, Y. L. (1987). The multinational mission: Balancing local demands and global vision. Free Press.</w:t>
      </w:r>
    </w:p>
    <w:p>
      <w:pPr>
        <w:spacing w:lineRule="exact" w:line="360"/>
        <w:ind w:hanging="480" w:left="480"/>
      </w:pPr>
      <w:r>
        <w:rPr>
          <w:rFonts w:ascii="Century" w:hAnsi="Century" w:eastAsia="ＭＳ 明朝"/>
          <w:b w:val="0"/>
          <w:sz w:val="24"/>
        </w:rPr>
        <w:t>Williamson, O. E. (1985). The economic institutions of capitalism: Firms, markets, relational contracting. Free Press.</w:t>
      </w:r>
    </w:p>
    <w:p>
      <w:pPr>
        <w:spacing w:lineRule="exact" w:line="360"/>
        <w:ind w:hanging="480" w:left="480"/>
      </w:pPr>
      <w:r>
        <w:rPr>
          <w:rFonts w:ascii="Century" w:hAnsi="Century" w:eastAsia="ＭＳ 明朝"/>
          <w:b w:val="0"/>
          <w:sz w:val="24"/>
        </w:rPr>
        <w:t>Williamson, O. E. (1991). Comparative economic organization: The analysis of discrete structural alternatives. Administrative Science Quarterly, 36(2), 269–296.</w:t>
      </w:r>
    </w:p>
    <w:sectPr w:rsidR="00066731" w:rsidRPr="000004C3">
      <w:footerReference w:type="default" r:id="rId7"/>
      <w:pgSz w:w="11906" w:h="16838"/>
      <w:pgMar w:top="1984"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sz w:val="24"/>
    </w:r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