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新古典派経済学では、資源配分は価格メカニズムによって調整されると想定されてきた。これに対してCoase（1937，390頁）は、企業が設立される主な理由は、価格メカニズムを利用するための費用が存在することにあると論じた。市場で取引を行うには、適切な価格を見いだす費用や、取引ごとに契約を交渉・締結する費用がかかる（Coase，1937，390-391頁）。そのため、一部の取引を企業の内部に取り込むことで、こうした費用を節約できる場合がある。そして企業は、追加的な取引を企業内部で組織化する費用が、同じ取引を市場で行う費用と等しくなるところまで拡大するとされる（Coase，1937，395頁）。鈴木（2006）にもとづく武田（2013，317-318頁）の整理によれば、取引費用には、取引相手の探索、交渉、契約作成といった取引前の費用と、契約が守られているかのモニタリングや、契約不履行の際の執行といった取引後の費用が含まれる。</w:t>
      </w:r>
    </w:p>
    <w:p>
      <w:pPr>
        <w:ind w:firstLine="210"/>
        <w:jc w:val="both"/>
      </w:pPr>
      <w:r>
        <w:t xml:space="preserve">ただし、Coaseは市場での取引になぜ費用が生じるのかを必ずしも明確にしなかった。この点を、人間行動の特性から説明したのがWilliamsonである（武田，2013，324頁）。Williamsonは、限定合理性と機会主義という二つの特性を、取引費用を発生させる根本的な要因とした（武田，2013，319頁）。</w:t>
      </w:r>
    </w:p>
    <w:p>
      <w:pPr>
        <w:ind w:firstLine="210"/>
        <w:jc w:val="both"/>
      </w:pPr>
      <w:r>
        <w:t xml:space="preserve">第一の限定合理性とは、人間は「合理的であろうと意図されてはいるが，かぎられた程度でしか合理的ではありえない」という考え方である（Simon，1961，p.xxiv；武田，2013，320頁より引用）。そのため、将来起こりうるあらゆる事態を事前に予測し、契約に書き込むことはできず、契約は不完備なものとならざるを得ない（Williamson，1991，278頁）。第二の機会主義とは、「自己の利益を悪がしこいやり方で追求する」行動を指す（Williamson，1975，p.26；武田，2013，320頁より引用）</w:t>
      </w:r>
      <w:r>
        <w:rPr>
          <w:highlight w:val="yellow"/>
          <w:highlightCs w:val="yellow"/>
        </w:rPr>
        <w:t xml:space="preserve">【要確認：邦訳『市場と企業組織』44頁で原文を確認】</w:t>
      </w:r>
      <w:r>
        <w:t xml:space="preserve">。取引相手が多数存在すれば、相手を変更することで機会主義的な行動を抑止できる。しかし、取引相手が少数に限られると、相手を調査したり、詳細な契約を結んだり、契約後に履行を監視したりする必要が生じ、その分だけ取引費用が高まる（武田，2013，320頁）。さらに、取引の不確実性や複雑性が限定合理性と結びつき、取引の少数性が機会主義と結びつくことで、取引費用は一層高まるとされる（Williamson，1975，p.40；武田，2013，321頁）</w:t>
      </w:r>
      <w:r>
        <w:rPr>
          <w:highlight w:val="yellow"/>
          <w:highlightCs w:val="yellow"/>
        </w:rPr>
        <w:t xml:space="preserve">【要確認：邦訳65頁】</w:t>
      </w:r>
      <w:r>
        <w:t xml:space="preserve">。</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そして財やサービスの供給に伴う資産特殊性の種類と程度の三つを挙げている。そのうえで、取引費用論はとりわけ資産特殊性を重視するとしている（同上）。</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したがって、資産特殊性は、資産が標準的なものか否かという性質だけで決まるものではない。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このうち専用資産のように、汎用的な設備であっても、特定の顧客のために投資された場合には特殊性をもつことになる。</w:t>
      </w:r>
    </w:p>
    <w:p>
      <w:pPr>
        <w:ind w:firstLine="210"/>
        <w:jc w:val="both"/>
      </w:pPr>
      <w:r>
        <w:t xml:space="preserve">資産特殊性、とりわけ①から⑤の形態は、取引当事者の間に双方向の依存関係を生み出し、契約上の危険を高める（Williamson，1991，282頁）。資産特殊性がゼロであれば、取引相手が誰であるかは問題とならないが、特殊な投資が増えるほど、取引相手が誰であるかが重要になる（同上）。</w:t>
      </w:r>
    </w:p>
    <w:p>
      <w:pPr>
        <w:ind w:firstLine="210"/>
        <w:jc w:val="both"/>
      </w:pPr>
      <w:r>
        <w:t xml:space="preserve">不確実性については、攪乱（disturbance）の発生頻度が高まる場合と、攪乱の影響が大きくなる場合とが区別される（Williamson，1991，291頁）。頻度については、取引が1回限りであれば相手の情報を蓄積しにくく、機会主義の危険が高まるのに対し、取引が繰り返されるにつれて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では、Amazonのロゴが印刷された専用の配送車を使用し、Amazonの制服を着たドライバーがAmazonの貨物を配送する（齊藤，2022，49頁）。これは、ブランド資本や専用資産に近い性格をもつと考えられる。日本のADPやAmazon Flexにおいて、資産特殊性の種類と程度がどのように異なるかについては、第5章で検討する。</w:t>
      </w:r>
    </w:p>
    <w:p>
      <w:pPr>
        <w:pStyle w:val="Heading3"/>
      </w:pPr>
      <w:r>
        <w:t xml:space="preserve">2.2.3　ガバナンス構造と識別的整合</w:t>
      </w:r>
    </w:p>
    <w:p>
      <w:pPr>
        <w:ind w:firstLine="210"/>
        <w:jc w:val="both"/>
      </w:pPr>
      <w:r>
        <w:t xml:space="preserve">取引費用論の中心的な仮説は、属性の異なる取引が、費用と能力の異なるガバナンス構造と、主として取引費用を節約するように対応づけられるというものである（Williamson，1991，277頁）。これを識別的整合（discriminating alignment）仮説という。基本的なガバナンス構造としては、市場、階層組織（企業内部）、そして両者の中間に位置するハイブリッドの三つが挙げられる。ハイブリッドには、長期契約、相互取引、規制、フランチャイズなどが含まれる（Williamson，1991，280頁）。</w:t>
      </w:r>
    </w:p>
    <w:p>
      <w:pPr>
        <w:ind w:firstLine="210"/>
        <w:jc w:val="both"/>
      </w:pPr>
      <w:r>
        <w:t xml:space="preserve">Williamson（1991，278-280頁）によれば、三つのガバナンス構造は、主に適応の仕方とインセンティブ・管理の手段において異なる。適応には、価格の変化に応じて各当事者が自律的に対応する適応（A：autonomy）と、当事者間の調整を必要とする協調的な適応（C：cooperation）の二種類がある。市場は前者に優れ、強いインセンティブをもつ一方、階層組織は後者に優れ、監視などの管理的統制を強く用いることができるが、インセンティブは弱まる。ハイブリッドは、これらすべての点で市場と階層組織の中間的な性格をもつ（Williamson，1991，280-281頁）。これを整理したものが表2-1である。</w:t>
      </w:r>
    </w:p>
    <w:p>
      <w:pPr>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1900"/>
      </w:tblGrid>
      <w:tr>
        <w:tc>
          <w:tcPr>
            <w:tcW w:type="dxa" w:w="1900"/>
          </w:tcPr>
          <w:p>
            <w:pPr>
              <w:spacing w:line="300" w:lineRule="exact"/>
              <w:jc w:val="center"/>
            </w:pPr>
            <w:r>
              <w:rPr>
                <w:b/>
                <w:bCs/>
                <w:sz w:val="19"/>
                <w:szCs w:val="19"/>
              </w:rPr>
              <w:t xml:space="preserve"/>
            </w:r>
          </w:p>
        </w:tc>
        <w:tc>
          <w:tcPr>
            <w:tcW w:type="dxa" w:w="1900"/>
          </w:tcPr>
          <w:p>
            <w:pPr>
              <w:spacing w:line="300" w:lineRule="exact"/>
              <w:jc w:val="center"/>
            </w:pPr>
            <w:r>
              <w:rPr>
                <w:b/>
                <w:bCs/>
                <w:sz w:val="19"/>
                <w:szCs w:val="19"/>
              </w:rPr>
              <w:t xml:space="preserve">市場</w:t>
            </w:r>
          </w:p>
        </w:tc>
        <w:tc>
          <w:tcPr>
            <w:tcW w:type="dxa" w:w="1900"/>
          </w:tcPr>
          <w:p>
            <w:pPr>
              <w:spacing w:line="300" w:lineRule="exact"/>
              <w:jc w:val="center"/>
            </w:pPr>
            <w:r>
              <w:rPr>
                <w:b/>
                <w:bCs/>
                <w:sz w:val="19"/>
                <w:szCs w:val="19"/>
              </w:rPr>
              <w:t xml:space="preserve">ハイブリッド</w:t>
            </w:r>
          </w:p>
        </w:tc>
        <w:tc>
          <w:tcPr>
            <w:tcW w:type="dxa" w:w="1900"/>
          </w:tcPr>
          <w:p>
            <w:pPr>
              <w:spacing w:line="300" w:lineRule="exact"/>
              <w:jc w:val="center"/>
            </w:pPr>
            <w:r>
              <w:rPr>
                <w:b/>
                <w:bCs/>
                <w:sz w:val="19"/>
                <w:szCs w:val="19"/>
              </w:rPr>
              <w:t xml:space="preserve">階層組織</w:t>
            </w:r>
          </w:p>
        </w:tc>
      </w:tr>
      <w:tr>
        <w:tc>
          <w:tcPr>
            <w:tcW w:type="dxa" w:w="1900"/>
          </w:tcPr>
          <w:p>
            <w:pPr>
              <w:spacing w:line="300" w:lineRule="exact"/>
              <w:jc w:val="center"/>
            </w:pPr>
            <w:r>
              <w:rPr>
                <w:b/>
                <w:bCs/>
                <w:sz w:val="19"/>
                <w:szCs w:val="19"/>
              </w:rPr>
              <w:t xml:space="preserve">インセンティブの強さ</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r>
        <w:tc>
          <w:tcPr>
            <w:tcW w:type="dxa" w:w="1900"/>
          </w:tcPr>
          <w:p>
            <w:pPr>
              <w:spacing w:line="300" w:lineRule="exact"/>
              <w:jc w:val="center"/>
            </w:pPr>
            <w:r>
              <w:rPr>
                <w:b/>
                <w:bCs/>
                <w:sz w:val="19"/>
                <w:szCs w:val="19"/>
              </w:rPr>
              <w:t xml:space="preserve">管理的統制</w:t>
            </w:r>
          </w:p>
        </w:tc>
        <w:tc>
          <w:tcPr>
            <w:tcW w:type="dxa" w:w="1900"/>
          </w:tcPr>
          <w:p>
            <w:pPr>
              <w:spacing w:line="300" w:lineRule="exact"/>
              <w:jc w:val="center"/>
            </w:pPr>
            <w:r>
              <w:rPr>
                <w:b w:val="false"/>
                <w:bCs w:val="false"/>
                <w:sz w:val="19"/>
                <w:szCs w:val="19"/>
              </w:rPr>
              <w:t xml:space="preserve">０</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r>
      <w:tr>
        <w:tc>
          <w:tcPr>
            <w:tcW w:type="dxa" w:w="1900"/>
          </w:tcPr>
          <w:p>
            <w:pPr>
              <w:spacing w:line="300" w:lineRule="exact"/>
              <w:jc w:val="center"/>
            </w:pPr>
            <w:r>
              <w:rPr>
                <w:b/>
                <w:bCs/>
                <w:sz w:val="19"/>
                <w:szCs w:val="19"/>
              </w:rPr>
              <w:t xml:space="preserve">自律的適応（A）</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r>
        <w:tc>
          <w:tcPr>
            <w:tcW w:type="dxa" w:w="1900"/>
          </w:tcPr>
          <w:p>
            <w:pPr>
              <w:spacing w:line="300" w:lineRule="exact"/>
              <w:jc w:val="center"/>
            </w:pPr>
            <w:r>
              <w:rPr>
                <w:b/>
                <w:bCs/>
                <w:sz w:val="19"/>
                <w:szCs w:val="19"/>
              </w:rPr>
              <w:t xml:space="preserve">協調的適応（C）</w:t>
            </w:r>
          </w:p>
        </w:tc>
        <w:tc>
          <w:tcPr>
            <w:tcW w:type="dxa" w:w="1900"/>
          </w:tcPr>
          <w:p>
            <w:pPr>
              <w:spacing w:line="300" w:lineRule="exact"/>
              <w:jc w:val="center"/>
            </w:pPr>
            <w:r>
              <w:rPr>
                <w:b w:val="false"/>
                <w:bCs w:val="false"/>
                <w:sz w:val="19"/>
                <w:szCs w:val="19"/>
              </w:rPr>
              <w:t xml:space="preserve">０</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r>
      <w:tr>
        <w:tc>
          <w:tcPr>
            <w:tcW w:type="dxa" w:w="1900"/>
          </w:tcPr>
          <w:p>
            <w:pPr>
              <w:spacing w:line="300" w:lineRule="exact"/>
              <w:jc w:val="center"/>
            </w:pPr>
            <w:r>
              <w:rPr>
                <w:b/>
                <w:bCs/>
                <w:sz w:val="19"/>
                <w:szCs w:val="19"/>
              </w:rPr>
              <w:t xml:space="preserve">契約法</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w:t>
            </w:r>
          </w:p>
        </w:tc>
        <w:tc>
          <w:tcPr>
            <w:tcW w:type="dxa" w:w="1900"/>
          </w:tcPr>
          <w:p>
            <w:pPr>
              <w:spacing w:line="300" w:lineRule="exact"/>
              <w:jc w:val="center"/>
            </w:pPr>
            <w:r>
              <w:rPr>
                <w:b w:val="false"/>
                <w:bCs w:val="false"/>
                <w:sz w:val="19"/>
                <w:szCs w:val="19"/>
              </w:rPr>
              <w:t xml:space="preserve">０</w:t>
            </w:r>
          </w:p>
        </w:tc>
      </w:tr>
    </w:tbl>
    <w:p>
      <w:r>
        <w:rPr>
          <w:sz w:val="18"/>
          <w:szCs w:val="18"/>
        </w:rPr>
        <w:t xml:space="preserve">（注）＋＋＝強い，＋＝中程度，０＝弱い。</w:t>
      </w:r>
    </w:p>
    <w:p>
      <w:r>
        <w:rPr>
          <w:sz w:val="18"/>
          <w:szCs w:val="18"/>
        </w:rPr>
        <w:t xml:space="preserve">出所：Williamson（1991，281頁，Table 1）をもとに筆者作成。</w:t>
      </w:r>
    </w:p>
    <w:p/>
    <w:p>
      <w:pPr>
        <w:ind w:firstLine="210"/>
        <w:jc w:val="both"/>
      </w:pPr>
      <w:r>
        <w:t xml:space="preserve">このような特徴の違いから、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は最も不利になりやすい（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弱いものと強いものとでは、統治コストの曲線の位置が異なるとしている（Williamson，1991，284頁）。このことは、ガバナンス構造の違いを、市場・ハイブリッド・階層組織のいずれを選ぶかという問題だけでなく、同じ形態の中での管理の程度の違いとしても捉えられることを示してい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にならい、生産、交換、分配の基礎となる政治的・社会的・法的な基本ルールの集合を制度的環境と呼んでいる。そのうえで、制度的環境を、ガバナンス構造の相対的な統治コストを変化させるパラメータ（shift parameters）として位置づけている（同上）。具体的には、財産権、契約法、評判効果、不確実性の四つの変化が検討されている（同上）。また、市場・ハイブリッド・階層組織の三つを想定すると、市場から階層組織へ移行するには大きな環境変化が必要であるのに対し、市場からハイブリッドへ、あるいはハイブリッドから階層組織への移行は、より小さな変化によっても生じうるとされる（同上）。</w:t>
      </w:r>
    </w:p>
    <w:p>
      <w:pPr>
        <w:ind w:firstLine="210"/>
        <w:jc w:val="both"/>
      </w:pPr>
      <w:r>
        <w:t xml:space="preserve">さらにWilliamson（1991，293-294頁）は、日本企業の雇用、下請、銀行取引の慣行が相互に補完的な関係にあることに触れ、個々の慣行だけを他国にそのまま移植しても最適にはならないと指摘している。そのうえで、制度の分析を応用する際には、資本主義の形態ごとの文脈の違いを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2026-10-16T17:58:17.976Z</dcterms:created>
  <dcterms:modified xsi:type="dcterms:W3CDTF">2026-10-16T17:58:17.976Z</dcterms:modified>
</cp:coreProperties>
</file>

<file path=docProps/custom.xml><?xml version="1.0" encoding="utf-8"?>
<Properties xmlns="http://schemas.openxmlformats.org/officeDocument/2006/custom-properties" xmlns:vt="http://schemas.openxmlformats.org/officeDocument/2006/docPropsVTypes"/>
</file>