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Rule="exact" w:line="360"/>
      </w:pPr>
      <w:r>
        <w:rPr>
          <w:rFonts w:ascii="Century" w:hAnsi="Century" w:eastAsia="ＭＳ 明朝"/>
          <w:b/>
          <w:sz w:val="24"/>
        </w:rPr>
        <w:t>2.4　本研究の分析枠組み</w:t>
      </w:r>
    </w:p>
    <w:p>
      <w:pPr>
        <w:spacing w:lineRule="exact" w:line="360"/>
        <w:ind w:firstLine="240"/>
      </w:pPr>
      <w:r>
        <w:rPr>
          <w:rFonts w:ascii="Century" w:hAnsi="Century" w:eastAsia="ＭＳ 明朝"/>
          <w:b w:val="0"/>
          <w:sz w:val="24"/>
        </w:rPr>
        <w:t>本節では、2.2および2.3の検討を踏まえ、取引費用論と標準化・現地適応論を組み合わせた本研究の分析枠組みを提示する。</w:t>
      </w:r>
    </w:p>
    <w:p>
      <w:pPr>
        <w:keepNext/>
        <w:spacing w:lineRule="exact" w:line="360"/>
      </w:pPr>
      <w:r>
        <w:rPr>
          <w:rFonts w:ascii="Century" w:hAnsi="Century" w:eastAsia="ＭＳ 明朝"/>
          <w:b/>
          <w:sz w:val="24"/>
        </w:rPr>
        <w:t>2.4.1　二つの理論の役割</w:t>
      </w:r>
    </w:p>
    <w:p>
      <w:pPr>
        <w:spacing w:lineRule="exact" w:line="360"/>
        <w:ind w:firstLine="240"/>
      </w:pPr>
      <w:r>
        <w:rPr>
          <w:rFonts w:ascii="Century" w:hAnsi="Century" w:eastAsia="ＭＳ 明朝"/>
          <w:b w:val="0"/>
          <w:sz w:val="24"/>
        </w:rPr>
        <w:t>取引費用論は、属性の異なる取引が、統治コストを節約するようにガバナンス構造と対応づけられることを示す（Williamson，1991，277頁）。また、制度的環境を、ガバナンス構造の相対的な統治コストを変化させるパラメータとして位置づけている（Williamson，1991，287頁）。一方、標準化・現地適応論は、多国籍企業にとってグローバル統合と現地適応のバランスをいかにとるかが課題となること（中村，2010，100頁）、そしてそのバランスが業態や企業の置かれた環境によって異なることを示している（中村，2003，52頁；中村，2010，102-103頁）。</w:t>
      </w:r>
    </w:p>
    <w:p>
      <w:pPr>
        <w:spacing w:lineRule="exact" w:line="360"/>
        <w:ind w:firstLine="240"/>
      </w:pPr>
      <w:r>
        <w:rPr>
          <w:rFonts w:ascii="Century" w:hAnsi="Century" w:eastAsia="ＭＳ 明朝"/>
          <w:b w:val="0"/>
          <w:sz w:val="24"/>
        </w:rPr>
        <w:t>本研究では、前者を、日米で「なぜ」異なる配送方式が選ばれたのかを説明する理論として、後者を、日米で「何が」共通化され「何が」現地適応されているのかを整理する理論として用いる。</w:t>
      </w:r>
    </w:p>
    <w:p>
      <w:pPr>
        <w:keepNext/>
        <w:spacing w:lineRule="exact" w:line="360"/>
      </w:pPr>
      <w:r>
        <w:rPr>
          <w:rFonts w:ascii="Century" w:hAnsi="Century" w:eastAsia="ＭＳ 明朝"/>
          <w:b/>
          <w:sz w:val="24"/>
        </w:rPr>
        <w:t>2.4.2　分析の枠組み</w:t>
      </w:r>
    </w:p>
    <w:p>
      <w:pPr>
        <w:spacing w:lineRule="exact" w:line="360"/>
        <w:ind w:firstLine="240"/>
      </w:pPr>
      <w:r>
        <w:rPr>
          <w:rFonts w:ascii="Century" w:hAnsi="Century" w:eastAsia="ＭＳ 明朝"/>
          <w:b w:val="0"/>
          <w:sz w:val="24"/>
        </w:rPr>
        <w:t>本研究の分析枠組みを図2-1に示す。第一に、1.3で定義した日米の物流環境の違いを、ガバナンス構造の統治コストを変化させる条件として捉える。第二に、物流環境の違いが、Amazonと配送の担い手との取引の属性、すなわち資産特殊性、不確実性、頻度に違いをもたらすと考える。第三に、取引の属性に応じて、配送の担い手との契約形態と管理の程度、すなわちガバナンス構造が選択されると考える。その際、Williamson（1991，283-284頁）がフランチャイズを例に示したように、同じハイブリッドの中にも管理の程度に差があることに着目する。第四に、こうして生じたガバナンス構造の日米差を、標準化・現地適応論の視点から、共通化された要素と現地適応された要素として整理する。</w:t>
      </w:r>
    </w:p>
    <w:p>
      <w:pPr>
        <w:keepNext/>
        <w:spacing w:lineRule="exact" w:line="360"/>
        <w:jc w:val="center"/>
      </w:pPr>
      <w:r>
        <w:rPr>
          <w:rFonts w:ascii="Century" w:hAnsi="Century" w:eastAsia="ＭＳ 明朝"/>
          <w:b/>
          <w:sz w:val="21"/>
        </w:rPr>
        <w:t>図2-1　本研究の分析枠組み</w:t>
      </w:r>
    </w:p>
    <w:tbl>
      <w:tblPr>
        <w:tblW w:type="auto" w:w="0"/>
        <w:jc w:val="center"/>
        <w:tblLayout w:type="fixed"/>
        <w:tblLook w:firstColumn="1" w:firstRow="1" w:lastColumn="0" w:lastRow="0" w:noHBand="0" w:noVBand="1" w:val="04A0"/>
      </w:tblPr>
      <w:tblGrid>
        <w:gridCol w:w="1587"/>
        <w:gridCol w:w="5329"/>
        <w:gridCol w:w="1020"/>
      </w:tblGrid>
      <w:tr>
        <w:tc>
          <w:tcPr>
            <w:tcW w:type="dxa" w:w="1587"/>
            <w:vAlign w:val="center"/>
            <w:tcBorders>
              <w:top w:val="nil"/>
              <w:left w:val="nil"/>
              <w:bottom w:val="nil"/>
              <w:right w:val="nil"/>
            </w:tcBorders>
          </w:tcPr>
          <w:p>
            <w:pPr>
              <w:keepNext/>
              <w:spacing w:lineRule="exact" w:line="280"/>
              <w:jc w:val="center"/>
            </w:pPr>
            <w:r>
              <w:rPr>
                <w:rFonts w:ascii="Century" w:hAnsi="Century" w:eastAsia="ＭＳ 明朝"/>
                <w:b w:val="0"/>
                <w:sz w:val="19"/>
              </w:rPr>
            </w:r>
          </w:p>
        </w:tc>
        <w:tc>
          <w:tcPr>
            <w:tcW w:type="dxa" w:w="5329"/>
            <w:vAlign w:val="center"/>
            <w:tcBorders>
              <w:top w:val="single" w:sz="8"/>
              <w:left w:val="single" w:sz="8"/>
              <w:bottom w:val="single" w:sz="8"/>
              <w:right w:val="single" w:sz="8"/>
            </w:tcBorders>
          </w:tcPr>
          <w:p>
            <w:pPr>
              <w:keepNext/>
              <w:spacing w:lineRule="exact" w:line="280"/>
              <w:jc w:val="center"/>
            </w:pPr>
            <w:r>
              <w:rPr>
                <w:rFonts w:ascii="Century" w:hAnsi="Century" w:eastAsia="ＭＳ 明朝"/>
                <w:b w:val="0"/>
                <w:sz w:val="19"/>
              </w:rPr>
              <w:t>物流環境</w:t>
              <w:br/>
              <w:t>（宅配市場の構造、担い手・労働力、制度・規制、業界慣行、地理的条件）</w:t>
            </w:r>
          </w:p>
        </w:tc>
        <w:tc>
          <w:tcPr>
            <w:tcW w:type="dxa" w:w="1020"/>
            <w:vAlign w:val="center"/>
            <w:tcBorders>
              <w:top w:val="nil"/>
              <w:left w:val="nil"/>
              <w:bottom w:val="nil"/>
              <w:right w:val="nil"/>
            </w:tcBorders>
          </w:tcPr>
          <w:p>
            <w:pPr>
              <w:keepNext/>
              <w:spacing w:lineRule="exact" w:line="280"/>
              <w:jc w:val="center"/>
            </w:pPr>
            <w:r>
              <w:rPr>
                <w:rFonts w:ascii="Century" w:hAnsi="Century" w:eastAsia="ＭＳ 明朝"/>
                <w:b w:val="0"/>
                <w:sz w:val="19"/>
              </w:rPr>
              <w:t>第3章</w:t>
            </w:r>
          </w:p>
        </w:tc>
      </w:tr>
      <w:tr>
        <w:tc>
          <w:tcPr>
            <w:tcW w:type="dxa" w:w="1587"/>
            <w:vAlign w:val="center"/>
            <w:tcBorders>
              <w:top w:val="nil"/>
              <w:left w:val="nil"/>
              <w:bottom w:val="nil"/>
              <w:right w:val="nil"/>
            </w:tcBorders>
          </w:tcPr>
          <w:p>
            <w:pPr>
              <w:keepNext/>
              <w:spacing w:lineRule="exact" w:line="280"/>
              <w:jc w:val="center"/>
            </w:pPr>
            <w:r>
              <w:rPr>
                <w:rFonts w:ascii="Century" w:hAnsi="Century" w:eastAsia="ＭＳ 明朝"/>
                <w:b w:val="0"/>
                <w:sz w:val="19"/>
              </w:rPr>
            </w:r>
          </w:p>
        </w:tc>
        <w:tc>
          <w:tcPr>
            <w:tcW w:type="dxa" w:w="5329"/>
            <w:vAlign w:val="center"/>
            <w:tcBorders>
              <w:top w:val="nil"/>
              <w:left w:val="nil"/>
              <w:bottom w:val="nil"/>
              <w:right w:val="nil"/>
            </w:tcBorders>
          </w:tcPr>
          <w:p>
            <w:pPr>
              <w:keepNext/>
              <w:spacing w:lineRule="exact" w:line="280"/>
              <w:jc w:val="center"/>
            </w:pPr>
            <w:r>
              <w:rPr>
                <w:rFonts w:ascii="Century" w:hAnsi="Century" w:eastAsia="ＭＳ 明朝"/>
                <w:b w:val="0"/>
                <w:sz w:val="19"/>
              </w:rPr>
              <w:t>↓　統治コストを変化させる条件</w:t>
            </w:r>
          </w:p>
        </w:tc>
        <w:tc>
          <w:tcPr>
            <w:tcW w:type="dxa" w:w="1020"/>
            <w:vAlign w:val="center"/>
            <w:tcBorders>
              <w:top w:val="nil"/>
              <w:left w:val="nil"/>
              <w:bottom w:val="nil"/>
              <w:right w:val="nil"/>
            </w:tcBorders>
          </w:tcPr>
          <w:p>
            <w:pPr>
              <w:keepNext/>
              <w:spacing w:lineRule="exact" w:line="280"/>
              <w:jc w:val="center"/>
            </w:pPr>
            <w:r>
              <w:rPr>
                <w:rFonts w:ascii="Century" w:hAnsi="Century" w:eastAsia="ＭＳ 明朝"/>
                <w:b w:val="0"/>
                <w:sz w:val="19"/>
              </w:rPr>
            </w:r>
          </w:p>
        </w:tc>
      </w:tr>
      <w:tr>
        <w:tc>
          <w:tcPr>
            <w:tcW w:type="dxa" w:w="1587"/>
            <w:vAlign w:val="center"/>
            <w:tcBorders>
              <w:top w:val="nil"/>
              <w:left w:val="nil"/>
              <w:bottom w:val="nil"/>
              <w:right w:val="nil"/>
            </w:tcBorders>
          </w:tcPr>
          <w:p>
            <w:pPr>
              <w:keepNext/>
              <w:spacing w:lineRule="exact" w:line="280"/>
              <w:jc w:val="center"/>
            </w:pPr>
            <w:r>
              <w:rPr>
                <w:rFonts w:ascii="Century" w:hAnsi="Century" w:eastAsia="ＭＳ 明朝"/>
                <w:b w:val="0"/>
                <w:sz w:val="19"/>
              </w:rPr>
              <w:t>取引費用論</w:t>
              <w:br/>
              <w:t>（2.2）</w:t>
            </w:r>
          </w:p>
        </w:tc>
        <w:tc>
          <w:tcPr>
            <w:tcW w:type="dxa" w:w="5329"/>
            <w:vAlign w:val="center"/>
            <w:tcBorders>
              <w:top w:val="single" w:sz="8"/>
              <w:left w:val="single" w:sz="8"/>
              <w:bottom w:val="single" w:sz="8"/>
              <w:right w:val="single" w:sz="8"/>
            </w:tcBorders>
          </w:tcPr>
          <w:p>
            <w:pPr>
              <w:keepNext/>
              <w:spacing w:lineRule="exact" w:line="280"/>
              <w:jc w:val="center"/>
            </w:pPr>
            <w:r>
              <w:rPr>
                <w:rFonts w:ascii="Century" w:hAnsi="Century" w:eastAsia="ＭＳ 明朝"/>
                <w:b w:val="0"/>
                <w:sz w:val="19"/>
              </w:rPr>
              <w:t>取引の属性</w:t>
              <w:br/>
              <w:t>（資産特殊性・不確実性・頻度）</w:t>
            </w:r>
          </w:p>
        </w:tc>
        <w:tc>
          <w:tcPr>
            <w:tcW w:type="dxa" w:w="1020"/>
            <w:vAlign w:val="center"/>
            <w:tcBorders>
              <w:top w:val="nil"/>
              <w:left w:val="nil"/>
              <w:bottom w:val="nil"/>
              <w:right w:val="nil"/>
            </w:tcBorders>
          </w:tcPr>
          <w:p>
            <w:pPr>
              <w:keepNext/>
              <w:spacing w:lineRule="exact" w:line="280"/>
              <w:jc w:val="center"/>
            </w:pPr>
            <w:r>
              <w:rPr>
                <w:rFonts w:ascii="Century" w:hAnsi="Century" w:eastAsia="ＭＳ 明朝"/>
                <w:b w:val="0"/>
                <w:sz w:val="19"/>
              </w:rPr>
              <w:t>第5章</w:t>
            </w:r>
          </w:p>
        </w:tc>
      </w:tr>
      <w:tr>
        <w:tc>
          <w:tcPr>
            <w:tcW w:type="dxa" w:w="1587"/>
            <w:vAlign w:val="center"/>
            <w:tcBorders>
              <w:top w:val="nil"/>
              <w:left w:val="nil"/>
              <w:bottom w:val="nil"/>
              <w:right w:val="nil"/>
            </w:tcBorders>
          </w:tcPr>
          <w:p>
            <w:pPr>
              <w:keepNext/>
              <w:spacing w:lineRule="exact" w:line="280"/>
              <w:jc w:val="center"/>
            </w:pPr>
            <w:r>
              <w:rPr>
                <w:rFonts w:ascii="Century" w:hAnsi="Century" w:eastAsia="ＭＳ 明朝"/>
                <w:b w:val="0"/>
                <w:sz w:val="19"/>
              </w:rPr>
            </w:r>
          </w:p>
        </w:tc>
        <w:tc>
          <w:tcPr>
            <w:tcW w:type="dxa" w:w="5329"/>
            <w:vAlign w:val="center"/>
            <w:tcBorders>
              <w:top w:val="nil"/>
              <w:left w:val="nil"/>
              <w:bottom w:val="nil"/>
              <w:right w:val="nil"/>
            </w:tcBorders>
          </w:tcPr>
          <w:p>
            <w:pPr>
              <w:keepNext/>
              <w:spacing w:lineRule="exact" w:line="280"/>
              <w:jc w:val="center"/>
            </w:pPr>
            <w:r>
              <w:rPr>
                <w:rFonts w:ascii="Century" w:hAnsi="Century" w:eastAsia="ＭＳ 明朝"/>
                <w:b w:val="0"/>
                <w:sz w:val="19"/>
              </w:rPr>
              <w:t>↓　識別的整合</w:t>
            </w:r>
          </w:p>
        </w:tc>
        <w:tc>
          <w:tcPr>
            <w:tcW w:type="dxa" w:w="1020"/>
            <w:vAlign w:val="center"/>
            <w:tcBorders>
              <w:top w:val="nil"/>
              <w:left w:val="nil"/>
              <w:bottom w:val="nil"/>
              <w:right w:val="nil"/>
            </w:tcBorders>
          </w:tcPr>
          <w:p>
            <w:pPr>
              <w:keepNext/>
              <w:spacing w:lineRule="exact" w:line="280"/>
              <w:jc w:val="center"/>
            </w:pPr>
            <w:r>
              <w:rPr>
                <w:rFonts w:ascii="Century" w:hAnsi="Century" w:eastAsia="ＭＳ 明朝"/>
                <w:b w:val="0"/>
                <w:sz w:val="19"/>
              </w:rPr>
            </w:r>
          </w:p>
        </w:tc>
      </w:tr>
      <w:tr>
        <w:tc>
          <w:tcPr>
            <w:tcW w:type="dxa" w:w="1587"/>
            <w:vAlign w:val="center"/>
            <w:tcBorders>
              <w:top w:val="nil"/>
              <w:left w:val="nil"/>
              <w:bottom w:val="nil"/>
              <w:right w:val="nil"/>
            </w:tcBorders>
          </w:tcPr>
          <w:p>
            <w:pPr>
              <w:keepNext/>
              <w:spacing w:lineRule="exact" w:line="280"/>
              <w:jc w:val="center"/>
            </w:pPr>
            <w:r>
              <w:rPr>
                <w:rFonts w:ascii="Century" w:hAnsi="Century" w:eastAsia="ＭＳ 明朝"/>
                <w:b w:val="0"/>
                <w:sz w:val="19"/>
              </w:rPr>
              <w:t>取引費用論</w:t>
              <w:br/>
              <w:t>（2.2）</w:t>
            </w:r>
          </w:p>
        </w:tc>
        <w:tc>
          <w:tcPr>
            <w:tcW w:type="dxa" w:w="5329"/>
            <w:vAlign w:val="center"/>
            <w:tcBorders>
              <w:top w:val="single" w:sz="8"/>
              <w:left w:val="single" w:sz="8"/>
              <w:bottom w:val="single" w:sz="8"/>
              <w:right w:val="single" w:sz="8"/>
            </w:tcBorders>
          </w:tcPr>
          <w:p>
            <w:pPr>
              <w:keepNext/>
              <w:spacing w:lineRule="exact" w:line="280"/>
              <w:jc w:val="center"/>
            </w:pPr>
            <w:r>
              <w:rPr>
                <w:rFonts w:ascii="Century" w:hAnsi="Century" w:eastAsia="ＭＳ 明朝"/>
                <w:b w:val="0"/>
                <w:sz w:val="19"/>
              </w:rPr>
              <w:t>ガバナンス構造</w:t>
              <w:br/>
              <w:t>（契約形態・管理の程度）</w:t>
              <w:br/>
              <w:t>DSP／ADP／Amazon Flex／日本DSP</w:t>
            </w:r>
          </w:p>
        </w:tc>
        <w:tc>
          <w:tcPr>
            <w:tcW w:type="dxa" w:w="1020"/>
            <w:vAlign w:val="center"/>
            <w:tcBorders>
              <w:top w:val="nil"/>
              <w:left w:val="nil"/>
              <w:bottom w:val="nil"/>
              <w:right w:val="nil"/>
            </w:tcBorders>
          </w:tcPr>
          <w:p>
            <w:pPr>
              <w:keepNext/>
              <w:spacing w:lineRule="exact" w:line="280"/>
              <w:jc w:val="center"/>
            </w:pPr>
            <w:r>
              <w:rPr>
                <w:rFonts w:ascii="Century" w:hAnsi="Century" w:eastAsia="ＭＳ 明朝"/>
                <w:b w:val="0"/>
                <w:sz w:val="19"/>
              </w:rPr>
              <w:t>第4章</w:t>
              <w:br/>
              <w:t>第5章</w:t>
            </w:r>
          </w:p>
        </w:tc>
      </w:tr>
      <w:tr>
        <w:tc>
          <w:tcPr>
            <w:tcW w:type="dxa" w:w="1587"/>
            <w:vAlign w:val="center"/>
            <w:tcBorders>
              <w:top w:val="nil"/>
              <w:left w:val="nil"/>
              <w:bottom w:val="nil"/>
              <w:right w:val="nil"/>
            </w:tcBorders>
          </w:tcPr>
          <w:p>
            <w:pPr>
              <w:keepNext/>
              <w:spacing w:lineRule="exact" w:line="280"/>
              <w:jc w:val="center"/>
            </w:pPr>
            <w:r>
              <w:rPr>
                <w:rFonts w:ascii="Century" w:hAnsi="Century" w:eastAsia="ＭＳ 明朝"/>
                <w:b w:val="0"/>
                <w:sz w:val="19"/>
              </w:rPr>
            </w:r>
          </w:p>
        </w:tc>
        <w:tc>
          <w:tcPr>
            <w:tcW w:type="dxa" w:w="5329"/>
            <w:vAlign w:val="center"/>
            <w:tcBorders>
              <w:top w:val="nil"/>
              <w:left w:val="nil"/>
              <w:bottom w:val="nil"/>
              <w:right w:val="nil"/>
            </w:tcBorders>
          </w:tcPr>
          <w:p>
            <w:pPr>
              <w:keepNext/>
              <w:spacing w:lineRule="exact" w:line="280"/>
              <w:jc w:val="center"/>
            </w:pPr>
            <w:r>
              <w:rPr>
                <w:rFonts w:ascii="Century" w:hAnsi="Century" w:eastAsia="ＭＳ 明朝"/>
                <w:b w:val="0"/>
                <w:sz w:val="19"/>
              </w:rPr>
              <w:t>↓</w:t>
            </w:r>
          </w:p>
        </w:tc>
        <w:tc>
          <w:tcPr>
            <w:tcW w:type="dxa" w:w="1020"/>
            <w:vAlign w:val="center"/>
            <w:tcBorders>
              <w:top w:val="nil"/>
              <w:left w:val="nil"/>
              <w:bottom w:val="nil"/>
              <w:right w:val="nil"/>
            </w:tcBorders>
          </w:tcPr>
          <w:p>
            <w:pPr>
              <w:keepNext/>
              <w:spacing w:lineRule="exact" w:line="280"/>
              <w:jc w:val="center"/>
            </w:pPr>
            <w:r>
              <w:rPr>
                <w:rFonts w:ascii="Century" w:hAnsi="Century" w:eastAsia="ＭＳ 明朝"/>
                <w:b w:val="0"/>
                <w:sz w:val="19"/>
              </w:rPr>
            </w:r>
          </w:p>
        </w:tc>
      </w:tr>
      <w:tr>
        <w:tc>
          <w:tcPr>
            <w:tcW w:type="dxa" w:w="1587"/>
            <w:vAlign w:val="center"/>
            <w:tcBorders>
              <w:top w:val="nil"/>
              <w:left w:val="nil"/>
              <w:bottom w:val="nil"/>
              <w:right w:val="nil"/>
            </w:tcBorders>
          </w:tcPr>
          <w:p>
            <w:pPr>
              <w:keepNext/>
              <w:spacing w:lineRule="exact" w:line="280"/>
              <w:jc w:val="center"/>
            </w:pPr>
            <w:r>
              <w:rPr>
                <w:rFonts w:ascii="Century" w:hAnsi="Century" w:eastAsia="ＭＳ 明朝"/>
                <w:b w:val="0"/>
                <w:sz w:val="19"/>
              </w:rPr>
              <w:t>標準化・</w:t>
              <w:br/>
              <w:t>現地適応論</w:t>
              <w:br/>
              <w:t>（2.3）</w:t>
            </w:r>
          </w:p>
        </w:tc>
        <w:tc>
          <w:tcPr>
            <w:tcW w:type="dxa" w:w="5329"/>
            <w:vAlign w:val="center"/>
            <w:tcBorders>
              <w:top w:val="single" w:sz="8"/>
              <w:left w:val="single" w:sz="8"/>
              <w:bottom w:val="single" w:sz="8"/>
              <w:right w:val="single" w:sz="8"/>
            </w:tcBorders>
          </w:tcPr>
          <w:p>
            <w:pPr>
              <w:keepNext/>
              <w:spacing w:lineRule="exact" w:line="280"/>
              <w:jc w:val="center"/>
            </w:pPr>
            <w:r>
              <w:rPr>
                <w:rFonts w:ascii="Century" w:hAnsi="Century" w:eastAsia="ＭＳ 明朝"/>
                <w:b w:val="0"/>
                <w:sz w:val="19"/>
              </w:rPr>
              <w:t>共通化される要素／現地適応される要素</w:t>
              <w:br/>
              <w:t>（時間的変化：日本DSPの導入）</w:t>
            </w:r>
          </w:p>
        </w:tc>
        <w:tc>
          <w:tcPr>
            <w:tcW w:type="dxa" w:w="1020"/>
            <w:vAlign w:val="center"/>
            <w:tcBorders>
              <w:top w:val="nil"/>
              <w:left w:val="nil"/>
              <w:bottom w:val="nil"/>
              <w:right w:val="nil"/>
            </w:tcBorders>
          </w:tcPr>
          <w:p>
            <w:pPr>
              <w:keepNext/>
              <w:spacing w:lineRule="exact" w:line="280"/>
              <w:jc w:val="center"/>
            </w:pPr>
            <w:r>
              <w:rPr>
                <w:rFonts w:ascii="Century" w:hAnsi="Century" w:eastAsia="ＭＳ 明朝"/>
                <w:b w:val="0"/>
                <w:sz w:val="19"/>
              </w:rPr>
              <w:t>第6章</w:t>
            </w:r>
          </w:p>
        </w:tc>
      </w:tr>
    </w:tbl>
    <w:p>
      <w:pPr>
        <w:spacing w:lineRule="exact" w:line="280"/>
      </w:pPr>
      <w:r>
        <w:rPr>
          <w:rFonts w:ascii="Century" w:hAnsi="Century" w:eastAsia="ＭＳ 明朝"/>
          <w:b w:val="0"/>
          <w:sz w:val="18"/>
        </w:rPr>
        <w:t>出所：筆者作成。</w:t>
      </w:r>
    </w:p>
    <w:p>
      <w:pPr>
        <w:keepNext/>
        <w:spacing w:lineRule="exact" w:line="360"/>
      </w:pPr>
      <w:r>
        <w:rPr>
          <w:rFonts w:ascii="Century" w:hAnsi="Century" w:eastAsia="ＭＳ 明朝"/>
          <w:b/>
          <w:sz w:val="24"/>
        </w:rPr>
        <w:t>2.4.3　時間的変化の捉え方</w:t>
      </w:r>
    </w:p>
    <w:p>
      <w:pPr>
        <w:spacing w:lineRule="exact" w:line="360"/>
        <w:ind w:firstLine="240"/>
      </w:pPr>
      <w:r>
        <w:rPr>
          <w:rFonts w:ascii="Century" w:hAnsi="Century" w:eastAsia="ＭＳ 明朝"/>
          <w:b w:val="0"/>
          <w:sz w:val="24"/>
        </w:rPr>
        <w:t>本研究は、上記の関係を固定的なものとは捉えない。Williamson（1991，287頁）は、隣り合うガバナンス構造への移行は比較的小さな環境の変化によっても生じうるとしている。また中村（2010，100頁）は、I-Rグリッド上の位置づけが時間とともに移動することを指摘している。これらを踏まえ、本研究では、2023年の日本DSPの導入を、物流環境の変化にともなうガバナンス構造の段階的な移行、すなわち現地適応のあり方の変化として検討する。</w:t>
      </w:r>
    </w:p>
    <w:p>
      <w:pPr>
        <w:keepNext/>
        <w:spacing w:lineRule="exact" w:line="360"/>
      </w:pPr>
      <w:r>
        <w:rPr>
          <w:rFonts w:ascii="Century" w:hAnsi="Century" w:eastAsia="ＭＳ 明朝"/>
          <w:b/>
          <w:sz w:val="24"/>
        </w:rPr>
        <w:t>2.4.4　分析の対象と比較の観点</w:t>
      </w:r>
    </w:p>
    <w:p>
      <w:pPr>
        <w:spacing w:lineRule="exact" w:line="360"/>
        <w:ind w:firstLine="240"/>
      </w:pPr>
      <w:r>
        <w:rPr>
          <w:rFonts w:ascii="Century" w:hAnsi="Century" w:eastAsia="ＭＳ 明朝"/>
          <w:b w:val="0"/>
          <w:sz w:val="24"/>
        </w:rPr>
        <w:t>分析の対象は、米国のDSPとAmazon Flex、日本のADP、Amazon Flexおよび日本DSPである。これらを、取引の属性（資産特殊性、不確実性、頻度）と、ガバナンス構造（契約形態、および配送ルートの割り当て、監視、評価、契約の打ち切りといった管理の程度）の二つの観点から比較する。具体的には、第3章で日米の物流環境を、第4章で各配送方式の担い手、契約形態、管理方式を整理し、第5章で取引費用論にもとづく比較分析を、第6章で共通化と現地適応に関する考察を行う。</w:t>
      </w:r>
    </w:p>
    <w:sectPr w:rsidR="00FC693F" w:rsidRPr="0006063C" w:rsidSect="00034616">
      <w:pgSz w:w="11906" w:h="16838"/>
      <w:pgMar w:top="1984"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w:hAnsi="Century" w:eastAsia="ＭＳ 明朝"/>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