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游明朝" w:hAnsi="游明朝" w:eastAsia="游明朝"/>
          <w:b/>
          <w:sz w:val="22"/>
        </w:rPr>
        <w:t>表4-1　取引費用論の視点による米国DSPと日本ADPの比較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val="clear" w:color="auto" w:fill="A51C30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4"/>
              </w:rPr>
              <w:t>視点</w:t>
            </w:r>
          </w:p>
        </w:tc>
        <w:tc>
          <w:tcPr>
            <w:tcW w:type="dxa" w:w="3005"/>
            <w:vAlign w:val="center"/>
            <w:shd w:val="clear" w:color="auto" w:fill="A51C30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4"/>
              </w:rPr>
              <w:t>米国：DSP</w:t>
            </w:r>
          </w:p>
        </w:tc>
        <w:tc>
          <w:tcPr>
            <w:tcW w:type="dxa" w:w="3231"/>
            <w:vAlign w:val="center"/>
            <w:shd w:val="clear" w:color="auto" w:fill="A51C30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4"/>
              </w:rPr>
              <w:t>日本：ADP</w:t>
            </w:r>
          </w:p>
        </w:tc>
        <w:tc>
          <w:tcPr>
            <w:tcW w:type="dxa" w:w="1928"/>
            <w:vAlign w:val="center"/>
            <w:shd w:val="clear" w:color="auto" w:fill="A51C30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color w:val="FFFFFF"/>
                <w:sz w:val="24"/>
              </w:rPr>
              <w:t>出典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FFFFF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1"/>
              </w:rPr>
              <w:t>資産特殊性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高い。専属・専用車両・ロゴ入り</w:t>
            </w:r>
          </w:p>
        </w:tc>
        <w:tc>
          <w:tcPr>
            <w:tcW w:type="dxa" w:w="3231"/>
            <w:vAlign w:val="center"/>
            <w:shd w:val="clear" w:color="auto" w:fill="FFFFFF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相対的に低い※。既存事業者で他荷主あり（依存度17.5〜69.9％）</w:t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游明朝" w:hAnsi="游明朝" w:eastAsia="游明朝"/>
                <w:b w:val="0"/>
                <w:sz w:val="18"/>
              </w:rPr>
              <w:t>齊藤（2022）</w:t>
            </w:r>
          </w:p>
          <w:p>
            <w:pPr>
              <w:jc w:val="center"/>
            </w:pPr>
            <w:r>
              <w:rPr>
                <w:rFonts w:ascii="游明朝" w:hAnsi="游明朝" w:eastAsia="游明朝"/>
                <w:b w:val="0"/>
                <w:sz w:val="18"/>
              </w:rPr>
              <w:t>pp.49-50, 58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CEBD5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1"/>
              </w:rPr>
              <w:t>監視・管理</w:t>
            </w:r>
          </w:p>
        </w:tc>
        <w:tc>
          <w:tcPr>
            <w:tcW w:type="dxa" w:w="3005"/>
            <w:vAlign w:val="center"/>
            <w:shd w:val="clear" w:color="auto" w:fill="FCEBD5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強い。車載カメラ・アプリ・週次評価、低評価は解約</w:t>
            </w:r>
          </w:p>
        </w:tc>
        <w:tc>
          <w:tcPr>
            <w:tcW w:type="dxa" w:w="3231"/>
            <w:vAlign w:val="center"/>
            <w:shd w:val="clear" w:color="auto" w:fill="FCEBD5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弱い。監視・統制は行っていない</w:t>
            </w:r>
          </w:p>
        </w:tc>
        <w:tc>
          <w:tcPr>
            <w:tcW w:type="dxa" w:w="1928"/>
            <w:vAlign w:val="center"/>
            <w:shd w:val="clear" w:color="auto" w:fill="FCEBD5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游明朝" w:hAnsi="游明朝" w:eastAsia="游明朝"/>
                <w:b w:val="0"/>
                <w:sz w:val="18"/>
              </w:rPr>
              <w:t>齊藤（2022）</w:t>
            </w:r>
          </w:p>
          <w:p>
            <w:pPr>
              <w:jc w:val="center"/>
            </w:pPr>
            <w:r>
              <w:rPr>
                <w:rFonts w:ascii="游明朝" w:hAnsi="游明朝" w:eastAsia="游明朝"/>
                <w:b w:val="0"/>
                <w:sz w:val="18"/>
              </w:rPr>
              <w:t>pp.51-52, 65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FFFFF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1"/>
              </w:rPr>
              <w:t>契約形態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専属契約（フランチャイズ型）</w:t>
            </w:r>
          </w:p>
        </w:tc>
        <w:tc>
          <w:tcPr>
            <w:tcW w:type="dxa" w:w="3231"/>
            <w:vAlign w:val="center"/>
            <w:shd w:val="clear" w:color="auto" w:fill="FFFFFF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単純委託。協力会社・個人へ下請</w:t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游明朝" w:hAnsi="游明朝" w:eastAsia="游明朝"/>
                <w:b w:val="0"/>
                <w:sz w:val="18"/>
              </w:rPr>
              <w:t>齊藤（2022）</w:t>
            </w:r>
          </w:p>
          <w:p>
            <w:pPr>
              <w:jc w:val="center"/>
            </w:pPr>
            <w:r>
              <w:rPr>
                <w:rFonts w:ascii="游明朝" w:hAnsi="游明朝" w:eastAsia="游明朝"/>
                <w:b w:val="0"/>
                <w:sz w:val="18"/>
              </w:rPr>
              <w:t>pp.50, 60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CEBD5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1"/>
              </w:rPr>
              <w:t>不確実性</w:t>
            </w:r>
          </w:p>
        </w:tc>
        <w:tc>
          <w:tcPr>
            <w:tcW w:type="dxa" w:w="3005"/>
            <w:vAlign w:val="center"/>
            <w:shd w:val="clear" w:color="auto" w:fill="FCEBD5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2013年の大規模遅配</w:t>
            </w:r>
          </w:p>
        </w:tc>
        <w:tc>
          <w:tcPr>
            <w:tcW w:type="dxa" w:w="3231"/>
            <w:vAlign w:val="center"/>
            <w:shd w:val="clear" w:color="auto" w:fill="FCEBD5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2017年の宅配クライシス</w:t>
            </w:r>
          </w:p>
        </w:tc>
        <w:tc>
          <w:tcPr>
            <w:tcW w:type="dxa" w:w="1928"/>
            <w:vAlign w:val="center"/>
            <w:shd w:val="clear" w:color="auto" w:fill="FCEBD5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游明朝" w:hAnsi="游明朝" w:eastAsia="游明朝"/>
                <w:b w:val="0"/>
                <w:sz w:val="18"/>
              </w:rPr>
              <w:t>齊藤（2022）</w:t>
            </w:r>
          </w:p>
          <w:p>
            <w:pPr>
              <w:jc w:val="center"/>
            </w:pPr>
            <w:r>
              <w:rPr>
                <w:rFonts w:ascii="游明朝" w:hAnsi="游明朝" w:eastAsia="游明朝"/>
                <w:b w:val="0"/>
                <w:sz w:val="18"/>
              </w:rPr>
              <w:t>pp.45, 56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FFFFF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1"/>
              </w:rPr>
              <w:t>取引頻度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高い（2020年42億個）</w:t>
            </w:r>
          </w:p>
        </w:tc>
        <w:tc>
          <w:tcPr>
            <w:tcW w:type="dxa" w:w="3231"/>
            <w:vAlign w:val="center"/>
            <w:shd w:val="clear" w:color="auto" w:fill="FFFFFF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游明朝" w:hAnsi="游明朝" w:eastAsia="游明朝"/>
                <w:b w:val="0"/>
                <w:sz w:val="20"/>
              </w:rPr>
              <w:t>高い（2021年約7億個、半数は自社物流）</w:t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6" w:space="0" w:color="6F7FA3"/>
              <w:left w:val="single" w:sz="6" w:space="0" w:color="6F7FA3"/>
              <w:bottom w:val="single" w:sz="6" w:space="0" w:color="6F7FA3"/>
              <w:right w:val="single" w:sz="6" w:space="0" w:color="6F7FA3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游明朝" w:hAnsi="游明朝" w:eastAsia="游明朝"/>
                <w:b w:val="0"/>
                <w:sz w:val="18"/>
              </w:rPr>
              <w:t>齊藤（2022）</w:t>
            </w:r>
          </w:p>
          <w:p>
            <w:pPr>
              <w:jc w:val="center"/>
            </w:pPr>
            <w:r>
              <w:rPr>
                <w:rFonts w:ascii="游明朝" w:hAnsi="游明朝" w:eastAsia="游明朝"/>
                <w:b w:val="0"/>
                <w:sz w:val="18"/>
              </w:rPr>
              <w:t>pp.47, 57</w:t>
            </w:r>
          </w:p>
        </w:tc>
      </w:tr>
    </w:tbl>
    <w:p>
      <w:pPr>
        <w:spacing w:before="120"/>
      </w:pPr>
      <w:r>
        <w:rPr>
          <w:rFonts w:ascii="游明朝" w:hAnsi="游明朝" w:eastAsia="游明朝"/>
          <w:b w:val="0"/>
          <w:sz w:val="18"/>
        </w:rPr>
        <w:t>（注）文献に基づく整理であり、優劣の評価ではない。日本にもDSPがあるが、本表は主要な地域事業者ADPを対象とした。※は筆者の推論。</w:t>
      </w:r>
    </w:p>
    <w:p>
      <w:r>
        <w:rPr>
          <w:rFonts w:ascii="游明朝" w:hAnsi="游明朝" w:eastAsia="游明朝"/>
          <w:b w:val="0"/>
          <w:sz w:val="18"/>
        </w:rPr>
        <w:t>（出典）齊藤実（2022）「第4章 アマゾンのラストマイル配送に関する日米比較」林克彦（主査）『消費者行動の変化が小型貨物輸送に及ぼす影響に関する研究』日交研シリーズA-840、公益社団法人日本交通政策研究会、pp.44-65。依存度は同書が引用する『週刊ダイヤモンド』2020年3月12日号による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