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Rule="exact" w:line="360"/>
      </w:pPr>
      <w:r>
        <w:rPr>
          <w:rFonts w:ascii="Century" w:hAnsi="Century" w:eastAsia="ＭＳ 明朝"/>
          <w:b/>
          <w:sz w:val="24"/>
        </w:rPr>
        <w:t>2.5　小括</w:t>
      </w:r>
    </w:p>
    <w:p>
      <w:pPr>
        <w:spacing w:lineRule="exact" w:line="360"/>
        <w:ind w:firstLine="240"/>
      </w:pPr>
      <w:r>
        <w:rPr>
          <w:rFonts w:ascii="Century" w:hAnsi="Century" w:eastAsia="ＭＳ 明朝"/>
          <w:b w:val="0"/>
          <w:sz w:val="24"/>
        </w:rPr>
        <w:t>本章では、ラストマイル配送とAmazonの配送体制に関する先行研究を整理したうえで、本研究の理論的基盤となる取引費用論と標準化・現地適応論を検討し、両者を組み合わせた分析枠組みを提示した。</w:t>
      </w:r>
    </w:p>
    <w:p>
      <w:pPr>
        <w:spacing w:lineRule="exact" w:line="360"/>
        <w:ind w:firstLine="240"/>
      </w:pPr>
      <w:r>
        <w:rPr>
          <w:rFonts w:ascii="Century" w:hAnsi="Century" w:eastAsia="ＭＳ 明朝"/>
          <w:b w:val="0"/>
          <w:sz w:val="24"/>
        </w:rPr>
        <w:t>先行研究により、Amazonが日米で異なる担い手と管理方式によって配送体制を構築してきた実態は明らかにされてきたが、その違いがなぜ生じたのかについては理論的に説明する余地が残されていた（2.1）。そこで本研究は、取引の属性に応じてガバナンス構造が選択され、制度的環境がその統治コストを変化させるという取引費用論の視点（2.2）と、多国籍企業が統合と適応のバランスをとるという標準化・現地適応論の視点（2.3）を組み合わせ、物流環境、取引の属性、ガバナンス構造、共通化と現地適応という流れで日米の配送体制を分析する枠組みを示した（2.4）。</w:t>
      </w:r>
    </w:p>
    <w:p>
      <w:pPr>
        <w:spacing w:lineRule="exact" w:line="360"/>
        <w:ind w:firstLine="240"/>
      </w:pPr>
      <w:r>
        <w:rPr>
          <w:rFonts w:ascii="Century" w:hAnsi="Century" w:eastAsia="ＭＳ 明朝"/>
          <w:b w:val="0"/>
          <w:sz w:val="24"/>
        </w:rPr>
        <w:t>次章では、この枠組みの出発点となる日米の物流環境について、宅配市場の歴史的展開を含めて整理する。</w:t>
      </w:r>
    </w:p>
    <w:sectPr w:rsidR="00FC693F" w:rsidRPr="0006063C" w:rsidSect="00034616">
      <w:pgSz w:w="11906" w:h="16838"/>
      <w:pgMar w:top="1984"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w:hAnsi="Century" w:eastAsia="ＭＳ 明朝"/>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