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AAON</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0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2025-08-11)</w:t>
            </w:r>
          </w:p>
        </w:tc>
        <w:tc>
          <w:tcPr>
            <w:tcW w:type="dxa" w:w="7200"/>
          </w:tcPr>
          <w:p>
            <w:pPr>
              <w:spacing w:before="60" w:after="60"/>
            </w:pPr>
            <w:r>
              <w:rPr>
                <w:rFonts w:ascii="Arial" w:hAnsi="Arial"/>
                <w:sz w:val="17"/>
              </w:rPr>
              <w:t>Vagueness: 0.2477  |  Complexity: 0.1641</w:t>
            </w:r>
          </w:p>
        </w:tc>
      </w:tr>
      <w:tr>
        <w:tc>
          <w:tcPr>
            <w:tcW w:type="dxa" w:w="2880"/>
            <w:shd w:val="clear" w:color="auto" w:fill="EBF3FB"/>
          </w:tcPr>
          <w:p>
            <w:pPr>
              <w:spacing w:before="60" w:after="60"/>
            </w:pPr>
            <w:r>
              <w:rPr>
                <w:rFonts w:ascii="Arial" w:hAnsi="Arial"/>
                <w:b/>
                <w:sz w:val="17"/>
              </w:rPr>
              <w:t>Prior (10-Q 2025-05-01)</w:t>
            </w:r>
          </w:p>
        </w:tc>
        <w:tc>
          <w:tcPr>
            <w:tcW w:type="dxa" w:w="7200"/>
          </w:tcPr>
          <w:p>
            <w:pPr>
              <w:spacing w:before="60" w:after="60"/>
            </w:pPr>
            <w:r>
              <w:rPr>
                <w:rFonts w:ascii="Arial" w:hAnsi="Arial"/>
                <w:sz w:val="17"/>
              </w:rPr>
              <w:t>Vagueness: 0.2516  |  Complexity: 0.1739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-0.0039  |  Complexity: -0.0098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AAON Inc. presents minimal supply chain disclosure risk. Both the Claude Analysis signal (LOW) and the FinBERT statistical signal (LOW) converge on the same assessment: disclosure quality is stable and above sector average. All five flags from the initial screening were dismissed upon review as artifacts of inappropriate peer comparisons against fundamentally dissimilar companies. No action is required beyond routine periodic monitoring of AAON's filings.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AAON's latest 10-Q vagueness score of 0.2477 sits well below the sector mean of 0.5066, placing the company approximately 0.26 standard deviations beneath the universe average—firmly in the most transparent quartile among 185 industrial-sector peers. The trend is flat to slightly improving, with vagueness declining 0.0039 and complexity declining 0.0098 sequentially. Annual 10-K filings show consistent vagueness near 0.51, while quarterly filings run markedly lower, suggesting no cyclical obfuscation.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initial screen generated five flags, all of which were dismissed after deeper review. Each flag arose from peer divergence comparisons against AIRJ, an early-stage pre-revenue company, and TGEN, a micro-cap with minimal operations. In every instance, AAON provided the more detailed and quantitatively specific disclosure, meaning the system flagged the peer gap in the wrong direction. There is no evidence of disclosure degradation at AAON. Separately, the Opus review notes that AAON currently provides well-articulated disclosures around two operationally meaningful topics—refrigerant transition risks and ERP implementation disruptions—both of which carry supply chain implications. These disclosures are specific and quantitative, suggesting management is proactively communicating rather than obscuring material developments. Analysts should continue tracking these areas in future filings for any shift in transparency or detail.</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AAON's disclosure quality significantly exceeds that of the peers selected by the screening algorithm. However, the peer set (AIRJ and TGEN) is a known limitation—these companies differ fundamentally in scale, maturity, and disclosure obligations, rendering the comparison uninformative. AAON's FinBERT scores position it well within the top quartile of the broader 185-company sector universe, which is a more reliable benchmark.</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No escalation is warranted. Analysts should maintain AAON on a standard monitoring cadence, with particular attention to the refrigerant transition and ERP implementation disclosures in upcoming 10-Q filings, as any reduction in specificity on these topics would be the earliest indicator of transparency changes. Additionally, comparing future filings against the company's own historical baseline—rather than the current peer set—will yield more meaningful trend detection.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