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AAPL</w:t>
      </w:r>
    </w:p>
    <w:p>
      <w:pPr>
        <w:spacing w:after="40"/>
      </w:pPr>
      <w:r>
        <w:rPr>
          <w:rFonts w:ascii="Arial" w:hAnsi="Arial"/>
          <w:b/>
          <w:color w:val="1F3D6B"/>
          <w:sz w:val="20"/>
        </w:rPr>
        <w:t xml:space="preserve">CLAUDE ANALYSIS: </w:t>
      </w:r>
      <w:r>
        <w:rPr>
          <w:rFonts w:ascii="Arial" w:hAnsi="Arial"/>
          <w:b/>
          <w:color w:val="C00000"/>
          <w:sz w:val="20"/>
        </w:rPr>
        <w:t>HIGH</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C00000"/>
          <w:sz w:val="20"/>
        </w:rPr>
        <w:t>HIGH</w:t>
      </w:r>
    </w:p>
    <w:p>
      <w:pPr>
        <w:spacing w:after="80"/>
      </w:pPr>
      <w:r>
        <w:rPr>
          <w:rFonts w:ascii="Arial" w:hAnsi="Arial"/>
          <w:color w:val="606060"/>
          <w:sz w:val="17"/>
        </w:rPr>
        <w:t>Generated: 09 April 2026  |  Genuine: 5  |  Borderline: 3  |  Dismissed: 4</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2025-08-01)</w:t>
            </w:r>
          </w:p>
        </w:tc>
        <w:tc>
          <w:tcPr>
            <w:tcW w:type="dxa" w:w="7200"/>
          </w:tcPr>
          <w:p>
            <w:pPr>
              <w:spacing w:before="60" w:after="60"/>
            </w:pPr>
            <w:r>
              <w:rPr>
                <w:rFonts w:ascii="Arial" w:hAnsi="Arial"/>
                <w:sz w:val="17"/>
              </w:rPr>
              <w:t>Vagueness: 0.6143  |  Complexity: 0.1585</w:t>
            </w:r>
          </w:p>
        </w:tc>
      </w:tr>
      <w:tr>
        <w:tc>
          <w:tcPr>
            <w:tcW w:type="dxa" w:w="2880"/>
            <w:shd w:val="clear" w:color="auto" w:fill="EBF3FB"/>
          </w:tcPr>
          <w:p>
            <w:pPr>
              <w:spacing w:before="60" w:after="60"/>
            </w:pPr>
            <w:r>
              <w:rPr>
                <w:rFonts w:ascii="Arial" w:hAnsi="Arial"/>
                <w:b/>
                <w:sz w:val="17"/>
              </w:rPr>
              <w:t>Prior (10-Q 2025-05-02)</w:t>
            </w:r>
          </w:p>
        </w:tc>
        <w:tc>
          <w:tcPr>
            <w:tcW w:type="dxa" w:w="7200"/>
          </w:tcPr>
          <w:p>
            <w:pPr>
              <w:spacing w:before="60" w:after="60"/>
            </w:pPr>
            <w:r>
              <w:rPr>
                <w:rFonts w:ascii="Arial" w:hAnsi="Arial"/>
                <w:sz w:val="17"/>
              </w:rPr>
              <w:t>Vagueness: 0.6137  |  Complexity: 0.1585</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+0.0006  |  Complexity: +0.0000</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Apple Inc. presents a converging HIGH-risk signal across both analytical frameworks, raising material supply chain transparency concerns for downstream portfolio exposure. The Claude Analysis identifies five genuine disclosure removals spanning supply chain geography, tariff risk, regulatory investigations, and capital allocation specificity in the Q3 2025 10-Q. FinBERT independently ranks AAPL's vagueness at +10.8 points above sector mean, placing it above the 75th percentile among 185 Technology sector peers. Both signals reinforce a pattern of deliberate disclosure compression. Recommend immediate engagement with AAPL's investor relations and independent supply chain verification.</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AAPL's FinBERT vagueness score of 0.6143 exceeds the sector mean of 0.5066 by a meaningful margin and sits above the 75th percentile threshold of 0.5957. Notably, vagueness held flat at elevated levels across the 10-K periods (0.6596) and then declined modestly in the 10-Q sequence, suggesting the quarterly filings are marginally less vague than annuals but still rank among the sector's least transparent. The latest quarter-over-quarter change is negligible (+0.0006), indicating no remediation trend.</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consequential finding is the disappearance of explicit supply chain geographic concentration language that previously named China mainland, India, Japan, South Korea, Taiwan, and Vietnam as primary outsourced manufacturing locations and disclosed single-source component dependencies (see 10-Q filed 2025-05-02, p.17). For any portfolio company with material AAPL supply chain exposure, the removal of this granularity eliminates a key input for geographic risk modeling. Simultaneously, AAPL removed specific reference to the active Section 232 semiconductor investigation by the U.S. Department of Commerce, which directly implicates semiconductor imports and downstream products containing semiconductors (see 10-Q filed 2025-08-01, p.11). This investigation remains unresolved and carries tariff escalation risk across AAPL's entire hardware product line.</w:t>
      </w:r>
    </w:p>
    <w:p>
      <w:pPr>
        <w:spacing w:after="120" w:before="40"/>
      </w:pPr>
      <w:r>
        <w:rPr>
          <w:rFonts w:ascii="Arial" w:hAnsi="Arial"/>
          <w:i w:val="0"/>
          <w:color w:val="000000"/>
          <w:sz w:val="18"/>
        </w:rPr>
        <w:t>The capital return program disclosure was materially diluted, replacing the prior quarter's disclosure of $40.8 billion in remaining buyback authorization and a newly approved $100 billion program with generic language referencing only "authorized share repurchase programs" . While the 10-Q incorporation-by-reference convention may partially explain risk factor trimming, the breadth of removals — covering tariffs, geopolitical disruption, operational risks at supplier facilities, and named regulatory proceedings (see 10-Q filed 2025-05-02, p.17) — during a period of escalating U.S.-China trade tensions is inconsistent with benign housekeeping.</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AAPL's vagueness score positions it in the top quartile of the 185-company Technology sector universe, meaningfully above the 75th percentile. Peer comparison to Dell Technologies revealed notably less detailed capital allocation disclosure from AAPL, though business model differences partially explain this gap. A known limitation is that the peer set includes broad Technology sector constituents rather than a curated mega-cap hardware peer group, which may modestly inflate AAPL's relative ranking.</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First, analysts should independently verify whether AAPL's current 10-Q incorporates 10-K risk factors by reference, as this is the most plausible benign explanation for the breadth of removals; the incorporation-by-reference language in Item 1A should be examined directly. Second, analysts should calculate the remaining share repurchase authorization from the cash flow statement and compare consumption pace to prior quarters to assess whether the disclosure reduction masks an acceleration or deceleration in buybacks. Third, for any portfolio company with material AAPL supply chain dependency, analysts should conduct independent geographic concentration analysis using trade data and supplier audits, given that AAPL's own filings no longer provide this detail.</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15:31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