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ACLS</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1  |  Borderline: 1  |  Dismissed: 4</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2025-08-05)</w:t>
            </w:r>
          </w:p>
        </w:tc>
        <w:tc>
          <w:tcPr>
            <w:tcW w:type="dxa" w:w="7200"/>
          </w:tcPr>
          <w:p>
            <w:pPr>
              <w:spacing w:before="60" w:after="60"/>
            </w:pPr>
            <w:r>
              <w:rPr>
                <w:rFonts w:ascii="Arial" w:hAnsi="Arial"/>
                <w:sz w:val="17"/>
              </w:rPr>
              <w:t>Vagueness: 0.2537  |  Complexity: 0.1288</w:t>
            </w:r>
          </w:p>
        </w:tc>
      </w:tr>
      <w:tr>
        <w:tc>
          <w:tcPr>
            <w:tcW w:type="dxa" w:w="2880"/>
            <w:shd w:val="clear" w:color="auto" w:fill="EBF3FB"/>
          </w:tcPr>
          <w:p>
            <w:pPr>
              <w:spacing w:before="60" w:after="60"/>
            </w:pPr>
            <w:r>
              <w:rPr>
                <w:rFonts w:ascii="Arial" w:hAnsi="Arial"/>
                <w:b/>
                <w:sz w:val="17"/>
              </w:rPr>
              <w:t>Prior (10-Q 2025-05-06)</w:t>
            </w:r>
          </w:p>
        </w:tc>
        <w:tc>
          <w:tcPr>
            <w:tcW w:type="dxa" w:w="7200"/>
          </w:tcPr>
          <w:p>
            <w:pPr>
              <w:spacing w:before="60" w:after="60"/>
            </w:pPr>
            <w:r>
              <w:rPr>
                <w:rFonts w:ascii="Arial" w:hAnsi="Arial"/>
                <w:sz w:val="17"/>
              </w:rPr>
              <w:t>Vagueness: 0.3027  |  Complexity: 0.1718</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-0.0490  |  Complexity: -0.0430</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Axcelis Technologies (ACLS) presents minimal supply chain disclosure risk. Both the Claude Analysis signal (LOW, one genuine flag out of six) and the FinBERT statistical signal (LOW, vagueness well below sector mean) converge on this assessment. The company's disclosure quality ranks comfortably in the bottom quartile of sector vagueness, and the most recent filing showed improving transparency. The only actionable item is a single instance of tax provision detail removal between quarterly filings. Recommend maintaining standard monitoring cadence with no escalation required.</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ACLS's latest 10-Q vagueness score of 0.2537 sits 25 percentage points below the semiconductor equipment sector mean of 0.5066, placing it firmly below the 25th percentile of the 185-company universe. The sequential trend is favorable: vagueness declined 4.9 points and complexity fell 4.3 points from the prior quarter. Annual 10-K filings show modest vagueness uptick (0.4548 to 0.4709), but both remain below sector average, and quarterly filings consistently demonstrate stronger-than-peer transparency.</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sole genuine disclosure degradation involves the removal of a detailed income tax provision table and effective tax rate discussion from the Q2 2025 10-Q MD&amp;A. The prior quarter filing included specific dollar amounts, period-over-period changes, and ETR drivers, while the current filing collapses this to generic language about R&amp;D investment strategy . Whether this represents relocation to the financial statement notes or an intentional deletion remains unverified, but the prior period's granularity (see 10-Q filed 2025-05-06, p.18) sets a clear baseline against which the reduction is measurable.</w:t>
      </w:r>
    </w:p>
    <w:p>
      <w:pPr>
        <w:spacing w:after="120" w:before="40"/>
      </w:pPr>
      <w:r>
        <w:rPr>
          <w:rFonts w:ascii="Arial" w:hAnsi="Arial"/>
          <w:i w:val="0"/>
          <w:color w:val="000000"/>
          <w:sz w:val="18"/>
        </w:rPr>
        <w:t>A borderline flag concerns the absence of tariff impact disclosure despite ACLS operating semiconductor capital equipment with global supply chain exposure. Peer Veeco explicitly quantifies expected tariff-driven cost increases, while ACLS provides no comparable discussion . This omission may be defensible given ACLS's improving product gross margins, but it warrants monitoring as tariff regimes evolve and could mask costs absorbed elsewhere in the P&amp;L.</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Against 185 sector peers, ACLS demonstrates materially superior disclosure clarity, ranking in approximately the bottom decile of vagueness. Its quarterly filings are notably more transparent than its own annual filings, suggesting deliberate conciseness rather than obfuscation. Peer comparisons in the flag analysis were limited by business model differences between ACLS and selected comparators, a known limitation of the current peer-matching methodology.</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verify whether the income tax provision detail was relocated to the notes to financial statements in the Q2 10-Q or eliminated entirely, as this distinction determines whether the flag represents a structural disclosure change. Second, review ACLS management's recent earnings call transcripts and investor presentations for any tariff or supply chain cost commentary that may supplement the 10-Q's silence on the topic. No change to ACLS's supply chain risk tier is warranted at this time; reassess upon the next 10-K filing.</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15:32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