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ACMR</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0.5854  |  Complexity: 0.2164</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0.5854  |  Complexity: 0.2164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+0.0000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ACM Research (ACMR) presents a MEDIUM supply chain disclosure risk based on convergent signals from both the Claude Analysis (MEDIUM) and FinBERT statistical model (MEDIUM). Between Q1 and Q2 2025 10-Q filings, ACMR removed substantive detail on its shipment-based revenue recognition methodology and the CEO/CFO disclosure controls effectiveness conclusion—areas directly relevant to assessing revenue quality from a semiconductor equipment supplier. FinBERT vagueness sits above sector mean. We recommend heightened monitoring and direct management engagement before the next earnings cycle.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ACMR's latest 10-Q vagueness score of 0.5854 exceeds the semiconductor equipment sector mean of 0.5066 by approximately 8 points, placing the company in the upper half of the 185-firm universe though still within the interquartile range (P25: 0.42, P75: 0.60). Notably, vagueness and complexity scores have been static across the three most recent quarterly filings, suggesting a persistent floor of disclosure thinness rather than acute deterioration. The 2025 10-K was markedly more detailed (0.3372), making the quarterly reversion conspicuous.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ACMR's shipment metric methodology from its Q2 2025 MD&amp;A. In Q1 2025, ACMR provided a detailed non-GAAP framework distinguishing first-tool evaluation shipments from repeat-tool revenue recognition—critical for understanding the timing and quality of reported revenue. The current filing retains only a skeletal heading with generic language . Concurrently, the prior quarter's explicit CEO/CFO conclusion that disclosure controls were effective was deleted, leaving only a bare statement that no changes occurred in internal controls (see 10-Q filed 2025-08-07, p.31). For a supplier with complex cross-border operations spanning four Chinese subsidiaries and a Korean entity, the disappearance of affirmative control attestation language warrants scrutiny.</w:t>
      </w:r>
    </w:p>
    <w:p>
      <w:pPr>
        <w:spacing w:after="120" w:before="40"/>
      </w:pPr>
      <w:r>
        <w:rPr>
          <w:rFonts w:ascii="Arial" w:hAnsi="Arial"/>
          <w:i w:val="0"/>
          <w:color w:val="000000"/>
          <w:sz w:val="18"/>
        </w:rPr>
        <w:t>On a more constructive note, ACMR's regulatory disclosures actually improved. The prior period's vague language about ACM Lingang milestone penalties was replaced with specific quantitative thresholds—RMB 157.6 million in annual taxes by July 2027 with 20% liquidated damages—and subsidiary-level tax rates were added (see 10-Q filed 2025-08-07, p.27). A new disclosure regarding a Seoul Customs Office investigation of ACM Korea introduces a fresh risk vector. The forward-looking G&amp;A expense growth outlook previously provided was also silently dropped (see 10-Q filed 2025-08-07, p.34), reducing visibility into the cost trajectory of this growing enterprise.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ACMR's disclosure thinness is notable relative to peers that provide explicit internal control assessments—for instance, Azenta (AZTA) disclosed two material weaknesses with detailed remediation plans. However, peer comparisons in this analysis are limited by business model heterogeneity across the selected universe, and ACMR's unique China-domiciled operating structure makes direct benchmarking less reliable.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ACMR's complete Q2 2025 10-Q to confirm whether the CEO/CFO disclosure controls effectiveness conclusion and shipment metric methodology were relocated to other sections rather than omitted entirely. Second, on the next earnings call, directly ask management whether the first-tool shipment revenue recognition policy has changed and why forward-looking G&amp;A guidance was withdrawn. Third, establish a monitoring cadence for the ACM Korea Seoul Customs Office investigation, which could affect cross-border component flows and import compliance.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