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AIRJ</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3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2025-08-14)</w:t>
            </w:r>
          </w:p>
        </w:tc>
        <w:tc>
          <w:tcPr>
            <w:tcW w:type="dxa" w:w="7200"/>
          </w:tcPr>
          <w:p>
            <w:pPr>
              <w:spacing w:before="60" w:after="60"/>
            </w:pPr>
            <w:r>
              <w:rPr>
                <w:rFonts w:ascii="Arial" w:hAnsi="Arial"/>
                <w:sz w:val="17"/>
              </w:rPr>
              <w:t>Vagueness: 0.3055  |  Complexity: 0.2195</w:t>
            </w:r>
          </w:p>
        </w:tc>
      </w:tr>
      <w:tr>
        <w:tc>
          <w:tcPr>
            <w:tcW w:type="dxa" w:w="2880"/>
            <w:shd w:val="clear" w:color="auto" w:fill="EBF3FB"/>
          </w:tcPr>
          <w:p>
            <w:pPr>
              <w:spacing w:before="60" w:after="60"/>
            </w:pPr>
            <w:r>
              <w:rPr>
                <w:rFonts w:ascii="Arial" w:hAnsi="Arial"/>
                <w:b/>
                <w:sz w:val="17"/>
              </w:rPr>
              <w:t>Prior (10-Q 2025-05-13)</w:t>
            </w:r>
          </w:p>
        </w:tc>
        <w:tc>
          <w:tcPr>
            <w:tcW w:type="dxa" w:w="7200"/>
          </w:tcPr>
          <w:p>
            <w:pPr>
              <w:spacing w:before="60" w:after="60"/>
            </w:pPr>
            <w:r>
              <w:rPr>
                <w:rFonts w:ascii="Arial" w:hAnsi="Arial"/>
                <w:sz w:val="17"/>
              </w:rPr>
              <w:t>Vagueness: 0.3174  |  Complexity: 0.3961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-0.0119  |  Complexity: -0.1766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AIRJ presents a nuanced supply chain monitoring concern. Claude Analysis flags MEDIUM risk driven by material gaps in geopolitical, tariff, and supply chain disclosure despite heavy dependence on a CATL-affiliated Chinese joint venture for manufacturing scale-up. FinBERT ranks vagueness LOW relative to sector (0.31 vs. 0.51 mean), reflecting concise but potentially under-disclosed quarterly filings. The divergence likely stems from brevity being scored as low vagueness while qualitative analysis identifies substantive omissions. Recommend enhanced due diligence on CATL/CAMT supply chain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AIRJ's latest 10-Q vagueness score of 0.31 sits well below the sector 25th percentile (0.42), placing it among the least vague filers in a 185-company universe. The declining trend (−0.01 sequential change) appears benign statistically. However, the 10-K filed March 2025 spiked to 0.70 vagueness — above the 75th percentile — before reverting in quarterly filings. This pattern suggests annual filings carry substantive but potentially opaque narrative, while quarterly filings achieve low vagueness scores partly through extreme brevity rather than genuine transparency.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concern is AIRJ's near-total absence of supply chain and geopolitical risk disclosure despite its commercialization strategy centering on the CAMT joint venture with CATL US, a subsidiary of China's largest EV battery manufacturer. The company describes partnerships offering "mature supply chains" and "supply chain support" but provides no specificity on raw material sourcing, tariff exposure, or concentration risk at a time of acute U.S.-China trade friction. Peers like AAON explicitly quantify tariff surcharges and material dependencies, making AIRJ's silence conspicuous. The company's entire risk factor discussion in its 10-Q collapses to a single cross-reference sentence , offering no quarterly update on rapidly evolving trade policy.</w:t>
      </w:r>
    </w:p>
    <w:p>
      <w:pPr>
        <w:spacing w:after="120" w:before="40"/>
      </w:pPr>
      <w:r>
        <w:rPr>
          <w:rFonts w:ascii="Arial" w:hAnsi="Arial"/>
          <w:i w:val="0"/>
          <w:color w:val="000000"/>
          <w:sz w:val="18"/>
        </w:rPr>
        <w:t>Additionally, AIRJ stripped detailed critical accounting estimate disclosures — including Monte Carlo simulation parameters, WACC assumptions, and derivative classification methodology — from its quarterly filing, replacing them with a one-line cross-reference to the 10-K. While permissible, this eliminates quarter-over-quarter visibility into valuation input changes for the $333.5 million IP gain and Earnout Shares fair value (see 10-Q filed 2025-08-14, p.51). For a pre-commercial company whose equity value depends heavily on these estimates, this degradation warrants scrutiny.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industrial and clean-technology peers, AIRJ's disclosure gaps are partially attributable to its pre-commercial, emerging growth company status. However, its CATL partnership creates geopolitical and supply chain exposures arguably exceeding those of operational peers like AAON, which nonetheless disclose far more. Peer selection limitations exist given AIRJ's unique business profile, so sector-relative comparisons should be interpreted cautiously.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AIRJ's 10-K risk factors to determine whether geopolitical and tariff risks related to the CATL/CAMT joint venture are adequately addressed in the annual filing, even if absent from quarterly updates. Second, request or review the CAMT operating agreement (referenced in SEC filings) to assess supply chain obligation allocation and whether key components are China-sourced. Third, monitor the March 2026 10-K for whether the vagueness spike observed in the March 2025 annual filing recurs, which could signal a pattern of opaque annual narrative paired with thin quarterly updates.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